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0F957" w14:textId="20CF5D29" w:rsidR="00CC3461" w:rsidRPr="00876D67" w:rsidRDefault="451BFAAB" w:rsidP="6D1EBDEE">
      <w:pPr>
        <w:autoSpaceDE w:val="0"/>
        <w:autoSpaceDN w:val="0"/>
        <w:adjustRightInd w:val="0"/>
        <w:snapToGrid w:val="0"/>
        <w:jc w:val="left"/>
        <w:rPr>
          <w:rFonts w:eastAsia="Times New Roman"/>
          <w:b/>
          <w:bCs/>
          <w:color w:val="000000"/>
          <w:kern w:val="0"/>
          <w:sz w:val="24"/>
        </w:rPr>
      </w:pPr>
      <w:r w:rsidRPr="6D1EBDEE">
        <w:rPr>
          <w:rFonts w:eastAsia="Times New Roman"/>
          <w:b/>
          <w:bCs/>
          <w:color w:val="000000"/>
          <w:kern w:val="0"/>
          <w:sz w:val="24"/>
        </w:rPr>
        <w:t>E</w:t>
      </w:r>
      <w:r w:rsidR="002859D5" w:rsidRPr="6D1EBDEE">
        <w:rPr>
          <w:rFonts w:eastAsia="Times New Roman"/>
          <w:b/>
          <w:bCs/>
          <w:color w:val="000000"/>
          <w:kern w:val="0"/>
          <w:sz w:val="24"/>
        </w:rPr>
        <w:t xml:space="preserve">VALUATION of α,ω UNSATURED POLYSTIRENE </w:t>
      </w:r>
      <w:r w:rsidR="002859D5" w:rsidRPr="203FB4BC">
        <w:rPr>
          <w:rFonts w:eastAsia="Times New Roman"/>
          <w:b/>
          <w:bCs/>
          <w:i/>
          <w:iCs/>
          <w:color w:val="000000"/>
          <w:kern w:val="0"/>
          <w:sz w:val="24"/>
        </w:rPr>
        <w:t>vs</w:t>
      </w:r>
      <w:r w:rsidR="002859D5" w:rsidRPr="6D1EBDEE">
        <w:rPr>
          <w:rFonts w:eastAsia="Times New Roman"/>
          <w:b/>
          <w:bCs/>
          <w:color w:val="000000"/>
          <w:kern w:val="0"/>
          <w:sz w:val="24"/>
        </w:rPr>
        <w:t xml:space="preserve"> DIVINYLBENZENE AS CROSSLINKING AGENT IN STYRENE FREE RADICAL POLYMERIZATION</w:t>
      </w:r>
      <w:r w:rsidR="00DC77B7" w:rsidRPr="6D1EBDEE">
        <w:rPr>
          <w:rFonts w:eastAsia="Times New Roman"/>
          <w:b/>
          <w:bCs/>
          <w:color w:val="000000"/>
          <w:kern w:val="0"/>
          <w:sz w:val="24"/>
        </w:rPr>
        <w:t xml:space="preserve"> </w:t>
      </w:r>
    </w:p>
    <w:p w14:paraId="485C7686" w14:textId="28B8F961" w:rsidR="005065EE" w:rsidRPr="00A74B57" w:rsidRDefault="00CC3461" w:rsidP="6D1EBDEE">
      <w:pPr>
        <w:autoSpaceDE w:val="0"/>
        <w:autoSpaceDN w:val="0"/>
        <w:adjustRightInd w:val="0"/>
        <w:snapToGrid w:val="0"/>
        <w:jc w:val="left"/>
        <w:rPr>
          <w:rFonts w:eastAsia="Times New Roman"/>
          <w:b/>
          <w:bCs/>
          <w:color w:val="000000"/>
          <w:kern w:val="0"/>
          <w:sz w:val="24"/>
          <w:lang w:val="it-IT"/>
        </w:rPr>
      </w:pPr>
      <w:r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>TITOLO IN ITALIANO</w:t>
      </w:r>
      <w:r w:rsidR="00DC77B7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 xml:space="preserve">: </w:t>
      </w:r>
      <w:r w:rsidR="00A74B57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 xml:space="preserve">VALUTAZIONE DI POLISTIRENE </w:t>
      </w:r>
      <w:proofErr w:type="gramStart"/>
      <w:r w:rsidR="00A74B57" w:rsidRPr="6D1EBDEE">
        <w:rPr>
          <w:rFonts w:eastAsia="Times New Roman"/>
          <w:b/>
          <w:bCs/>
          <w:color w:val="000000"/>
          <w:kern w:val="0"/>
          <w:sz w:val="24"/>
        </w:rPr>
        <w:t>α</w:t>
      </w:r>
      <w:r w:rsidR="00A74B57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>,</w:t>
      </w:r>
      <w:r w:rsidR="00A74B57" w:rsidRPr="6D1EBDEE">
        <w:rPr>
          <w:rFonts w:eastAsia="Times New Roman"/>
          <w:b/>
          <w:bCs/>
          <w:color w:val="000000"/>
          <w:kern w:val="0"/>
          <w:sz w:val="24"/>
        </w:rPr>
        <w:t>ω</w:t>
      </w:r>
      <w:proofErr w:type="gramEnd"/>
      <w:r w:rsidR="00A74B57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 xml:space="preserve"> INSATURO vs DIVINILBENZENE COME AGENTI </w:t>
      </w:r>
      <w:r w:rsidR="716D7D02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>RETICOLANTI</w:t>
      </w:r>
      <w:r w:rsidR="004F1805"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 xml:space="preserve"> NELLA POLIMERIZZAZIONE A RADICALE LIBERO DELLO STIRENE.</w:t>
      </w:r>
    </w:p>
    <w:p w14:paraId="1E3BC45B" w14:textId="77777777" w:rsidR="00963CCB" w:rsidRPr="00A74B57" w:rsidRDefault="00963CCB" w:rsidP="6D1EBDEE">
      <w:pPr>
        <w:autoSpaceDE w:val="0"/>
        <w:autoSpaceDN w:val="0"/>
        <w:adjustRightInd w:val="0"/>
        <w:snapToGrid w:val="0"/>
        <w:jc w:val="center"/>
        <w:rPr>
          <w:rFonts w:eastAsia="Times New Roman"/>
          <w:b/>
          <w:bCs/>
          <w:color w:val="000000"/>
          <w:kern w:val="0"/>
          <w:sz w:val="24"/>
          <w:lang w:val="it-IT"/>
        </w:rPr>
      </w:pPr>
    </w:p>
    <w:p w14:paraId="5DB574BC" w14:textId="3F2B03C4" w:rsidR="005065EE" w:rsidRPr="0029141A" w:rsidRDefault="105BFBEF" w:rsidP="6D1EBDEE">
      <w:pPr>
        <w:snapToGrid w:val="0"/>
        <w:jc w:val="center"/>
        <w:rPr>
          <w:rFonts w:eastAsia="Times New Roman"/>
          <w:b/>
          <w:bCs/>
          <w:color w:val="000000" w:themeColor="text1"/>
          <w:sz w:val="24"/>
          <w:highlight w:val="yellow"/>
          <w:lang w:val="it-IT"/>
        </w:rPr>
      </w:pPr>
      <w:r w:rsidRPr="6D1EBDEE">
        <w:rPr>
          <w:rFonts w:eastAsia="Times New Roman"/>
          <w:b/>
          <w:bCs/>
          <w:color w:val="000000"/>
          <w:kern w:val="0"/>
          <w:sz w:val="24"/>
          <w:lang w:val="it-IT"/>
        </w:rPr>
        <w:t xml:space="preserve"> </w:t>
      </w:r>
      <w:r w:rsidR="407A6F19" w:rsidRPr="6D1EBDEE">
        <w:rPr>
          <w:rFonts w:eastAsia="Times New Roman"/>
          <w:b/>
          <w:bCs/>
          <w:color w:val="000000" w:themeColor="text1"/>
          <w:sz w:val="24"/>
          <w:u w:val="single"/>
          <w:lang w:val="it-IT"/>
        </w:rPr>
        <w:t>Bedogni E</w:t>
      </w:r>
      <w:r w:rsidR="407A6F19" w:rsidRPr="6D1EBDEE">
        <w:rPr>
          <w:rFonts w:eastAsia="Times New Roman"/>
          <w:b/>
          <w:bCs/>
          <w:color w:val="000000" w:themeColor="text1"/>
          <w:sz w:val="24"/>
          <w:u w:val="single"/>
          <w:vertAlign w:val="superscript"/>
          <w:lang w:val="it-IT"/>
        </w:rPr>
        <w:t>1,2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 xml:space="preserve">, </w:t>
      </w:r>
      <w:r w:rsidR="00252FF1">
        <w:rPr>
          <w:rFonts w:eastAsia="Times New Roman"/>
          <w:b/>
          <w:bCs/>
          <w:color w:val="000000" w:themeColor="text1"/>
          <w:sz w:val="24"/>
          <w:lang w:val="it-IT"/>
        </w:rPr>
        <w:t>Balzan F.</w:t>
      </w:r>
      <w:r w:rsidR="00252FF1" w:rsidRPr="00252FF1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 xml:space="preserve"> </w:t>
      </w:r>
      <w:r w:rsidR="00252FF1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1,2</w:t>
      </w:r>
      <w:r w:rsidR="00252FF1">
        <w:rPr>
          <w:rFonts w:eastAsia="Times New Roman"/>
          <w:b/>
          <w:bCs/>
          <w:color w:val="000000" w:themeColor="text1"/>
          <w:sz w:val="24"/>
          <w:lang w:val="it-IT"/>
        </w:rPr>
        <w:t xml:space="preserve">, 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Bonifaci L.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1,2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Braidi N.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3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Cavalca G.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1,2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Ghelfi F.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2,3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Longo A.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1,2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 xml:space="preserve">, </w:t>
      </w:r>
      <w:r w:rsidR="2D5EE24F" w:rsidRPr="6D1EBDEE">
        <w:rPr>
          <w:rFonts w:eastAsia="Times New Roman"/>
          <w:b/>
          <w:bCs/>
          <w:color w:val="000000" w:themeColor="text1"/>
          <w:sz w:val="24"/>
          <w:lang w:val="it-IT"/>
        </w:rPr>
        <w:t>Morandini I.</w:t>
      </w:r>
      <w:r w:rsidR="008C1519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</w:t>
      </w:r>
      <w:r w:rsidR="2D5EE24F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,</w:t>
      </w:r>
      <w:r w:rsidR="008C1519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2</w:t>
      </w:r>
      <w:r w:rsidR="2D5EE24F" w:rsidRPr="6D1EBDEE">
        <w:rPr>
          <w:rFonts w:eastAsia="Times New Roman"/>
          <w:b/>
          <w:bCs/>
          <w:color w:val="000000" w:themeColor="text1"/>
          <w:sz w:val="24"/>
          <w:lang w:val="it-IT"/>
        </w:rPr>
        <w:t xml:space="preserve">, 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Parenti F.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2,3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</w:t>
      </w:r>
      <w:r w:rsidR="12754111" w:rsidRPr="6D1EBDEE">
        <w:rPr>
          <w:rFonts w:eastAsia="Times New Roman"/>
          <w:b/>
          <w:bCs/>
          <w:color w:val="000000" w:themeColor="text1"/>
          <w:sz w:val="24"/>
          <w:lang w:val="it-IT"/>
        </w:rPr>
        <w:t xml:space="preserve"> Pettenuzzo N.</w:t>
      </w:r>
      <w:r w:rsidR="008C1519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</w:t>
      </w:r>
      <w:r w:rsidR="12754111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,</w:t>
      </w:r>
      <w:r w:rsidR="008C1519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2</w:t>
      </w:r>
      <w:r w:rsidR="12754111" w:rsidRPr="6D1EBDEE">
        <w:rPr>
          <w:rFonts w:eastAsia="Times New Roman"/>
          <w:b/>
          <w:bCs/>
          <w:color w:val="000000" w:themeColor="text1"/>
          <w:sz w:val="24"/>
          <w:lang w:val="it-IT"/>
        </w:rPr>
        <w:t>,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 xml:space="preserve"> Piccinini S.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3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Saviola F.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>1,2</w:t>
      </w:r>
      <w:r w:rsidR="407A6F19" w:rsidRPr="6D1EBDEE">
        <w:rPr>
          <w:rFonts w:eastAsia="Times New Roman"/>
          <w:b/>
          <w:bCs/>
          <w:color w:val="000000" w:themeColor="text1"/>
          <w:sz w:val="24"/>
          <w:lang w:val="it-IT"/>
        </w:rPr>
        <w:t>, Zini M.</w:t>
      </w:r>
      <w:r w:rsidR="407A6F19" w:rsidRPr="6D1EBDEE">
        <w:rPr>
          <w:rFonts w:eastAsia="Times New Roman"/>
          <w:b/>
          <w:bCs/>
          <w:color w:val="000000" w:themeColor="text1"/>
          <w:sz w:val="24"/>
          <w:vertAlign w:val="superscript"/>
          <w:lang w:val="it-IT"/>
        </w:rPr>
        <w:t xml:space="preserve"> 1,2</w:t>
      </w:r>
    </w:p>
    <w:p w14:paraId="39F65AF8" w14:textId="03E27B6F" w:rsidR="005065EE" w:rsidRPr="00876D67" w:rsidRDefault="407A6F19" w:rsidP="6D1EBDEE">
      <w:pPr>
        <w:snapToGrid w:val="0"/>
        <w:rPr>
          <w:rFonts w:eastAsia="Times New Roman"/>
          <w:sz w:val="22"/>
          <w:szCs w:val="22"/>
          <w:lang w:val="it-IT"/>
        </w:rPr>
      </w:pPr>
      <w:r w:rsidRPr="203FB4BC">
        <w:rPr>
          <w:rFonts w:eastAsia="Times New Roman"/>
          <w:sz w:val="22"/>
          <w:szCs w:val="22"/>
          <w:lang w:val="it-IT"/>
        </w:rPr>
        <w:t xml:space="preserve"> </w:t>
      </w:r>
    </w:p>
    <w:p w14:paraId="6A81AC70" w14:textId="2D3E38B9" w:rsidR="005065EE" w:rsidRPr="00876D67" w:rsidRDefault="407A6F19" w:rsidP="203FB4BC">
      <w:pPr>
        <w:snapToGrid w:val="0"/>
        <w:jc w:val="center"/>
        <w:rPr>
          <w:rFonts w:eastAsia="Times New Roman"/>
          <w:i/>
          <w:iCs/>
          <w:color w:val="000000" w:themeColor="text1"/>
          <w:sz w:val="24"/>
          <w:lang w:val="it-IT"/>
        </w:rPr>
      </w:pPr>
      <w:r w:rsidRPr="203FB4BC">
        <w:rPr>
          <w:rFonts w:eastAsia="Times New Roman"/>
          <w:i/>
          <w:iCs/>
          <w:color w:val="000000" w:themeColor="text1"/>
          <w:sz w:val="24"/>
          <w:vertAlign w:val="superscript"/>
          <w:lang w:val="it-IT"/>
        </w:rPr>
        <w:t>1</w:t>
      </w:r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 xml:space="preserve">Versalis (Eni) spa, San Donato Milanese (MI), </w:t>
      </w:r>
      <w:proofErr w:type="spellStart"/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>Italy</w:t>
      </w:r>
      <w:proofErr w:type="spellEnd"/>
    </w:p>
    <w:p w14:paraId="3B522CA1" w14:textId="70E7C0E6" w:rsidR="005065EE" w:rsidRPr="00876D67" w:rsidRDefault="407A6F19" w:rsidP="203FB4BC">
      <w:pPr>
        <w:snapToGrid w:val="0"/>
        <w:jc w:val="center"/>
        <w:rPr>
          <w:rFonts w:eastAsia="Times New Roman"/>
          <w:i/>
          <w:iCs/>
          <w:color w:val="000000" w:themeColor="text1"/>
          <w:sz w:val="24"/>
        </w:rPr>
      </w:pPr>
      <w:r w:rsidRPr="203FB4BC">
        <w:rPr>
          <w:rFonts w:eastAsia="Times New Roman"/>
          <w:i/>
          <w:iCs/>
          <w:color w:val="000000" w:themeColor="text1"/>
          <w:sz w:val="24"/>
          <w:vertAlign w:val="superscript"/>
        </w:rPr>
        <w:t>2</w:t>
      </w:r>
      <w:r w:rsidRPr="203FB4BC">
        <w:rPr>
          <w:rFonts w:eastAsia="Times New Roman"/>
          <w:i/>
          <w:iCs/>
          <w:color w:val="000000" w:themeColor="text1"/>
          <w:sz w:val="24"/>
        </w:rPr>
        <w:t>National Interuniversity Consortium of Materials Science and Technology (INSTM),</w:t>
      </w:r>
    </w:p>
    <w:p w14:paraId="29FB3377" w14:textId="0C03820E" w:rsidR="005065EE" w:rsidRPr="00876D67" w:rsidRDefault="407A6F19" w:rsidP="203FB4BC">
      <w:pPr>
        <w:snapToGrid w:val="0"/>
        <w:jc w:val="center"/>
        <w:rPr>
          <w:rFonts w:eastAsia="Times New Roman"/>
          <w:i/>
          <w:iCs/>
          <w:color w:val="000000" w:themeColor="text1"/>
          <w:sz w:val="24"/>
          <w:lang w:val="it-IT"/>
        </w:rPr>
      </w:pPr>
      <w:proofErr w:type="spellStart"/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>Italy</w:t>
      </w:r>
      <w:proofErr w:type="spellEnd"/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 xml:space="preserve"> </w:t>
      </w:r>
    </w:p>
    <w:p w14:paraId="160C2608" w14:textId="707EE498" w:rsidR="005065EE" w:rsidRPr="00876D67" w:rsidRDefault="407A6F19" w:rsidP="203FB4BC">
      <w:pPr>
        <w:snapToGrid w:val="0"/>
        <w:jc w:val="center"/>
        <w:rPr>
          <w:rFonts w:eastAsia="Times New Roman"/>
          <w:i/>
          <w:iCs/>
          <w:color w:val="000000" w:themeColor="text1"/>
          <w:sz w:val="24"/>
          <w:lang w:val="it-IT"/>
        </w:rPr>
      </w:pPr>
      <w:r w:rsidRPr="203FB4BC">
        <w:rPr>
          <w:rFonts w:eastAsia="Times New Roman"/>
          <w:i/>
          <w:iCs/>
          <w:color w:val="000000" w:themeColor="text1"/>
          <w:sz w:val="24"/>
          <w:vertAlign w:val="superscript"/>
          <w:lang w:val="it-IT"/>
        </w:rPr>
        <w:t>3</w:t>
      </w:r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 xml:space="preserve">Dipartimento di Scienze Chimiche e Geologiche, Università degli Studi di Modena e Reggio Emilia, Modena, </w:t>
      </w:r>
      <w:proofErr w:type="spellStart"/>
      <w:r w:rsidRPr="203FB4BC">
        <w:rPr>
          <w:rFonts w:eastAsia="Times New Roman"/>
          <w:i/>
          <w:iCs/>
          <w:color w:val="000000" w:themeColor="text1"/>
          <w:sz w:val="24"/>
          <w:lang w:val="it-IT"/>
        </w:rPr>
        <w:t>Italy</w:t>
      </w:r>
      <w:proofErr w:type="spellEnd"/>
    </w:p>
    <w:p w14:paraId="610EE417" w14:textId="20BA017E" w:rsidR="34974D15" w:rsidRDefault="34974D15" w:rsidP="6D1EBDEE">
      <w:pPr>
        <w:jc w:val="center"/>
        <w:rPr>
          <w:rFonts w:eastAsia="Times New Roman"/>
          <w:b/>
          <w:bCs/>
          <w:color w:val="000000" w:themeColor="text1"/>
          <w:szCs w:val="21"/>
          <w:lang w:val="it-IT"/>
        </w:rPr>
      </w:pPr>
    </w:p>
    <w:p w14:paraId="41075CB4" w14:textId="6DF7CC86" w:rsidR="005065EE" w:rsidRPr="00876D67" w:rsidRDefault="00AB01C6" w:rsidP="6D1EBDEE">
      <w:pPr>
        <w:autoSpaceDE w:val="0"/>
        <w:autoSpaceDN w:val="0"/>
        <w:adjustRightInd w:val="0"/>
        <w:snapToGrid w:val="0"/>
        <w:rPr>
          <w:rFonts w:eastAsia="Times New Roman"/>
          <w:kern w:val="0"/>
          <w:sz w:val="24"/>
        </w:rPr>
      </w:pPr>
      <w:r w:rsidRPr="6D1EBDEE">
        <w:rPr>
          <w:rFonts w:eastAsia="Times New Roman"/>
          <w:b/>
          <w:bCs/>
          <w:kern w:val="0"/>
          <w:sz w:val="24"/>
        </w:rPr>
        <w:t>Introduction</w:t>
      </w:r>
    </w:p>
    <w:p w14:paraId="4250F886" w14:textId="5ACFBF83" w:rsidR="4773CCE2" w:rsidRDefault="7CAAC5EB" w:rsidP="203FB4BC">
      <w:pPr>
        <w:rPr>
          <w:rFonts w:eastAsia="Times New Roman"/>
          <w:sz w:val="24"/>
        </w:rPr>
      </w:pPr>
      <w:r w:rsidRPr="203FB4BC">
        <w:rPr>
          <w:rFonts w:eastAsia="Times New Roman"/>
          <w:sz w:val="24"/>
        </w:rPr>
        <w:t xml:space="preserve">Telechelic polymers </w:t>
      </w:r>
      <w:r w:rsidR="052C5855" w:rsidRPr="203FB4BC">
        <w:rPr>
          <w:rFonts w:eastAsia="Times New Roman"/>
          <w:sz w:val="24"/>
        </w:rPr>
        <w:t xml:space="preserve">have grown in interest over the past decade thanks also to </w:t>
      </w:r>
      <w:r w:rsidRPr="203FB4BC">
        <w:rPr>
          <w:rFonts w:eastAsia="Times New Roman"/>
          <w:sz w:val="24"/>
        </w:rPr>
        <w:t xml:space="preserve">the evaluation of vitrimers and their properties with high </w:t>
      </w:r>
      <w:r w:rsidR="4B5897B1" w:rsidRPr="203FB4BC">
        <w:rPr>
          <w:rFonts w:eastAsia="Times New Roman"/>
          <w:sz w:val="24"/>
        </w:rPr>
        <w:t>added</w:t>
      </w:r>
      <w:r w:rsidRPr="203FB4BC">
        <w:rPr>
          <w:rFonts w:eastAsia="Times New Roman"/>
          <w:sz w:val="24"/>
        </w:rPr>
        <w:t xml:space="preserve"> value</w:t>
      </w:r>
      <w:r w:rsidR="302DD56B" w:rsidRPr="203FB4BC">
        <w:rPr>
          <w:rFonts w:eastAsia="Times New Roman"/>
          <w:sz w:val="24"/>
        </w:rPr>
        <w:t xml:space="preserve"> (e.g.: </w:t>
      </w:r>
      <w:r w:rsidR="323B3DF2" w:rsidRPr="203FB4BC">
        <w:rPr>
          <w:rFonts w:eastAsia="Times New Roman"/>
          <w:sz w:val="24"/>
        </w:rPr>
        <w:t>recycling efficiency</w:t>
      </w:r>
      <w:r w:rsidR="54E3C84C" w:rsidRPr="203FB4BC">
        <w:rPr>
          <w:rFonts w:eastAsia="Times New Roman"/>
          <w:sz w:val="24"/>
        </w:rPr>
        <w:t>)</w:t>
      </w:r>
      <w:r w:rsidR="323B3DF2" w:rsidRPr="203FB4BC">
        <w:rPr>
          <w:rFonts w:eastAsia="Times New Roman"/>
          <w:sz w:val="24"/>
        </w:rPr>
        <w:t xml:space="preserve">. </w:t>
      </w:r>
      <w:r w:rsidR="4773CCE2" w:rsidRPr="203FB4BC">
        <w:rPr>
          <w:rFonts w:eastAsia="Times New Roman"/>
          <w:sz w:val="24"/>
        </w:rPr>
        <w:t xml:space="preserve">In this </w:t>
      </w:r>
      <w:r w:rsidR="6AA55811" w:rsidRPr="203FB4BC">
        <w:rPr>
          <w:rFonts w:eastAsia="Times New Roman"/>
          <w:sz w:val="24"/>
        </w:rPr>
        <w:t>context</w:t>
      </w:r>
      <w:r w:rsidR="4773CCE2" w:rsidRPr="203FB4BC">
        <w:rPr>
          <w:rFonts w:eastAsia="Times New Roman"/>
          <w:sz w:val="24"/>
        </w:rPr>
        <w:t xml:space="preserve"> we propose an evaluation study of replacing a component such as divinylbenzene with a short telechelic a</w:t>
      </w:r>
      <w:r w:rsidR="67EF56F1" w:rsidRPr="203FB4BC">
        <w:rPr>
          <w:rFonts w:eastAsia="Times New Roman"/>
          <w:sz w:val="24"/>
        </w:rPr>
        <w:t>lkene-ended polystyrene (α,ω-dienePS).</w:t>
      </w:r>
      <w:r w:rsidR="7858F969" w:rsidRPr="203FB4BC">
        <w:rPr>
          <w:rFonts w:eastAsia="Times New Roman"/>
          <w:sz w:val="24"/>
        </w:rPr>
        <w:t xml:space="preserve"> </w:t>
      </w:r>
      <w:r w:rsidR="4AB03291" w:rsidRPr="203FB4BC">
        <w:rPr>
          <w:rFonts w:eastAsia="Times New Roman"/>
          <w:sz w:val="24"/>
        </w:rPr>
        <w:t xml:space="preserve">This </w:t>
      </w:r>
      <w:r w:rsidR="7858F969" w:rsidRPr="203FB4BC">
        <w:rPr>
          <w:rFonts w:eastAsia="Times New Roman"/>
          <w:sz w:val="24"/>
        </w:rPr>
        <w:t>can be produced by dehydrochlorination of a dihalide-terminated precursor obtained by Atom Transfer Radical Polymerization (ATRP).</w:t>
      </w:r>
    </w:p>
    <w:p w14:paraId="04B7BEEB" w14:textId="4F7F6811" w:rsidR="00AB01C6" w:rsidRPr="00876D67" w:rsidRDefault="00AB01C6" w:rsidP="6D1EBDEE">
      <w:pPr>
        <w:autoSpaceDE w:val="0"/>
        <w:autoSpaceDN w:val="0"/>
        <w:adjustRightInd w:val="0"/>
        <w:snapToGrid w:val="0"/>
        <w:rPr>
          <w:rFonts w:eastAsia="Times New Roman"/>
          <w:kern w:val="0"/>
          <w:sz w:val="24"/>
        </w:rPr>
      </w:pPr>
      <w:r w:rsidRPr="6D1EBDEE">
        <w:rPr>
          <w:rFonts w:eastAsia="Times New Roman"/>
          <w:b/>
          <w:bCs/>
          <w:kern w:val="0"/>
          <w:sz w:val="24"/>
        </w:rPr>
        <w:t>Material and Methods</w:t>
      </w:r>
    </w:p>
    <w:p w14:paraId="1823F20C" w14:textId="6D60DF0F" w:rsidR="00AB01C6" w:rsidRPr="00876D67" w:rsidRDefault="2FE675CD" w:rsidP="6D1EBDEE">
      <w:pPr>
        <w:snapToGrid w:val="0"/>
        <w:ind w:right="45"/>
        <w:rPr>
          <w:rFonts w:eastAsia="Times New Roman"/>
          <w:sz w:val="24"/>
        </w:rPr>
      </w:pPr>
      <w:r w:rsidRPr="203FB4BC">
        <w:rPr>
          <w:rFonts w:eastAsia="Times New Roman"/>
          <w:sz w:val="24"/>
        </w:rPr>
        <w:t xml:space="preserve">Low-MW chloride-terminated telechelic polystyrene (α,ω-dichloroPS) was obtained by ATRP. </w:t>
      </w:r>
      <w:r w:rsidR="7AD455A4" w:rsidRPr="203FB4BC">
        <w:rPr>
          <w:rFonts w:eastAsia="Times New Roman"/>
          <w:sz w:val="24"/>
        </w:rPr>
        <w:t xml:space="preserve"> </w:t>
      </w:r>
      <w:r w:rsidRPr="203FB4BC">
        <w:rPr>
          <w:rFonts w:eastAsia="Times New Roman"/>
          <w:sz w:val="24"/>
        </w:rPr>
        <w:t xml:space="preserve">Quantitative dehydrochlorination was accomplished in DMF (reflux), as determined by </w:t>
      </w:r>
      <w:r w:rsidRPr="203FB4BC">
        <w:rPr>
          <w:rFonts w:eastAsia="Times New Roman"/>
          <w:sz w:val="24"/>
          <w:vertAlign w:val="superscript"/>
        </w:rPr>
        <w:t>1</w:t>
      </w:r>
      <w:r w:rsidRPr="203FB4BC">
        <w:rPr>
          <w:rFonts w:eastAsia="Times New Roman"/>
          <w:sz w:val="24"/>
        </w:rPr>
        <w:t>H-NMR. Free radical polymerizations (FRP) of styrene were conducted to compare the crosslinking capability of α,ω-dienePS  against DVB. First, styrene’s FRP both with and without DVB (0.25 mol% with respect to the monomer) was conducted in sealed vials under inert atmosphere (N</w:t>
      </w:r>
      <w:r w:rsidRPr="203FB4BC">
        <w:rPr>
          <w:rFonts w:eastAsia="Times New Roman"/>
          <w:sz w:val="24"/>
          <w:vertAlign w:val="subscript"/>
        </w:rPr>
        <w:t>2</w:t>
      </w:r>
      <w:r w:rsidRPr="203FB4BC">
        <w:rPr>
          <w:rFonts w:eastAsia="Times New Roman"/>
          <w:sz w:val="24"/>
        </w:rPr>
        <w:t>). Every vial was subjected to the same temperature ramp (125 °C t</w:t>
      </w:r>
      <w:r w:rsidR="45C2357C" w:rsidRPr="203FB4BC">
        <w:rPr>
          <w:rFonts w:eastAsia="Times New Roman"/>
          <w:sz w:val="24"/>
        </w:rPr>
        <w:t xml:space="preserve">o </w:t>
      </w:r>
      <w:r w:rsidRPr="203FB4BC">
        <w:rPr>
          <w:rFonts w:eastAsia="Times New Roman"/>
          <w:sz w:val="24"/>
        </w:rPr>
        <w:t>150 °C</w:t>
      </w:r>
      <w:r w:rsidR="02111E8A" w:rsidRPr="203FB4BC">
        <w:rPr>
          <w:rFonts w:eastAsia="Times New Roman"/>
          <w:sz w:val="24"/>
        </w:rPr>
        <w:t>,</w:t>
      </w:r>
      <w:r w:rsidRPr="203FB4BC">
        <w:rPr>
          <w:rFonts w:eastAsia="Times New Roman"/>
          <w:sz w:val="24"/>
        </w:rPr>
        <w:t xml:space="preserve"> 5 h). Conversion and crosslinking extent were evaluated each passing hour. Second, three increasing quantities of α,ω-dienePS were tested as well (0.25, 0.50, 0</w:t>
      </w:r>
      <w:r w:rsidR="45FD0EDE" w:rsidRPr="203FB4BC">
        <w:rPr>
          <w:rFonts w:eastAsia="Times New Roman"/>
          <w:sz w:val="24"/>
        </w:rPr>
        <w:t>,75</w:t>
      </w:r>
      <w:r w:rsidRPr="203FB4BC">
        <w:rPr>
          <w:rFonts w:eastAsia="Times New Roman"/>
          <w:sz w:val="24"/>
        </w:rPr>
        <w:t xml:space="preserve"> mol% with respect to the monomer)</w:t>
      </w:r>
      <w:r w:rsidR="4778182B" w:rsidRPr="203FB4BC">
        <w:rPr>
          <w:rFonts w:eastAsia="Times New Roman"/>
          <w:sz w:val="24"/>
        </w:rPr>
        <w:t xml:space="preserve"> at t</w:t>
      </w:r>
      <w:r w:rsidRPr="203FB4BC">
        <w:rPr>
          <w:rFonts w:eastAsia="Times New Roman"/>
          <w:sz w:val="24"/>
        </w:rPr>
        <w:t>he</w:t>
      </w:r>
      <w:r w:rsidR="0DACAC74" w:rsidRPr="203FB4BC">
        <w:rPr>
          <w:rFonts w:eastAsia="Times New Roman"/>
          <w:sz w:val="24"/>
        </w:rPr>
        <w:t xml:space="preserve"> same</w:t>
      </w:r>
      <w:r w:rsidRPr="203FB4BC">
        <w:rPr>
          <w:rFonts w:eastAsia="Times New Roman"/>
          <w:sz w:val="24"/>
        </w:rPr>
        <w:t xml:space="preserve"> reaction conditions. Molecular weight distribution (MWD) of each soluble sample was determined by Gel Permeation Chromatography (GPC).</w:t>
      </w:r>
    </w:p>
    <w:p w14:paraId="36098470" w14:textId="4B8D75BA" w:rsidR="00AB01C6" w:rsidRPr="00876D67" w:rsidRDefault="00AB01C6" w:rsidP="6D1EBDEE">
      <w:pPr>
        <w:autoSpaceDE w:val="0"/>
        <w:autoSpaceDN w:val="0"/>
        <w:adjustRightInd w:val="0"/>
        <w:snapToGrid w:val="0"/>
        <w:rPr>
          <w:rFonts w:eastAsia="Times New Roman"/>
          <w:kern w:val="0"/>
          <w:sz w:val="24"/>
        </w:rPr>
      </w:pPr>
      <w:r w:rsidRPr="6D1EBDEE">
        <w:rPr>
          <w:rFonts w:eastAsia="Times New Roman"/>
          <w:b/>
          <w:bCs/>
          <w:kern w:val="0"/>
          <w:sz w:val="24"/>
        </w:rPr>
        <w:t>Results</w:t>
      </w:r>
    </w:p>
    <w:p w14:paraId="14AEA6A6" w14:textId="55CA8A0E" w:rsidR="00640455" w:rsidRDefault="2EED2B9B" w:rsidP="6D1EBDEE">
      <w:pPr>
        <w:autoSpaceDE w:val="0"/>
        <w:autoSpaceDN w:val="0"/>
        <w:adjustRightInd w:val="0"/>
        <w:snapToGrid w:val="0"/>
        <w:rPr>
          <w:rFonts w:eastAsia="Times New Roman"/>
          <w:sz w:val="24"/>
        </w:rPr>
      </w:pPr>
      <w:r w:rsidRPr="203FB4BC">
        <w:rPr>
          <w:rFonts w:eastAsia="Times New Roman"/>
          <w:sz w:val="24"/>
        </w:rPr>
        <w:t xml:space="preserve">The temperature ramp was </w:t>
      </w:r>
      <w:r w:rsidR="083B517F" w:rsidRPr="203FB4BC">
        <w:rPr>
          <w:rFonts w:eastAsia="Times New Roman"/>
          <w:sz w:val="24"/>
        </w:rPr>
        <w:t xml:space="preserve">programmed </w:t>
      </w:r>
      <w:r w:rsidRPr="203FB4BC">
        <w:rPr>
          <w:rFonts w:eastAsia="Times New Roman"/>
          <w:sz w:val="24"/>
        </w:rPr>
        <w:t>such that at 5 h styrene reached a conversion of 80% without crosslinkers. The concentration of DVB was defined such that gelation was observed after 2 h of reaction. Consequently, higher concentrations of α,ω-dienePS were chosen. While copolymerization of styrene and DVB yields crosslinked products after 2h, even after 5 h of reaction the products of styrene’s FRP containing α,ω-dienePS were soluble in THF. Evaluation of the MWDs served as further proof of the different reactivities. Every sample containing α,ω-dienePS shows a marked bimodality, with one low-dispersity peak attributed to the apparently unaltered α,ω-dienePS and the second broader one attributed to the product of styrene’s FRP.</w:t>
      </w:r>
    </w:p>
    <w:p w14:paraId="46AA7B15" w14:textId="47654FAE" w:rsidR="00AB01C6" w:rsidRPr="00876D67" w:rsidRDefault="00AB01C6" w:rsidP="6D1EBDEE">
      <w:pPr>
        <w:autoSpaceDE w:val="0"/>
        <w:autoSpaceDN w:val="0"/>
        <w:adjustRightInd w:val="0"/>
        <w:snapToGrid w:val="0"/>
        <w:rPr>
          <w:rFonts w:eastAsia="Times New Roman"/>
          <w:kern w:val="0"/>
          <w:sz w:val="24"/>
        </w:rPr>
      </w:pPr>
      <w:r w:rsidRPr="6D1EBDEE">
        <w:rPr>
          <w:rFonts w:eastAsia="Times New Roman"/>
          <w:b/>
          <w:bCs/>
          <w:kern w:val="0"/>
          <w:sz w:val="24"/>
        </w:rPr>
        <w:t>Discussion</w:t>
      </w:r>
    </w:p>
    <w:p w14:paraId="6E637866" w14:textId="605CA6E6" w:rsidR="00AB01C6" w:rsidRPr="00876D67" w:rsidRDefault="009703C0" w:rsidP="6D1EBDEE">
      <w:pPr>
        <w:snapToGrid w:val="0"/>
        <w:ind w:right="45"/>
        <w:rPr>
          <w:rFonts w:eastAsia="Times New Roman"/>
          <w:b/>
          <w:bCs/>
          <w:kern w:val="0"/>
          <w:sz w:val="22"/>
          <w:szCs w:val="22"/>
        </w:rPr>
      </w:pPr>
      <w:r w:rsidRPr="203FB4BC">
        <w:rPr>
          <w:rFonts w:eastAsia="Times New Roman"/>
          <w:sz w:val="24"/>
        </w:rPr>
        <w:t xml:space="preserve">Although theoretically possible, these results hint that α,ω-dienePS does not react during styrene’s FRP. The reactivity was expected to be lower for the dialkene because the double bond is 1,2-disubstituted, unlike the vinyl moieties of DVB. Even </w:t>
      </w:r>
      <w:r w:rsidR="4350C7ED" w:rsidRPr="203FB4BC">
        <w:rPr>
          <w:rFonts w:eastAsia="Times New Roman"/>
          <w:sz w:val="24"/>
        </w:rPr>
        <w:t xml:space="preserve">a three-fold </w:t>
      </w:r>
      <w:r w:rsidRPr="203FB4BC">
        <w:rPr>
          <w:rFonts w:eastAsia="Times New Roman"/>
          <w:sz w:val="24"/>
        </w:rPr>
        <w:t>increase in concentration of α,ω-dienePS seems to not exert a significant effect, besides slowing down the FRP by diluting the reaction mixture.</w:t>
      </w:r>
    </w:p>
    <w:sectPr w:rsidR="00AB01C6" w:rsidRPr="00876D67" w:rsidSect="00A75071">
      <w:headerReference w:type="default" r:id="rId10"/>
      <w:pgSz w:w="12240" w:h="15840"/>
      <w:pgMar w:top="1134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4EDA7" w14:textId="77777777" w:rsidR="000504EA" w:rsidRDefault="000504EA" w:rsidP="00962E68">
      <w:r>
        <w:separator/>
      </w:r>
    </w:p>
  </w:endnote>
  <w:endnote w:type="continuationSeparator" w:id="0">
    <w:p w14:paraId="3EB8A9EF" w14:textId="77777777" w:rsidR="000504EA" w:rsidRDefault="000504EA" w:rsidP="00962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937B7" w14:textId="77777777" w:rsidR="000504EA" w:rsidRDefault="000504EA" w:rsidP="00962E68">
      <w:r>
        <w:separator/>
      </w:r>
    </w:p>
  </w:footnote>
  <w:footnote w:type="continuationSeparator" w:id="0">
    <w:p w14:paraId="36F70E64" w14:textId="77777777" w:rsidR="000504EA" w:rsidRDefault="000504EA" w:rsidP="00962E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C7C5D" w14:textId="54A84C4C" w:rsidR="00962E68" w:rsidRPr="00962E68" w:rsidRDefault="00032326" w:rsidP="00032326">
    <w:pPr>
      <w:pStyle w:val="Header"/>
      <w:jc w:val="center"/>
      <w:rPr>
        <w:i/>
      </w:rPr>
    </w:pPr>
    <w:r w:rsidRPr="00026A96">
      <w:rPr>
        <w:i/>
      </w:rPr>
      <w:t>X</w:t>
    </w:r>
    <w:r w:rsidR="009B4ACE">
      <w:rPr>
        <w:i/>
      </w:rPr>
      <w:t>I</w:t>
    </w:r>
    <w:r w:rsidR="00CC3461">
      <w:rPr>
        <w:i/>
      </w:rPr>
      <w:t>I</w:t>
    </w:r>
    <w:r w:rsidR="00A33FA2">
      <w:rPr>
        <w:i/>
      </w:rPr>
      <w:t>I</w:t>
    </w:r>
    <w:r w:rsidR="00962E68" w:rsidRPr="00026A96">
      <w:rPr>
        <w:i/>
      </w:rPr>
      <w:t xml:space="preserve"> INSTM CONFERENCE, </w:t>
    </w:r>
    <w:r w:rsidR="00026A96" w:rsidRPr="00026A96">
      <w:rPr>
        <w:i/>
      </w:rPr>
      <w:t>J</w:t>
    </w:r>
    <w:r w:rsidR="00CC3461">
      <w:rPr>
        <w:i/>
      </w:rPr>
      <w:t>anuar</w:t>
    </w:r>
    <w:r w:rsidR="00026A96" w:rsidRPr="00026A96">
      <w:rPr>
        <w:i/>
      </w:rPr>
      <w:t>y</w:t>
    </w:r>
    <w:r w:rsidR="009B4ACE">
      <w:rPr>
        <w:i/>
      </w:rPr>
      <w:t xml:space="preserve"> </w:t>
    </w:r>
    <w:r w:rsidR="00A33FA2">
      <w:rPr>
        <w:i/>
      </w:rPr>
      <w:t>2</w:t>
    </w:r>
    <w:r w:rsidR="00CC3461">
      <w:rPr>
        <w:i/>
      </w:rPr>
      <w:t>3</w:t>
    </w:r>
    <w:r w:rsidR="009B4ACE">
      <w:rPr>
        <w:i/>
      </w:rPr>
      <w:t>-</w:t>
    </w:r>
    <w:r w:rsidR="00A33FA2">
      <w:rPr>
        <w:i/>
      </w:rPr>
      <w:t>2</w:t>
    </w:r>
    <w:r w:rsidR="00CC3461">
      <w:rPr>
        <w:i/>
      </w:rPr>
      <w:t>6</w:t>
    </w:r>
    <w:r w:rsidR="009B4ACE">
      <w:rPr>
        <w:i/>
      </w:rPr>
      <w:t>,</w:t>
    </w:r>
    <w:r w:rsidR="00026A96" w:rsidRPr="00026A96">
      <w:rPr>
        <w:i/>
      </w:rPr>
      <w:t xml:space="preserve"> </w:t>
    </w:r>
    <w:r w:rsidR="00CC3461" w:rsidRPr="00026A96">
      <w:rPr>
        <w:i/>
      </w:rPr>
      <w:t>20</w:t>
    </w:r>
    <w:r w:rsidR="00CC3461">
      <w:rPr>
        <w:i/>
      </w:rPr>
      <w:t>22,</w:t>
    </w:r>
    <w:r w:rsidR="009B4ACE" w:rsidRPr="009B4ACE">
      <w:rPr>
        <w:i/>
      </w:rPr>
      <w:t xml:space="preserve"> </w:t>
    </w:r>
    <w:proofErr w:type="spellStart"/>
    <w:r w:rsidR="00CC3461">
      <w:rPr>
        <w:i/>
      </w:rPr>
      <w:t>Sestriere</w:t>
    </w:r>
    <w:proofErr w:type="spellEnd"/>
    <w:r w:rsidR="00CC3461">
      <w:rPr>
        <w:i/>
      </w:rPr>
      <w:t xml:space="preserve"> (TO)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hyphenationZone w:val="283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5EE"/>
    <w:rsid w:val="000016AC"/>
    <w:rsid w:val="00022F68"/>
    <w:rsid w:val="00026A96"/>
    <w:rsid w:val="00032326"/>
    <w:rsid w:val="0003461E"/>
    <w:rsid w:val="000504EA"/>
    <w:rsid w:val="00066731"/>
    <w:rsid w:val="000D4481"/>
    <w:rsid w:val="000D716D"/>
    <w:rsid w:val="00196A6B"/>
    <w:rsid w:val="001C71EE"/>
    <w:rsid w:val="002049F3"/>
    <w:rsid w:val="0025182D"/>
    <w:rsid w:val="00252FF1"/>
    <w:rsid w:val="002859D5"/>
    <w:rsid w:val="0029141A"/>
    <w:rsid w:val="00294679"/>
    <w:rsid w:val="002C3201"/>
    <w:rsid w:val="002D1CB7"/>
    <w:rsid w:val="002D6A3E"/>
    <w:rsid w:val="002E564E"/>
    <w:rsid w:val="00301637"/>
    <w:rsid w:val="00370E79"/>
    <w:rsid w:val="00386369"/>
    <w:rsid w:val="003C23B6"/>
    <w:rsid w:val="003C4229"/>
    <w:rsid w:val="00410010"/>
    <w:rsid w:val="00454335"/>
    <w:rsid w:val="004A7E64"/>
    <w:rsid w:val="004B17E7"/>
    <w:rsid w:val="004E204F"/>
    <w:rsid w:val="004E2D76"/>
    <w:rsid w:val="004F1805"/>
    <w:rsid w:val="005065EE"/>
    <w:rsid w:val="00506BE5"/>
    <w:rsid w:val="005174D6"/>
    <w:rsid w:val="00527A94"/>
    <w:rsid w:val="005D6504"/>
    <w:rsid w:val="005E0CF9"/>
    <w:rsid w:val="005F647C"/>
    <w:rsid w:val="00607256"/>
    <w:rsid w:val="006167D8"/>
    <w:rsid w:val="00640455"/>
    <w:rsid w:val="00663CAC"/>
    <w:rsid w:val="006A7556"/>
    <w:rsid w:val="006D6856"/>
    <w:rsid w:val="007143CB"/>
    <w:rsid w:val="00753B52"/>
    <w:rsid w:val="007A0D98"/>
    <w:rsid w:val="007A1684"/>
    <w:rsid w:val="00813C19"/>
    <w:rsid w:val="00876D67"/>
    <w:rsid w:val="008C044C"/>
    <w:rsid w:val="008C1519"/>
    <w:rsid w:val="008F47A7"/>
    <w:rsid w:val="00962E68"/>
    <w:rsid w:val="00963CCB"/>
    <w:rsid w:val="009703C0"/>
    <w:rsid w:val="009B4ACE"/>
    <w:rsid w:val="009D01CA"/>
    <w:rsid w:val="009E5238"/>
    <w:rsid w:val="00A05238"/>
    <w:rsid w:val="00A33FA2"/>
    <w:rsid w:val="00A74B57"/>
    <w:rsid w:val="00A75071"/>
    <w:rsid w:val="00A86D49"/>
    <w:rsid w:val="00AA255B"/>
    <w:rsid w:val="00AB01C6"/>
    <w:rsid w:val="00AE4374"/>
    <w:rsid w:val="00AF362F"/>
    <w:rsid w:val="00AF6072"/>
    <w:rsid w:val="00B67D1A"/>
    <w:rsid w:val="00B74FF4"/>
    <w:rsid w:val="00CC3461"/>
    <w:rsid w:val="00CD6A88"/>
    <w:rsid w:val="00CF2D92"/>
    <w:rsid w:val="00D62153"/>
    <w:rsid w:val="00DC77B7"/>
    <w:rsid w:val="00E90386"/>
    <w:rsid w:val="00F00C22"/>
    <w:rsid w:val="00F64181"/>
    <w:rsid w:val="00FF1600"/>
    <w:rsid w:val="02111E8A"/>
    <w:rsid w:val="038F7E07"/>
    <w:rsid w:val="052C5855"/>
    <w:rsid w:val="083B517F"/>
    <w:rsid w:val="0892BB49"/>
    <w:rsid w:val="0D6615CA"/>
    <w:rsid w:val="0DACAC74"/>
    <w:rsid w:val="0E1D1C16"/>
    <w:rsid w:val="0FB5EA2A"/>
    <w:rsid w:val="105BFBEF"/>
    <w:rsid w:val="110815D5"/>
    <w:rsid w:val="12229506"/>
    <w:rsid w:val="12754111"/>
    <w:rsid w:val="12D28104"/>
    <w:rsid w:val="14FE4C43"/>
    <w:rsid w:val="185FEA97"/>
    <w:rsid w:val="19E74E5B"/>
    <w:rsid w:val="1A5215BC"/>
    <w:rsid w:val="1C0FB50D"/>
    <w:rsid w:val="1DC27497"/>
    <w:rsid w:val="1F5DDF56"/>
    <w:rsid w:val="203FB4BC"/>
    <w:rsid w:val="247D37D4"/>
    <w:rsid w:val="25465B25"/>
    <w:rsid w:val="265E8AFD"/>
    <w:rsid w:val="2B994286"/>
    <w:rsid w:val="2CB8DAC7"/>
    <w:rsid w:val="2D3B51D6"/>
    <w:rsid w:val="2D5EE24F"/>
    <w:rsid w:val="2E90C216"/>
    <w:rsid w:val="2EED2B9B"/>
    <w:rsid w:val="2F8EF9D8"/>
    <w:rsid w:val="2FBFEA7B"/>
    <w:rsid w:val="2FE675CD"/>
    <w:rsid w:val="302DD56B"/>
    <w:rsid w:val="30381E63"/>
    <w:rsid w:val="307C9852"/>
    <w:rsid w:val="323B3DF2"/>
    <w:rsid w:val="331F712B"/>
    <w:rsid w:val="33303F83"/>
    <w:rsid w:val="3348061F"/>
    <w:rsid w:val="33DE4706"/>
    <w:rsid w:val="34974D15"/>
    <w:rsid w:val="35C8DA0F"/>
    <w:rsid w:val="37BAC3A0"/>
    <w:rsid w:val="3A1C575B"/>
    <w:rsid w:val="3BED9C1E"/>
    <w:rsid w:val="3D5B1B5A"/>
    <w:rsid w:val="3E0E0B17"/>
    <w:rsid w:val="3F253CE0"/>
    <w:rsid w:val="3F33907D"/>
    <w:rsid w:val="404AA3C7"/>
    <w:rsid w:val="407A6F19"/>
    <w:rsid w:val="4350C7ED"/>
    <w:rsid w:val="450F69F0"/>
    <w:rsid w:val="451BFAAB"/>
    <w:rsid w:val="45C2357C"/>
    <w:rsid w:val="45FD0EDE"/>
    <w:rsid w:val="46B7CB0C"/>
    <w:rsid w:val="4773CCE2"/>
    <w:rsid w:val="4778182B"/>
    <w:rsid w:val="49EF6BCE"/>
    <w:rsid w:val="4A4BE5B8"/>
    <w:rsid w:val="4AB03291"/>
    <w:rsid w:val="4B5897B1"/>
    <w:rsid w:val="4CA35676"/>
    <w:rsid w:val="514D2416"/>
    <w:rsid w:val="53A14B35"/>
    <w:rsid w:val="54065AED"/>
    <w:rsid w:val="54E3C84C"/>
    <w:rsid w:val="56063EE7"/>
    <w:rsid w:val="561FCC79"/>
    <w:rsid w:val="56853CC4"/>
    <w:rsid w:val="57779B5C"/>
    <w:rsid w:val="57F2BC00"/>
    <w:rsid w:val="5F998876"/>
    <w:rsid w:val="5FF90888"/>
    <w:rsid w:val="604AC143"/>
    <w:rsid w:val="60531872"/>
    <w:rsid w:val="620180E5"/>
    <w:rsid w:val="66F6FD47"/>
    <w:rsid w:val="67EF56F1"/>
    <w:rsid w:val="69F36A6D"/>
    <w:rsid w:val="6AA55811"/>
    <w:rsid w:val="6C496C47"/>
    <w:rsid w:val="6D1EBDEE"/>
    <w:rsid w:val="6D8A12B4"/>
    <w:rsid w:val="70F745FB"/>
    <w:rsid w:val="716D7D02"/>
    <w:rsid w:val="73205B57"/>
    <w:rsid w:val="7640EE25"/>
    <w:rsid w:val="7737C0B3"/>
    <w:rsid w:val="7858F969"/>
    <w:rsid w:val="7AD455A4"/>
    <w:rsid w:val="7C2C798F"/>
    <w:rsid w:val="7CA08002"/>
    <w:rsid w:val="7CAAC5EB"/>
    <w:rsid w:val="7F21E5E9"/>
    <w:rsid w:val="7F94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5E3FE53"/>
  <w15:docId w15:val="{A17315DB-3E26-444C-B4B8-DE3D58D017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065EE"/>
    <w:pPr>
      <w:widowControl w:val="0"/>
      <w:jc w:val="both"/>
    </w:pPr>
    <w:rPr>
      <w:kern w:val="2"/>
      <w:sz w:val="21"/>
      <w:szCs w:val="24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962E68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962E68"/>
    <w:rPr>
      <w:kern w:val="2"/>
      <w:sz w:val="21"/>
      <w:szCs w:val="24"/>
      <w:lang w:val="en-US" w:eastAsia="zh-CN"/>
    </w:rPr>
  </w:style>
  <w:style w:type="paragraph" w:styleId="Footer">
    <w:name w:val="footer"/>
    <w:basedOn w:val="Normal"/>
    <w:link w:val="FooterChar"/>
    <w:uiPriority w:val="99"/>
    <w:rsid w:val="00962E68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uiPriority w:val="99"/>
    <w:rsid w:val="00962E68"/>
    <w:rPr>
      <w:kern w:val="2"/>
      <w:sz w:val="21"/>
      <w:szCs w:val="24"/>
      <w:lang w:val="en-US" w:eastAsia="zh-CN"/>
    </w:rPr>
  </w:style>
  <w:style w:type="character" w:styleId="Hyperlink">
    <w:name w:val="Hyperlink"/>
    <w:basedOn w:val="DefaultParagraphFont"/>
    <w:rsid w:val="008F47A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C3461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Pr>
      <w:kern w:val="2"/>
      <w:lang w:val="en-US" w:eastAsia="zh-CN"/>
    </w:rPr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BalloonText">
    <w:name w:val="Balloon Text"/>
    <w:basedOn w:val="Normal"/>
    <w:link w:val="BalloonTextChar"/>
    <w:rsid w:val="0029141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29141A"/>
    <w:rPr>
      <w:rFonts w:ascii="Segoe UI" w:hAnsi="Segoe UI" w:cs="Segoe UI"/>
      <w:kern w:val="2"/>
      <w:sz w:val="18"/>
      <w:szCs w:val="18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C9F6FD7C3B6704F8B86926366B46AEB" ma:contentTypeVersion="4" ma:contentTypeDescription="Creare un nuovo documento." ma:contentTypeScope="" ma:versionID="48b0cdeee744da4c85c62f07a8b9d568">
  <xsd:schema xmlns:xsd="http://www.w3.org/2001/XMLSchema" xmlns:xs="http://www.w3.org/2001/XMLSchema" xmlns:p="http://schemas.microsoft.com/office/2006/metadata/properties" xmlns:ns2="c883262b-7fcb-45ed-b542-c2b486f165e6" targetNamespace="http://schemas.microsoft.com/office/2006/metadata/properties" ma:root="true" ma:fieldsID="3d35b04a64e882698cca8b23880720a7" ns2:_="">
    <xsd:import namespace="c883262b-7fcb-45ed-b542-c2b486f165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83262b-7fcb-45ed-b542-c2b486f165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BD4F178-12A1-4C8E-9D6E-D20E376EDAC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30E3044-9331-4066-B90C-B74E0693E5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906A89-D5A7-41DB-9E0E-76593FF63C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83262b-7fcb-45ed-b542-c2b486f165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CB7C84-9DEF-4F00-B994-FCD5DF28E3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466</Words>
  <Characters>2811</Characters>
  <Application>Microsoft Office Word</Application>
  <DocSecurity>4</DocSecurity>
  <Lines>23</Lines>
  <Paragraphs>6</Paragraphs>
  <ScaleCrop>false</ScaleCrop>
  <Company>rcees</Company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 Times New Roman, size 12, bold, mid adjusted and containing maximum 30 words</dc:title>
  <dc:creator>sxy</dc:creator>
  <cp:lastModifiedBy>NICCOLÒ BRAIDI</cp:lastModifiedBy>
  <cp:revision>2</cp:revision>
  <cp:lastPrinted>2021-10-29T10:40:00Z</cp:lastPrinted>
  <dcterms:created xsi:type="dcterms:W3CDTF">2021-11-17T10:35:00Z</dcterms:created>
  <dcterms:modified xsi:type="dcterms:W3CDTF">2021-11-17T10:35:00Z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0x0101004C9F6FD7C3B6704F8B86926366B46AEB</vt:lpwstr>
  </property>
</Properties>
</file>