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0F957" w14:textId="4BB990B0" w:rsidR="00CC3461" w:rsidRPr="00876D67" w:rsidRDefault="00DC77B7" w:rsidP="00066731">
      <w:pPr>
        <w:autoSpaceDE w:val="0"/>
        <w:autoSpaceDN w:val="0"/>
        <w:adjustRightInd w:val="0"/>
        <w:snapToGrid w:val="0"/>
        <w:jc w:val="left"/>
        <w:rPr>
          <w:rFonts w:eastAsia="TimesNewRomanPS-BoldMT"/>
          <w:b/>
          <w:bCs/>
          <w:color w:val="000000"/>
          <w:kern w:val="0"/>
          <w:sz w:val="24"/>
        </w:rPr>
      </w:pPr>
      <w:r w:rsidRPr="00876D67">
        <w:rPr>
          <w:rFonts w:eastAsia="TimesNewRomanPS-BoldMT"/>
          <w:b/>
          <w:bCs/>
          <w:color w:val="000000"/>
          <w:kern w:val="0"/>
          <w:sz w:val="24"/>
        </w:rPr>
        <w:t xml:space="preserve">MAY POST-ARGET ATRP FUNCTIONALIZATION BE A GOOD WAY FOR POLYSTYRENE UP-CYCLING? </w:t>
      </w:r>
    </w:p>
    <w:p w14:paraId="485C7686" w14:textId="7B39A735" w:rsidR="005065EE" w:rsidRPr="001A43E7" w:rsidRDefault="00CC3461" w:rsidP="00066731">
      <w:pPr>
        <w:autoSpaceDE w:val="0"/>
        <w:autoSpaceDN w:val="0"/>
        <w:adjustRightInd w:val="0"/>
        <w:snapToGrid w:val="0"/>
        <w:jc w:val="left"/>
        <w:rPr>
          <w:rFonts w:eastAsia="TimesNewRomanPS-BoldMT"/>
          <w:b/>
          <w:bCs/>
          <w:color w:val="000000"/>
          <w:kern w:val="0"/>
          <w:sz w:val="24"/>
          <w:lang w:val="it-IT"/>
        </w:rPr>
      </w:pPr>
      <w:r w:rsidRPr="001A43E7">
        <w:rPr>
          <w:rFonts w:eastAsia="TimesNewRomanPS-BoldMT"/>
          <w:b/>
          <w:bCs/>
          <w:color w:val="000000"/>
          <w:kern w:val="0"/>
          <w:sz w:val="24"/>
          <w:lang w:val="it-IT"/>
        </w:rPr>
        <w:t>TITOLO IN ITALIANO</w:t>
      </w:r>
      <w:r w:rsidR="00DC77B7" w:rsidRPr="001A43E7">
        <w:rPr>
          <w:rFonts w:eastAsia="TimesNewRomanPS-BoldMT"/>
          <w:b/>
          <w:bCs/>
          <w:color w:val="000000"/>
          <w:kern w:val="0"/>
          <w:sz w:val="24"/>
          <w:lang w:val="it-IT"/>
        </w:rPr>
        <w:t>: LA FUNZIONALIZZAZIONE POST-ARGET ATRP PUÒ RAPPRESENTARE UNA BUONA STRADA PER L’UP-CYCLING DEL POLISTIRENE?</w:t>
      </w:r>
    </w:p>
    <w:p w14:paraId="1E3BC45B" w14:textId="77777777" w:rsidR="00963CCB" w:rsidRPr="001A43E7" w:rsidRDefault="00963CCB" w:rsidP="00963CCB">
      <w:pPr>
        <w:autoSpaceDE w:val="0"/>
        <w:autoSpaceDN w:val="0"/>
        <w:adjustRightInd w:val="0"/>
        <w:snapToGrid w:val="0"/>
        <w:jc w:val="center"/>
        <w:rPr>
          <w:rFonts w:eastAsia="TimesNewRomanPS-BoldMT"/>
          <w:b/>
          <w:bCs/>
          <w:color w:val="000000"/>
          <w:kern w:val="0"/>
          <w:sz w:val="24"/>
          <w:lang w:val="it-IT"/>
        </w:rPr>
      </w:pPr>
    </w:p>
    <w:p w14:paraId="2310F80C" w14:textId="491875A5" w:rsidR="005065EE" w:rsidRPr="001A43E7" w:rsidRDefault="2553E799" w:rsidP="20813EEB">
      <w:pPr>
        <w:snapToGrid w:val="0"/>
        <w:jc w:val="center"/>
        <w:rPr>
          <w:rFonts w:eastAsia="Times New Roman"/>
          <w:b/>
          <w:bCs/>
          <w:color w:val="000000" w:themeColor="text1"/>
          <w:sz w:val="24"/>
          <w:vertAlign w:val="superscript"/>
          <w:lang w:val="it-IT"/>
        </w:rPr>
      </w:pPr>
      <w:r w:rsidRPr="001A43E7">
        <w:rPr>
          <w:rFonts w:eastAsia="Times New Roman"/>
          <w:b/>
          <w:bCs/>
          <w:color w:val="000000" w:themeColor="text1"/>
          <w:sz w:val="24"/>
          <w:u w:val="single"/>
          <w:lang w:val="it-IT"/>
        </w:rPr>
        <w:t>Braidi N.</w:t>
      </w:r>
      <w:r w:rsidR="51C6C38C" w:rsidRPr="004B5BE8">
        <w:rPr>
          <w:rFonts w:eastAsia="Times New Roman"/>
          <w:b/>
          <w:bCs/>
          <w:color w:val="000000" w:themeColor="text1"/>
          <w:sz w:val="24"/>
          <w:vertAlign w:val="superscript"/>
          <w:lang w:val="it-IT"/>
        </w:rPr>
        <w:t>1</w:t>
      </w:r>
      <w:r w:rsidR="7683D3EF" w:rsidRPr="004B5BE8">
        <w:rPr>
          <w:rFonts w:eastAsia="Times New Roman"/>
          <w:b/>
          <w:bCs/>
          <w:color w:val="000000" w:themeColor="text1"/>
          <w:sz w:val="24"/>
          <w:lang w:val="it-IT"/>
        </w:rPr>
        <w:t>,</w:t>
      </w:r>
      <w:r w:rsidR="004B5BE8" w:rsidRPr="004B5BE8">
        <w:rPr>
          <w:rFonts w:eastAsia="Times New Roman"/>
          <w:b/>
          <w:bCs/>
          <w:color w:val="000000" w:themeColor="text1"/>
          <w:sz w:val="24"/>
          <w:vertAlign w:val="superscript"/>
          <w:lang w:val="it-IT"/>
        </w:rPr>
        <w:t xml:space="preserve"> </w:t>
      </w:r>
      <w:r w:rsidRPr="001A43E7">
        <w:rPr>
          <w:rFonts w:eastAsia="Times New Roman"/>
          <w:b/>
          <w:bCs/>
          <w:color w:val="000000" w:themeColor="text1"/>
          <w:sz w:val="24"/>
          <w:lang w:val="it-IT"/>
        </w:rPr>
        <w:t>Bedogni E</w:t>
      </w:r>
      <w:r w:rsidRPr="001A43E7">
        <w:rPr>
          <w:rFonts w:eastAsia="Times New Roman"/>
          <w:b/>
          <w:bCs/>
          <w:color w:val="000000" w:themeColor="text1"/>
          <w:sz w:val="24"/>
          <w:vertAlign w:val="superscript"/>
          <w:lang w:val="it-IT"/>
        </w:rPr>
        <w:t>2</w:t>
      </w:r>
      <w:r w:rsidR="33478730"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Bonifaci L.</w:t>
      </w:r>
      <w:r w:rsidRPr="001A43E7">
        <w:rPr>
          <w:rFonts w:eastAsia="Times New Roman"/>
          <w:b/>
          <w:bCs/>
          <w:color w:val="000000" w:themeColor="text1"/>
          <w:sz w:val="24"/>
          <w:vertAlign w:val="superscript"/>
          <w:lang w:val="it-IT"/>
        </w:rPr>
        <w:t>2</w:t>
      </w:r>
      <w:r w:rsidR="65992AD7"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Cavalca G.</w:t>
      </w:r>
      <w:r w:rsidRPr="001A43E7">
        <w:rPr>
          <w:rFonts w:eastAsia="Times New Roman"/>
          <w:b/>
          <w:bCs/>
          <w:color w:val="000000" w:themeColor="text1"/>
          <w:sz w:val="24"/>
          <w:vertAlign w:val="superscript"/>
          <w:lang w:val="it-IT"/>
        </w:rPr>
        <w:t>2</w:t>
      </w:r>
      <w:r w:rsidR="785E4689"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Ghelfi F.</w:t>
      </w:r>
      <w:r w:rsidR="6DFA3493" w:rsidRPr="001A43E7">
        <w:rPr>
          <w:rFonts w:eastAsia="Times New Roman"/>
          <w:b/>
          <w:bCs/>
          <w:color w:val="000000" w:themeColor="text1"/>
          <w:sz w:val="24"/>
          <w:vertAlign w:val="superscript"/>
          <w:lang w:val="it-IT"/>
        </w:rPr>
        <w:t>1</w:t>
      </w:r>
      <w:r w:rsidRPr="001A43E7">
        <w:rPr>
          <w:rFonts w:eastAsia="Times New Roman"/>
          <w:b/>
          <w:bCs/>
          <w:color w:val="000000" w:themeColor="text1"/>
          <w:sz w:val="24"/>
          <w:vertAlign w:val="superscript"/>
          <w:lang w:val="it-IT"/>
        </w:rPr>
        <w:t>,</w:t>
      </w:r>
      <w:r w:rsidR="5FB6C695" w:rsidRPr="001A43E7">
        <w:rPr>
          <w:rFonts w:eastAsia="Times New Roman"/>
          <w:b/>
          <w:bCs/>
          <w:color w:val="000000" w:themeColor="text1"/>
          <w:sz w:val="24"/>
          <w:vertAlign w:val="superscript"/>
          <w:lang w:val="it-IT"/>
        </w:rPr>
        <w:t>2</w:t>
      </w:r>
      <w:r w:rsidRPr="001A43E7">
        <w:rPr>
          <w:rFonts w:eastAsia="Times New Roman"/>
          <w:b/>
          <w:bCs/>
          <w:color w:val="000000" w:themeColor="text1"/>
          <w:sz w:val="24"/>
          <w:lang w:val="it-IT"/>
        </w:rPr>
        <w:t>, Longo A.</w:t>
      </w:r>
      <w:r w:rsidRPr="001A43E7">
        <w:rPr>
          <w:rFonts w:eastAsia="Times New Roman"/>
          <w:b/>
          <w:bCs/>
          <w:color w:val="000000" w:themeColor="text1"/>
          <w:sz w:val="24"/>
          <w:vertAlign w:val="superscript"/>
          <w:lang w:val="it-IT"/>
        </w:rPr>
        <w:t>2</w:t>
      </w:r>
      <w:r w:rsidR="4DC48BD5"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Morandini I.</w:t>
      </w:r>
      <w:r w:rsidRPr="001A43E7">
        <w:rPr>
          <w:rFonts w:eastAsia="Times New Roman"/>
          <w:b/>
          <w:bCs/>
          <w:color w:val="000000" w:themeColor="text1"/>
          <w:sz w:val="24"/>
          <w:vertAlign w:val="superscript"/>
          <w:lang w:val="it-IT"/>
        </w:rPr>
        <w:t>2</w:t>
      </w:r>
      <w:r w:rsidR="79BDC56F"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Parenti F.</w:t>
      </w:r>
      <w:r w:rsidR="5E927456" w:rsidRPr="001A43E7">
        <w:rPr>
          <w:rFonts w:eastAsia="Times New Roman"/>
          <w:b/>
          <w:bCs/>
          <w:color w:val="000000" w:themeColor="text1"/>
          <w:sz w:val="24"/>
          <w:vertAlign w:val="superscript"/>
          <w:lang w:val="it-IT"/>
        </w:rPr>
        <w:t>1,2</w:t>
      </w:r>
      <w:r w:rsidRPr="001A43E7">
        <w:rPr>
          <w:rFonts w:eastAsia="Times New Roman"/>
          <w:b/>
          <w:bCs/>
          <w:color w:val="000000" w:themeColor="text1"/>
          <w:sz w:val="24"/>
          <w:lang w:val="it-IT"/>
        </w:rPr>
        <w:t>, Pettenuzzo N.</w:t>
      </w:r>
      <w:r w:rsidRPr="001A43E7">
        <w:rPr>
          <w:rFonts w:eastAsia="Times New Roman"/>
          <w:b/>
          <w:bCs/>
          <w:color w:val="000000" w:themeColor="text1"/>
          <w:sz w:val="24"/>
          <w:vertAlign w:val="superscript"/>
          <w:lang w:val="it-IT"/>
        </w:rPr>
        <w:t>2</w:t>
      </w:r>
      <w:r w:rsidR="646C7AAA" w:rsidRPr="001A43E7">
        <w:rPr>
          <w:rFonts w:eastAsia="Times New Roman"/>
          <w:b/>
          <w:bCs/>
          <w:color w:val="000000" w:themeColor="text1"/>
          <w:sz w:val="24"/>
          <w:vertAlign w:val="superscript"/>
          <w:lang w:val="it-IT"/>
        </w:rPr>
        <w:t>,3</w:t>
      </w:r>
      <w:r w:rsidRPr="001A43E7">
        <w:rPr>
          <w:rFonts w:eastAsia="Times New Roman"/>
          <w:b/>
          <w:bCs/>
          <w:color w:val="000000" w:themeColor="text1"/>
          <w:sz w:val="24"/>
          <w:lang w:val="it-IT"/>
        </w:rPr>
        <w:t>, Piccinini S.</w:t>
      </w:r>
      <w:r w:rsidR="7D29EC3D" w:rsidRPr="001A43E7">
        <w:rPr>
          <w:rFonts w:eastAsia="Times New Roman"/>
          <w:b/>
          <w:bCs/>
          <w:color w:val="000000" w:themeColor="text1"/>
          <w:sz w:val="24"/>
          <w:vertAlign w:val="superscript"/>
          <w:lang w:val="it-IT"/>
        </w:rPr>
        <w:t>1</w:t>
      </w:r>
      <w:r w:rsidR="7ABA653A" w:rsidRPr="001A43E7">
        <w:rPr>
          <w:rFonts w:eastAsia="Times New Roman"/>
          <w:b/>
          <w:bCs/>
          <w:color w:val="000000" w:themeColor="text1"/>
          <w:sz w:val="24"/>
          <w:lang w:val="it-IT"/>
        </w:rPr>
        <w:t>.</w:t>
      </w:r>
    </w:p>
    <w:p w14:paraId="75E88A15" w14:textId="24B7EB53" w:rsidR="005065EE" w:rsidRPr="001A43E7" w:rsidRDefault="005065EE" w:rsidP="20813EEB">
      <w:pPr>
        <w:snapToGrid w:val="0"/>
        <w:jc w:val="center"/>
        <w:rPr>
          <w:rFonts w:eastAsia="MS PGothic"/>
          <w:b/>
          <w:bCs/>
          <w:color w:val="000000"/>
          <w:szCs w:val="21"/>
          <w:highlight w:val="yellow"/>
          <w:lang w:val="it-IT"/>
        </w:rPr>
      </w:pPr>
    </w:p>
    <w:p w14:paraId="04FC86B3" w14:textId="7A9B9463" w:rsidR="005065EE" w:rsidRPr="001A43E7" w:rsidRDefault="3F8D3F63" w:rsidP="288BA1DE">
      <w:pPr>
        <w:autoSpaceDE w:val="0"/>
        <w:autoSpaceDN w:val="0"/>
        <w:adjustRightInd w:val="0"/>
        <w:snapToGrid w:val="0"/>
        <w:jc w:val="center"/>
        <w:rPr>
          <w:rFonts w:eastAsia="Times New Roman"/>
          <w:i/>
          <w:iCs/>
          <w:color w:val="000000" w:themeColor="text1"/>
          <w:sz w:val="24"/>
          <w:lang w:val="it-IT"/>
        </w:rPr>
      </w:pPr>
      <w:r w:rsidRPr="001A43E7">
        <w:rPr>
          <w:rFonts w:eastAsia="TimesNewRomanPS-ItalicMT"/>
          <w:i/>
          <w:iCs/>
          <w:color w:val="000000"/>
          <w:kern w:val="0"/>
          <w:sz w:val="24"/>
          <w:lang w:val="it-IT"/>
        </w:rPr>
        <w:t xml:space="preserve"> </w:t>
      </w:r>
      <w:r w:rsidR="063BE8E9" w:rsidRPr="001A43E7">
        <w:rPr>
          <w:rFonts w:eastAsia="Times New Roman"/>
          <w:i/>
          <w:iCs/>
          <w:color w:val="000000" w:themeColor="text1"/>
          <w:sz w:val="24"/>
          <w:vertAlign w:val="superscript"/>
          <w:lang w:val="it-IT"/>
        </w:rPr>
        <w:t xml:space="preserve"> 1</w:t>
      </w:r>
      <w:r w:rsidR="063BE8E9" w:rsidRPr="001A43E7">
        <w:rPr>
          <w:rFonts w:eastAsia="Times New Roman"/>
          <w:i/>
          <w:iCs/>
          <w:color w:val="000000" w:themeColor="text1"/>
          <w:sz w:val="24"/>
          <w:lang w:val="it-IT"/>
        </w:rPr>
        <w:t xml:space="preserve"> Dipartimento di Scienze Chimiche e Geologiche, Università degli Studi di Modena e Reggio Emilia, Modena, Italy </w:t>
      </w:r>
    </w:p>
    <w:p w14:paraId="306BD0D8" w14:textId="22F57279" w:rsidR="00963CCB" w:rsidRPr="00876D67" w:rsidRDefault="063BE8E9" w:rsidP="288BA1DE">
      <w:pPr>
        <w:autoSpaceDE w:val="0"/>
        <w:autoSpaceDN w:val="0"/>
        <w:adjustRightInd w:val="0"/>
        <w:snapToGrid w:val="0"/>
        <w:jc w:val="center"/>
        <w:rPr>
          <w:rFonts w:eastAsia="Times New Roman"/>
          <w:i/>
          <w:iCs/>
          <w:color w:val="000000" w:themeColor="text1"/>
          <w:sz w:val="24"/>
        </w:rPr>
      </w:pPr>
      <w:r w:rsidRPr="288BA1DE">
        <w:rPr>
          <w:rFonts w:eastAsia="Times New Roman"/>
          <w:i/>
          <w:iCs/>
          <w:color w:val="000000" w:themeColor="text1"/>
          <w:sz w:val="24"/>
          <w:vertAlign w:val="superscript"/>
        </w:rPr>
        <w:t>2</w:t>
      </w:r>
      <w:r w:rsidRPr="288BA1DE">
        <w:rPr>
          <w:rFonts w:eastAsia="Times New Roman"/>
          <w:i/>
          <w:iCs/>
          <w:color w:val="000000" w:themeColor="text1"/>
          <w:sz w:val="24"/>
        </w:rPr>
        <w:t>National Interuniversity Consortium of Materials Science and Technology (INSTM),</w:t>
      </w:r>
    </w:p>
    <w:p w14:paraId="274ECE2E" w14:textId="55709721" w:rsidR="00963CCB" w:rsidRPr="001A43E7" w:rsidRDefault="063BE8E9" w:rsidP="288BA1DE">
      <w:pPr>
        <w:autoSpaceDE w:val="0"/>
        <w:autoSpaceDN w:val="0"/>
        <w:adjustRightInd w:val="0"/>
        <w:snapToGrid w:val="0"/>
        <w:jc w:val="center"/>
        <w:rPr>
          <w:rFonts w:eastAsia="Times New Roman"/>
          <w:i/>
          <w:iCs/>
          <w:color w:val="000000" w:themeColor="text1"/>
          <w:sz w:val="24"/>
          <w:lang w:val="it-IT"/>
        </w:rPr>
      </w:pPr>
      <w:r w:rsidRPr="001A43E7">
        <w:rPr>
          <w:rFonts w:eastAsia="Times New Roman"/>
          <w:i/>
          <w:iCs/>
          <w:color w:val="000000" w:themeColor="text1"/>
          <w:sz w:val="24"/>
          <w:lang w:val="it-IT"/>
        </w:rPr>
        <w:t xml:space="preserve">Italy </w:t>
      </w:r>
    </w:p>
    <w:p w14:paraId="6614AEE6" w14:textId="40CFBB46" w:rsidR="00963CCB" w:rsidRPr="001A43E7" w:rsidRDefault="063BE8E9" w:rsidP="288BA1DE">
      <w:pPr>
        <w:autoSpaceDE w:val="0"/>
        <w:autoSpaceDN w:val="0"/>
        <w:adjustRightInd w:val="0"/>
        <w:snapToGrid w:val="0"/>
        <w:jc w:val="center"/>
        <w:rPr>
          <w:rFonts w:eastAsia="TimesNewRomanPS-ItalicMT"/>
          <w:i/>
          <w:iCs/>
          <w:color w:val="000000"/>
          <w:kern w:val="0"/>
          <w:sz w:val="24"/>
          <w:lang w:val="it-IT"/>
        </w:rPr>
      </w:pPr>
      <w:r w:rsidRPr="001A43E7">
        <w:rPr>
          <w:rFonts w:eastAsia="Times New Roman"/>
          <w:i/>
          <w:iCs/>
          <w:color w:val="000000" w:themeColor="text1"/>
          <w:sz w:val="24"/>
          <w:vertAlign w:val="superscript"/>
          <w:lang w:val="it-IT"/>
        </w:rPr>
        <w:t>3</w:t>
      </w:r>
      <w:r w:rsidRPr="001A43E7">
        <w:rPr>
          <w:rFonts w:eastAsia="Times New Roman"/>
          <w:i/>
          <w:iCs/>
          <w:color w:val="000000" w:themeColor="text1"/>
          <w:sz w:val="24"/>
          <w:lang w:val="it-IT"/>
        </w:rPr>
        <w:t>Versalis (Eni) spa, San Donato Milanese (MI), Italy</w:t>
      </w:r>
    </w:p>
    <w:p w14:paraId="3F973428" w14:textId="64B68B3A" w:rsidR="288BA1DE" w:rsidRPr="001A43E7" w:rsidRDefault="288BA1DE" w:rsidP="288BA1DE">
      <w:pPr>
        <w:jc w:val="left"/>
        <w:rPr>
          <w:rFonts w:eastAsia="TimesNewRomanPS-BoldMT"/>
          <w:b/>
          <w:bCs/>
          <w:color w:val="000000" w:themeColor="text1"/>
          <w:sz w:val="24"/>
          <w:lang w:val="it-IT"/>
        </w:rPr>
      </w:pPr>
    </w:p>
    <w:p w14:paraId="41075CB4" w14:textId="6DF7CC86" w:rsidR="005065EE" w:rsidRPr="00876D67" w:rsidRDefault="00AB01C6" w:rsidP="288BA1DE">
      <w:pPr>
        <w:autoSpaceDE w:val="0"/>
        <w:autoSpaceDN w:val="0"/>
        <w:adjustRightInd w:val="0"/>
        <w:snapToGrid w:val="0"/>
        <w:jc w:val="left"/>
        <w:rPr>
          <w:rFonts w:eastAsia="TimesNewRomanPSMT"/>
          <w:color w:val="262626"/>
          <w:kern w:val="0"/>
          <w:sz w:val="24"/>
        </w:rPr>
      </w:pPr>
      <w:r w:rsidRPr="288BA1DE">
        <w:rPr>
          <w:rFonts w:eastAsia="TimesNewRomanPS-BoldMT"/>
          <w:b/>
          <w:bCs/>
          <w:color w:val="000000"/>
          <w:kern w:val="0"/>
          <w:sz w:val="24"/>
        </w:rPr>
        <w:t>Introduction</w:t>
      </w:r>
    </w:p>
    <w:p w14:paraId="527C46DF" w14:textId="056AE1EA" w:rsidR="00AB01C6" w:rsidRPr="00876D67" w:rsidRDefault="00DC77B7" w:rsidP="288BA1DE">
      <w:pPr>
        <w:snapToGrid w:val="0"/>
        <w:ind w:right="45"/>
        <w:rPr>
          <w:sz w:val="24"/>
        </w:rPr>
      </w:pPr>
      <w:r w:rsidRPr="288BA1DE">
        <w:rPr>
          <w:sz w:val="24"/>
        </w:rPr>
        <w:t xml:space="preserve">The notoriously poor (bio)degradability of vinyl polymers is due to their chemically stable backbone. To lower their environmental impact, it is strategic to intercalate labile bonds along the backbone. These weaker bonds could then be broken faster under environmental conditions, releasing more easily (bio)degradable fragments. By intercalation of disulfide bonds, chemical upcycling is also made possible since the released fragments have the same functionality at both ends (thiol-terminated telechelic shorter chains). </w:t>
      </w:r>
      <w:r w:rsidR="18B36969" w:rsidRPr="288BA1DE">
        <w:rPr>
          <w:sz w:val="24"/>
        </w:rPr>
        <w:t xml:space="preserve">These fragments </w:t>
      </w:r>
      <w:r w:rsidRPr="288BA1DE">
        <w:rPr>
          <w:sz w:val="24"/>
        </w:rPr>
        <w:t>can thus undergo polycondensation, either to reform the starting polymer or to be copolymerized into a novel material. The pursue of sustainability in polymers should show both in the final product as well as in the employed synthetic route. Meaning that, a sensible procedure to intercalate said labile bonds should be employed.</w:t>
      </w:r>
    </w:p>
    <w:p w14:paraId="04B7BEEB" w14:textId="23DA68A4" w:rsidR="00AB01C6" w:rsidRPr="00876D67" w:rsidRDefault="00AB01C6" w:rsidP="004E2D76">
      <w:pPr>
        <w:autoSpaceDE w:val="0"/>
        <w:autoSpaceDN w:val="0"/>
        <w:adjustRightInd w:val="0"/>
        <w:snapToGrid w:val="0"/>
        <w:rPr>
          <w:rFonts w:eastAsia="TimesNewRomanPSMT"/>
          <w:color w:val="262626"/>
          <w:kern w:val="0"/>
          <w:sz w:val="24"/>
        </w:rPr>
      </w:pPr>
      <w:r w:rsidRPr="00876D67">
        <w:rPr>
          <w:rFonts w:eastAsia="TimesNewRomanPS-BoldMT"/>
          <w:b/>
          <w:bCs/>
          <w:color w:val="000000"/>
          <w:kern w:val="0"/>
          <w:sz w:val="24"/>
        </w:rPr>
        <w:t>Material and Methods</w:t>
      </w:r>
    </w:p>
    <w:p w14:paraId="1823F20C" w14:textId="23F6F519" w:rsidR="00AB01C6" w:rsidRPr="00876D67" w:rsidRDefault="00DC77B7" w:rsidP="00AB01C6">
      <w:pPr>
        <w:snapToGrid w:val="0"/>
        <w:ind w:right="45"/>
        <w:rPr>
          <w:sz w:val="24"/>
        </w:rPr>
      </w:pPr>
      <w:r w:rsidRPr="00876D67">
        <w:rPr>
          <w:sz w:val="24"/>
        </w:rPr>
        <w:t>Activators Regenerated by Electron Transfer Atom Transfer Radical Polymerization (ARGET ATRP) of styrene from a bifunctional alkyl chloride initiator, yielded low-MW telechelic polystyrene (α,ω-dichloroPS). The green system employed has low-ppm quantities of catalyst (CuCl</w:t>
      </w:r>
      <w:r w:rsidRPr="00876D67">
        <w:rPr>
          <w:sz w:val="24"/>
          <w:vertAlign w:val="subscript"/>
        </w:rPr>
        <w:t>2</w:t>
      </w:r>
      <w:r w:rsidRPr="00876D67">
        <w:rPr>
          <w:sz w:val="24"/>
        </w:rPr>
        <w:t xml:space="preserve">/TPMA), uses an ascorbic acid lipophilic derivative as the reducing agent, and is performed in a sustainable solvent mixture (EtOAc/EtOH). Dehydrochlorination in DMF of the recovered α,ω-dichloroPS yielded the corresponding dialkene. Finally, photochemically promoted thiol-ene addition of α,ω-dienePS and 1,4-butanedithiol yielded thiol-terminated telechelic polystyrene. Telescopic polycondensation with a bland oxidant </w:t>
      </w:r>
      <w:r w:rsidR="00876D67">
        <w:rPr>
          <w:sz w:val="24"/>
        </w:rPr>
        <w:t>resulted in</w:t>
      </w:r>
      <w:r w:rsidRPr="00876D67">
        <w:rPr>
          <w:sz w:val="24"/>
        </w:rPr>
        <w:t xml:space="preserve"> a polystyrene with in-chain disulfide labile bonds. Chain-end functionality of α,ω-dichloroPS and its derivatives was determined by </w:t>
      </w:r>
      <w:r w:rsidRPr="00876D67">
        <w:rPr>
          <w:sz w:val="24"/>
          <w:vertAlign w:val="superscript"/>
        </w:rPr>
        <w:t>1</w:t>
      </w:r>
      <w:r w:rsidRPr="00876D67">
        <w:rPr>
          <w:sz w:val="24"/>
        </w:rPr>
        <w:t>H-NMR, meanwhile molecular weight distribution (MWD) by Gel Permeation Chromatography (GPC).</w:t>
      </w:r>
    </w:p>
    <w:p w14:paraId="36098470" w14:textId="4B8D75BA" w:rsidR="00AB01C6" w:rsidRPr="00876D67" w:rsidRDefault="00AB01C6" w:rsidP="004E2D76">
      <w:pPr>
        <w:autoSpaceDE w:val="0"/>
        <w:autoSpaceDN w:val="0"/>
        <w:adjustRightInd w:val="0"/>
        <w:snapToGrid w:val="0"/>
        <w:rPr>
          <w:rFonts w:eastAsia="TimesNewRomanPSMT"/>
          <w:color w:val="262626"/>
          <w:kern w:val="0"/>
          <w:sz w:val="24"/>
        </w:rPr>
      </w:pPr>
      <w:r w:rsidRPr="00876D67">
        <w:rPr>
          <w:rFonts w:eastAsia="TimesNewRomanPS-BoldMT"/>
          <w:b/>
          <w:bCs/>
          <w:color w:val="000000"/>
          <w:kern w:val="0"/>
          <w:sz w:val="24"/>
        </w:rPr>
        <w:t>Results</w:t>
      </w:r>
    </w:p>
    <w:p w14:paraId="77BCE363" w14:textId="77777777" w:rsidR="00DC77B7" w:rsidRPr="00876D67" w:rsidRDefault="00DC77B7" w:rsidP="004E2D76">
      <w:pPr>
        <w:autoSpaceDE w:val="0"/>
        <w:autoSpaceDN w:val="0"/>
        <w:adjustRightInd w:val="0"/>
        <w:snapToGrid w:val="0"/>
        <w:rPr>
          <w:sz w:val="24"/>
        </w:rPr>
      </w:pPr>
      <w:r w:rsidRPr="00876D67">
        <w:rPr>
          <w:sz w:val="24"/>
        </w:rPr>
        <w:t>ARGET ATRP has two sought after advantages: high end-group fidelity and predetermined MWD. Both showed in the green system reported. Furthermore, the designed experiments highlighted the influences of the reagents’ quantities on both yield and MWD. Dehydrochlorination was carried to completion without any sensible variation in the MWD. A similar result was obtained in thiol-ene addition, by adjusting the reaction conditions. Finally, GPC showed successful polycondensation of the thiol-terminated polystyrene.</w:t>
      </w:r>
    </w:p>
    <w:p w14:paraId="46AA7B15" w14:textId="4A74A3CE" w:rsidR="00AB01C6" w:rsidRPr="00876D67" w:rsidRDefault="00AB01C6" w:rsidP="004E2D76">
      <w:pPr>
        <w:autoSpaceDE w:val="0"/>
        <w:autoSpaceDN w:val="0"/>
        <w:adjustRightInd w:val="0"/>
        <w:snapToGrid w:val="0"/>
        <w:rPr>
          <w:rFonts w:eastAsia="TimesNewRomanPSMT"/>
          <w:color w:val="262626"/>
          <w:kern w:val="0"/>
          <w:sz w:val="24"/>
        </w:rPr>
      </w:pPr>
      <w:r w:rsidRPr="00876D67">
        <w:rPr>
          <w:rFonts w:eastAsia="TimesNewRomanPS-BoldMT"/>
          <w:b/>
          <w:bCs/>
          <w:color w:val="000000"/>
          <w:kern w:val="0"/>
          <w:sz w:val="24"/>
        </w:rPr>
        <w:t>Discussion</w:t>
      </w:r>
    </w:p>
    <w:p w14:paraId="6E637866" w14:textId="5FDC0E25" w:rsidR="00AB01C6" w:rsidRPr="00876D67" w:rsidRDefault="00876D67" w:rsidP="00AB01C6">
      <w:pPr>
        <w:snapToGrid w:val="0"/>
        <w:ind w:right="45"/>
        <w:rPr>
          <w:rFonts w:eastAsia="TimesNewRomanPS-BoldMT"/>
          <w:b/>
          <w:bCs/>
          <w:color w:val="000000"/>
          <w:kern w:val="0"/>
          <w:sz w:val="22"/>
          <w:szCs w:val="22"/>
        </w:rPr>
      </w:pPr>
      <w:r w:rsidRPr="00876D67">
        <w:rPr>
          <w:sz w:val="24"/>
        </w:rPr>
        <w:t>Emphasis was placed in choosing green functionalizations. For this reason, instead of the nucleophilic substitution reported in literature we employed dehydrohalogenation followed by thiol-ene addition. Furthermore, polycondensation is telescopic to the latter step as a mean to incorporate in the polymeric matrix the excess of 1,4-butanedithiol. Although evidence of effective enhancement of (bio)degradability is missing, the present work serves as a proof of concept for the sustainable synthesis of vinyl polymers with in-chain labile bonds.</w:t>
      </w:r>
    </w:p>
    <w:sectPr w:rsidR="00AB01C6" w:rsidRPr="00876D67" w:rsidSect="00A75071">
      <w:headerReference w:type="default" r:id="rId10"/>
      <w:pgSz w:w="12240" w:h="15840"/>
      <w:pgMar w:top="1134" w:right="1134" w:bottom="1134" w:left="1134"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C9BD5A" w14:textId="77777777" w:rsidR="00BE5D90" w:rsidRDefault="00BE5D90" w:rsidP="00962E68">
      <w:r>
        <w:separator/>
      </w:r>
    </w:p>
  </w:endnote>
  <w:endnote w:type="continuationSeparator" w:id="0">
    <w:p w14:paraId="3D2AF297" w14:textId="77777777" w:rsidR="00BE5D90" w:rsidRDefault="00BE5D90" w:rsidP="00962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TimesNewRomanPS-BoldMT">
    <w:altName w:val="Microsoft YaHei"/>
    <w:panose1 w:val="00000000000000000000"/>
    <w:charset w:val="86"/>
    <w:family w:val="auto"/>
    <w:notTrueType/>
    <w:pitch w:val="default"/>
    <w:sig w:usb0="00000000" w:usb1="080E0000" w:usb2="00000010" w:usb3="00000000" w:csb0="00040000" w:csb1="00000000"/>
  </w:font>
  <w:font w:name="MS PGothic">
    <w:panose1 w:val="020B0600070205080204"/>
    <w:charset w:val="80"/>
    <w:family w:val="swiss"/>
    <w:pitch w:val="variable"/>
    <w:sig w:usb0="E00002FF" w:usb1="6AC7FDFB" w:usb2="08000012" w:usb3="00000000" w:csb0="0002009F" w:csb1="00000000"/>
  </w:font>
  <w:font w:name="TimesNewRomanPS-ItalicMT">
    <w:altName w:val="Microsoft YaHei"/>
    <w:panose1 w:val="00000000000000000000"/>
    <w:charset w:val="86"/>
    <w:family w:val="auto"/>
    <w:notTrueType/>
    <w:pitch w:val="default"/>
    <w:sig w:usb0="00000000" w:usb1="080E0000" w:usb2="00000010" w:usb3="00000000" w:csb0="00040000" w:csb1="00000000"/>
  </w:font>
  <w:font w:name="TimesNewRomanPSMT">
    <w:altName w:val="Microsoft YaHei"/>
    <w:panose1 w:val="00000000000000000000"/>
    <w:charset w:val="86"/>
    <w:family w:val="auto"/>
    <w:notTrueType/>
    <w:pitch w:val="default"/>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74492" w14:textId="77777777" w:rsidR="00BE5D90" w:rsidRDefault="00BE5D90" w:rsidP="00962E68">
      <w:r>
        <w:separator/>
      </w:r>
    </w:p>
  </w:footnote>
  <w:footnote w:type="continuationSeparator" w:id="0">
    <w:p w14:paraId="0031B43C" w14:textId="77777777" w:rsidR="00BE5D90" w:rsidRDefault="00BE5D90" w:rsidP="00962E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C7C5D" w14:textId="54A84C4C" w:rsidR="00962E68" w:rsidRPr="00962E68" w:rsidRDefault="00032326" w:rsidP="00032326">
    <w:pPr>
      <w:pStyle w:val="Header"/>
      <w:jc w:val="center"/>
      <w:rPr>
        <w:i/>
      </w:rPr>
    </w:pPr>
    <w:r w:rsidRPr="00026A96">
      <w:rPr>
        <w:i/>
      </w:rPr>
      <w:t>X</w:t>
    </w:r>
    <w:r w:rsidR="009B4ACE">
      <w:rPr>
        <w:i/>
      </w:rPr>
      <w:t>I</w:t>
    </w:r>
    <w:r w:rsidR="00CC3461">
      <w:rPr>
        <w:i/>
      </w:rPr>
      <w:t>I</w:t>
    </w:r>
    <w:r w:rsidR="00A33FA2">
      <w:rPr>
        <w:i/>
      </w:rPr>
      <w:t>I</w:t>
    </w:r>
    <w:r w:rsidR="00962E68" w:rsidRPr="00026A96">
      <w:rPr>
        <w:i/>
      </w:rPr>
      <w:t xml:space="preserve"> INSTM CONFERENCE, </w:t>
    </w:r>
    <w:r w:rsidR="00026A96" w:rsidRPr="00026A96">
      <w:rPr>
        <w:i/>
      </w:rPr>
      <w:t>J</w:t>
    </w:r>
    <w:r w:rsidR="00CC3461">
      <w:rPr>
        <w:i/>
      </w:rPr>
      <w:t>anuar</w:t>
    </w:r>
    <w:r w:rsidR="00026A96" w:rsidRPr="00026A96">
      <w:rPr>
        <w:i/>
      </w:rPr>
      <w:t>y</w:t>
    </w:r>
    <w:r w:rsidR="009B4ACE">
      <w:rPr>
        <w:i/>
      </w:rPr>
      <w:t xml:space="preserve"> </w:t>
    </w:r>
    <w:r w:rsidR="00A33FA2">
      <w:rPr>
        <w:i/>
      </w:rPr>
      <w:t>2</w:t>
    </w:r>
    <w:r w:rsidR="00CC3461">
      <w:rPr>
        <w:i/>
      </w:rPr>
      <w:t>3</w:t>
    </w:r>
    <w:r w:rsidR="009B4ACE">
      <w:rPr>
        <w:i/>
      </w:rPr>
      <w:t>-</w:t>
    </w:r>
    <w:r w:rsidR="00A33FA2">
      <w:rPr>
        <w:i/>
      </w:rPr>
      <w:t>2</w:t>
    </w:r>
    <w:r w:rsidR="00CC3461">
      <w:rPr>
        <w:i/>
      </w:rPr>
      <w:t>6</w:t>
    </w:r>
    <w:r w:rsidR="009B4ACE">
      <w:rPr>
        <w:i/>
      </w:rPr>
      <w:t>,</w:t>
    </w:r>
    <w:r w:rsidR="00026A96" w:rsidRPr="00026A96">
      <w:rPr>
        <w:i/>
      </w:rPr>
      <w:t xml:space="preserve"> </w:t>
    </w:r>
    <w:r w:rsidR="00CC3461" w:rsidRPr="00026A96">
      <w:rPr>
        <w:i/>
      </w:rPr>
      <w:t>20</w:t>
    </w:r>
    <w:r w:rsidR="00CC3461">
      <w:rPr>
        <w:i/>
      </w:rPr>
      <w:t>22,</w:t>
    </w:r>
    <w:r w:rsidR="009B4ACE" w:rsidRPr="009B4ACE">
      <w:rPr>
        <w:i/>
      </w:rPr>
      <w:t xml:space="preserve"> </w:t>
    </w:r>
    <w:proofErr w:type="spellStart"/>
    <w:r w:rsidR="00CC3461">
      <w:rPr>
        <w:i/>
      </w:rPr>
      <w:t>Sestriere</w:t>
    </w:r>
    <w:proofErr w:type="spellEnd"/>
    <w:r w:rsidR="00CC3461">
      <w:rPr>
        <w:i/>
      </w:rPr>
      <w:t xml:space="preserve"> (TO)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hyphenationZone w:val="283"/>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5EE"/>
    <w:rsid w:val="000016AC"/>
    <w:rsid w:val="00022F68"/>
    <w:rsid w:val="00026A96"/>
    <w:rsid w:val="00032326"/>
    <w:rsid w:val="0003461E"/>
    <w:rsid w:val="00066731"/>
    <w:rsid w:val="000D4481"/>
    <w:rsid w:val="000D716D"/>
    <w:rsid w:val="001A43E7"/>
    <w:rsid w:val="001C71EE"/>
    <w:rsid w:val="002049F3"/>
    <w:rsid w:val="0025182D"/>
    <w:rsid w:val="00294679"/>
    <w:rsid w:val="002C3201"/>
    <w:rsid w:val="002D6A3E"/>
    <w:rsid w:val="002E564E"/>
    <w:rsid w:val="00301637"/>
    <w:rsid w:val="00370E79"/>
    <w:rsid w:val="00386369"/>
    <w:rsid w:val="003C23B6"/>
    <w:rsid w:val="003C4229"/>
    <w:rsid w:val="00454335"/>
    <w:rsid w:val="004A7E64"/>
    <w:rsid w:val="004B17E7"/>
    <w:rsid w:val="004B5BE8"/>
    <w:rsid w:val="004E204F"/>
    <w:rsid w:val="004E2D76"/>
    <w:rsid w:val="005065EE"/>
    <w:rsid w:val="00506BE5"/>
    <w:rsid w:val="00527A94"/>
    <w:rsid w:val="005D6504"/>
    <w:rsid w:val="005E0CF9"/>
    <w:rsid w:val="005F647C"/>
    <w:rsid w:val="006167D8"/>
    <w:rsid w:val="00663CAC"/>
    <w:rsid w:val="006A7556"/>
    <w:rsid w:val="006D6856"/>
    <w:rsid w:val="007143CB"/>
    <w:rsid w:val="007A0D98"/>
    <w:rsid w:val="007A1684"/>
    <w:rsid w:val="00813C19"/>
    <w:rsid w:val="00876D67"/>
    <w:rsid w:val="008F47A7"/>
    <w:rsid w:val="00962E68"/>
    <w:rsid w:val="00963CCB"/>
    <w:rsid w:val="009B4ACE"/>
    <w:rsid w:val="009D01CA"/>
    <w:rsid w:val="009E5238"/>
    <w:rsid w:val="00A05238"/>
    <w:rsid w:val="00A33FA2"/>
    <w:rsid w:val="00A75071"/>
    <w:rsid w:val="00A86D49"/>
    <w:rsid w:val="00AA255B"/>
    <w:rsid w:val="00AB01C6"/>
    <w:rsid w:val="00AE4374"/>
    <w:rsid w:val="00AF362F"/>
    <w:rsid w:val="00AF6072"/>
    <w:rsid w:val="00B67D1A"/>
    <w:rsid w:val="00BE5D90"/>
    <w:rsid w:val="00CC3461"/>
    <w:rsid w:val="00CF2D92"/>
    <w:rsid w:val="00D62153"/>
    <w:rsid w:val="00DC77B7"/>
    <w:rsid w:val="00E90386"/>
    <w:rsid w:val="00F00C22"/>
    <w:rsid w:val="00FF1600"/>
    <w:rsid w:val="063BE8E9"/>
    <w:rsid w:val="0B931523"/>
    <w:rsid w:val="145A8894"/>
    <w:rsid w:val="14C8E6BE"/>
    <w:rsid w:val="14EB0C74"/>
    <w:rsid w:val="18B36969"/>
    <w:rsid w:val="1A2A76D2"/>
    <w:rsid w:val="1F2BEBCC"/>
    <w:rsid w:val="20813EEB"/>
    <w:rsid w:val="220265DD"/>
    <w:rsid w:val="2553E799"/>
    <w:rsid w:val="288BA1DE"/>
    <w:rsid w:val="29A0A4EA"/>
    <w:rsid w:val="2D038522"/>
    <w:rsid w:val="2E8D3E6A"/>
    <w:rsid w:val="30B6B7BE"/>
    <w:rsid w:val="33478730"/>
    <w:rsid w:val="35935285"/>
    <w:rsid w:val="3DFE5B5B"/>
    <w:rsid w:val="3F8D3F63"/>
    <w:rsid w:val="41BF6ECB"/>
    <w:rsid w:val="43B902CD"/>
    <w:rsid w:val="469E8A3D"/>
    <w:rsid w:val="49DB06E6"/>
    <w:rsid w:val="4DC48BD5"/>
    <w:rsid w:val="5176BF89"/>
    <w:rsid w:val="51A58373"/>
    <w:rsid w:val="51C6C38C"/>
    <w:rsid w:val="54DD2435"/>
    <w:rsid w:val="5E927456"/>
    <w:rsid w:val="5FB6C695"/>
    <w:rsid w:val="6187E480"/>
    <w:rsid w:val="646C7AAA"/>
    <w:rsid w:val="65992AD7"/>
    <w:rsid w:val="66709B3A"/>
    <w:rsid w:val="68C5597C"/>
    <w:rsid w:val="6926C370"/>
    <w:rsid w:val="6DFA3493"/>
    <w:rsid w:val="7683D3EF"/>
    <w:rsid w:val="785E4689"/>
    <w:rsid w:val="79BDC56F"/>
    <w:rsid w:val="7ABA653A"/>
    <w:rsid w:val="7D29EC3D"/>
    <w:rsid w:val="7F041B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E3FE53"/>
  <w15:docId w15:val="{A17315DB-3E26-444C-B4B8-DE3D58D01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65EE"/>
    <w:pPr>
      <w:widowControl w:val="0"/>
      <w:jc w:val="both"/>
    </w:pPr>
    <w:rPr>
      <w:kern w:val="2"/>
      <w:sz w:val="21"/>
      <w:szCs w:val="24"/>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962E68"/>
    <w:pPr>
      <w:tabs>
        <w:tab w:val="center" w:pos="4819"/>
        <w:tab w:val="right" w:pos="9638"/>
      </w:tabs>
    </w:pPr>
  </w:style>
  <w:style w:type="character" w:customStyle="1" w:styleId="HeaderChar">
    <w:name w:val="Header Char"/>
    <w:link w:val="Header"/>
    <w:rsid w:val="00962E68"/>
    <w:rPr>
      <w:kern w:val="2"/>
      <w:sz w:val="21"/>
      <w:szCs w:val="24"/>
      <w:lang w:val="en-US" w:eastAsia="zh-CN"/>
    </w:rPr>
  </w:style>
  <w:style w:type="paragraph" w:styleId="Footer">
    <w:name w:val="footer"/>
    <w:basedOn w:val="Normal"/>
    <w:link w:val="FooterChar"/>
    <w:uiPriority w:val="99"/>
    <w:rsid w:val="00962E68"/>
    <w:pPr>
      <w:tabs>
        <w:tab w:val="center" w:pos="4819"/>
        <w:tab w:val="right" w:pos="9638"/>
      </w:tabs>
    </w:pPr>
  </w:style>
  <w:style w:type="character" w:customStyle="1" w:styleId="FooterChar">
    <w:name w:val="Footer Char"/>
    <w:link w:val="Footer"/>
    <w:uiPriority w:val="99"/>
    <w:rsid w:val="00962E68"/>
    <w:rPr>
      <w:kern w:val="2"/>
      <w:sz w:val="21"/>
      <w:szCs w:val="24"/>
      <w:lang w:val="en-US" w:eastAsia="zh-CN"/>
    </w:rPr>
  </w:style>
  <w:style w:type="character" w:styleId="Hyperlink">
    <w:name w:val="Hyperlink"/>
    <w:basedOn w:val="DefaultParagraphFont"/>
    <w:rsid w:val="008F47A7"/>
    <w:rPr>
      <w:color w:val="0000FF"/>
      <w:u w:val="single"/>
    </w:rPr>
  </w:style>
  <w:style w:type="character" w:styleId="UnresolvedMention">
    <w:name w:val="Unresolved Mention"/>
    <w:basedOn w:val="DefaultParagraphFont"/>
    <w:uiPriority w:val="99"/>
    <w:semiHidden/>
    <w:unhideWhenUsed/>
    <w:rsid w:val="00CC3461"/>
    <w:rPr>
      <w:color w:val="605E5C"/>
      <w:shd w:val="clear" w:color="auto" w:fill="E1DFDD"/>
    </w:rPr>
  </w:style>
  <w:style w:type="paragraph" w:styleId="BalloonText">
    <w:name w:val="Balloon Text"/>
    <w:basedOn w:val="Normal"/>
    <w:link w:val="BalloonTextChar"/>
    <w:rsid w:val="001A43E7"/>
    <w:rPr>
      <w:rFonts w:ascii="Segoe UI" w:hAnsi="Segoe UI" w:cs="Segoe UI"/>
      <w:sz w:val="18"/>
      <w:szCs w:val="18"/>
    </w:rPr>
  </w:style>
  <w:style w:type="character" w:customStyle="1" w:styleId="BalloonTextChar">
    <w:name w:val="Balloon Text Char"/>
    <w:basedOn w:val="DefaultParagraphFont"/>
    <w:link w:val="BalloonText"/>
    <w:rsid w:val="001A43E7"/>
    <w:rPr>
      <w:rFonts w:ascii="Segoe UI" w:hAnsi="Segoe UI" w:cs="Segoe UI"/>
      <w:kern w:val="2"/>
      <w:sz w:val="18"/>
      <w:szCs w:val="18"/>
      <w:lang w:val="en-US" w:eastAsia="zh-CN"/>
    </w:rPr>
  </w:style>
  <w:style w:type="paragraph" w:styleId="Revision">
    <w:name w:val="Revision"/>
    <w:hidden/>
    <w:uiPriority w:val="99"/>
    <w:semiHidden/>
    <w:rsid w:val="004B5BE8"/>
    <w:rPr>
      <w:kern w:val="2"/>
      <w:sz w:val="21"/>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C9F6FD7C3B6704F8B86926366B46AEB" ma:contentTypeVersion="4" ma:contentTypeDescription="Creare un nuovo documento." ma:contentTypeScope="" ma:versionID="48b0cdeee744da4c85c62f07a8b9d568">
  <xsd:schema xmlns:xsd="http://www.w3.org/2001/XMLSchema" xmlns:xs="http://www.w3.org/2001/XMLSchema" xmlns:p="http://schemas.microsoft.com/office/2006/metadata/properties" xmlns:ns2="c883262b-7fcb-45ed-b542-c2b486f165e6" targetNamespace="http://schemas.microsoft.com/office/2006/metadata/properties" ma:root="true" ma:fieldsID="3d35b04a64e882698cca8b23880720a7" ns2:_="">
    <xsd:import namespace="c883262b-7fcb-45ed-b542-c2b486f165e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83262b-7fcb-45ed-b542-c2b486f165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D4F178-12A1-4C8E-9D6E-D20E376EDAC2}">
  <ds:schemaRefs>
    <ds:schemaRef ds:uri="http://schemas.openxmlformats.org/officeDocument/2006/bibliography"/>
  </ds:schemaRefs>
</ds:datastoreItem>
</file>

<file path=customXml/itemProps2.xml><?xml version="1.0" encoding="utf-8"?>
<ds:datastoreItem xmlns:ds="http://schemas.openxmlformats.org/officeDocument/2006/customXml" ds:itemID="{A200F410-B0EF-45C0-B518-92AFDFF5A4A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AD82578-7184-4283-B284-55F9B76E00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83262b-7fcb-45ed-b542-c2b486f165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E47B54-F61E-4ACA-A3FE-BD3D02B904E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471</Words>
  <Characters>3066</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Title: Times New Roman, size 12, bold, mid adjusted and containing maximum 30 words</vt:lpstr>
    </vt:vector>
  </TitlesOfParts>
  <Company>rcees</Company>
  <LinksUpToDate>false</LinksUpToDate>
  <CharactersWithSpaces>3530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Times New Roman, size 12, bold, mid adjusted and containing maximum 30 words</dc:title>
  <dc:creator>sxy</dc:creator>
  <cp:lastModifiedBy>NICCOLÒ BRAIDI</cp:lastModifiedBy>
  <cp:revision>2</cp:revision>
  <cp:lastPrinted>2021-10-29T10:40:00Z</cp:lastPrinted>
  <dcterms:created xsi:type="dcterms:W3CDTF">2021-11-17T10:33:00Z</dcterms:created>
  <dcterms:modified xsi:type="dcterms:W3CDTF">2021-11-17T10:33:00Z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0x0101004C9F6FD7C3B6704F8B86926366B46AEB</vt:lpwstr>
  </property>
</Properties>
</file>