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vsd" ContentType="application/vnd.visio"/>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theme/themeOverride1.xml" ContentType="application/vnd.openxmlformats-officedocument.themeOverride+xml"/>
  <Override PartName="/word/charts/chart8.xml" ContentType="application/vnd.openxmlformats-officedocument.drawingml.chart+xml"/>
  <Override PartName="/word/drawings/drawing7.xml" ContentType="application/vnd.openxmlformats-officedocument.drawingml.chartshapes+xml"/>
  <Override PartName="/word/charts/chart9.xml" ContentType="application/vnd.openxmlformats-officedocument.drawingml.chart+xml"/>
  <Override PartName="/word/charts/chart10.xml" ContentType="application/vnd.openxmlformats-officedocument.drawingml.chart+xml"/>
  <Override PartName="/word/drawings/drawing8.xml" ContentType="application/vnd.openxmlformats-officedocument.drawingml.chartshapes+xml"/>
  <Override PartName="/word/charts/chart11.xml" ContentType="application/vnd.openxmlformats-officedocument.drawingml.chart+xml"/>
  <Override PartName="/word/drawings/drawing9.xml" ContentType="application/vnd.openxmlformats-officedocument.drawingml.chartshapes+xml"/>
  <Override PartName="/word/charts/chart12.xml" ContentType="application/vnd.openxmlformats-officedocument.drawingml.chart+xml"/>
  <Override PartName="/word/drawings/drawing10.xml" ContentType="application/vnd.openxmlformats-officedocument.drawingml.chartshapes+xml"/>
  <Override PartName="/word/charts/chart13.xml" ContentType="application/vnd.openxmlformats-officedocument.drawingml.chart+xml"/>
  <Override PartName="/word/drawings/drawing11.xml" ContentType="application/vnd.openxmlformats-officedocument.drawingml.chartshapes+xml"/>
  <Override PartName="/word/charts/chart14.xml" ContentType="application/vnd.openxmlformats-officedocument.drawingml.chart+xml"/>
  <Override PartName="/word/theme/themeOverride2.xml" ContentType="application/vnd.openxmlformats-officedocument.themeOverride+xml"/>
  <Override PartName="/word/drawings/drawing12.xml" ContentType="application/vnd.openxmlformats-officedocument.drawingml.chartshapes+xml"/>
  <Override PartName="/word/charts/chart15.xml" ContentType="application/vnd.openxmlformats-officedocument.drawingml.chart+xml"/>
  <Override PartName="/word/theme/themeOverride3.xml" ContentType="application/vnd.openxmlformats-officedocument.themeOverride+xml"/>
  <Override PartName="/word/drawings/drawing13.xml" ContentType="application/vnd.openxmlformats-officedocument.drawingml.chartshapes+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charts/chart16.xml" ContentType="application/vnd.openxmlformats-officedocument.drawingml.chart+xml"/>
  <Override PartName="/word/theme/themeOverride4.xml" ContentType="application/vnd.openxmlformats-officedocument.themeOverride+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theme/themeOverride5.xml" ContentType="application/vnd.openxmlformats-officedocument.themeOverride+xml"/>
  <Override PartName="/word/charts/chart20.xml" ContentType="application/vnd.openxmlformats-officedocument.drawingml.chart+xml"/>
  <Override PartName="/word/drawings/drawing14.xml" ContentType="application/vnd.openxmlformats-officedocument.drawingml.chartshapes+xml"/>
  <Override PartName="/word/charts/chart21.xml" ContentType="application/vnd.openxmlformats-officedocument.drawingml.chart+xml"/>
  <Override PartName="/word/theme/themeOverride6.xml" ContentType="application/vnd.openxmlformats-officedocument.themeOverride+xml"/>
  <Override PartName="/word/drawings/drawing15.xml" ContentType="application/vnd.openxmlformats-officedocument.drawingml.chartshapes+xml"/>
  <Override PartName="/word/charts/chart22.xml" ContentType="application/vnd.openxmlformats-officedocument.drawingml.chart+xml"/>
  <Override PartName="/word/charts/chart23.xml" ContentType="application/vnd.openxmlformats-officedocument.drawingml.chart+xml"/>
  <Override PartName="/word/drawings/drawing16.xml" ContentType="application/vnd.openxmlformats-officedocument.drawingml.chartshapes+xml"/>
  <Override PartName="/word/charts/chart24.xml" ContentType="application/vnd.openxmlformats-officedocument.drawingml.chart+xml"/>
  <Override PartName="/word/charts/chart25.xml" ContentType="application/vnd.openxmlformats-officedocument.drawingml.chart+xml"/>
  <Override PartName="/word/drawings/drawing17.xml" ContentType="application/vnd.openxmlformats-officedocument.drawingml.chartshapes+xml"/>
  <Override PartName="/word/charts/chart26.xml" ContentType="application/vnd.openxmlformats-officedocument.drawingml.chart+xml"/>
  <Override PartName="/word/drawings/drawing18.xml" ContentType="application/vnd.openxmlformats-officedocument.drawingml.chartshapes+xml"/>
  <Override PartName="/word/charts/chart27.xml" ContentType="application/vnd.openxmlformats-officedocument.drawingml.chart+xml"/>
  <Override PartName="/word/drawings/drawing19.xml" ContentType="application/vnd.openxmlformats-officedocument.drawingml.chartshapes+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19.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C3A30" w:rsidRDefault="002505F3" w:rsidP="000E4E30">
      <w:pPr>
        <w:spacing w:after="120" w:line="288" w:lineRule="auto"/>
      </w:pPr>
      <w:r>
        <w:rPr>
          <w:rFonts w:cs="Arial"/>
          <w:b/>
          <w:bCs/>
          <w:noProof/>
          <w:color w:val="263673"/>
          <w:kern w:val="32"/>
          <w:sz w:val="28"/>
          <w:szCs w:val="32"/>
          <w:lang w:val="en-US" w:eastAsia="en-US"/>
        </w:rPr>
        <w:drawing>
          <wp:anchor distT="0" distB="0" distL="114300" distR="114300" simplePos="0" relativeHeight="251653120" behindDoc="0" locked="0" layoutInCell="1" allowOverlap="1" wp14:anchorId="223B8443" wp14:editId="604DC346">
            <wp:simplePos x="0" y="0"/>
            <wp:positionH relativeFrom="page">
              <wp:posOffset>-15766</wp:posOffset>
            </wp:positionH>
            <wp:positionV relativeFrom="page">
              <wp:posOffset>1308538</wp:posOffset>
            </wp:positionV>
            <wp:extent cx="7581900" cy="5050155"/>
            <wp:effectExtent l="0" t="0" r="0" b="0"/>
            <wp:wrapNone/>
            <wp:docPr id="23" name="Picture 49" descr="shutterstock_58771618-ex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49" descr="shutterstock_58771618-exampl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81900" cy="5050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2F6EFC">
        <w:rPr>
          <w:rFonts w:cs="Arial"/>
          <w:b/>
          <w:bCs/>
          <w:noProof/>
          <w:color w:val="263673"/>
          <w:kern w:val="32"/>
          <w:sz w:val="28"/>
          <w:szCs w:val="32"/>
          <w:lang w:val="en-US" w:eastAsia="en-US"/>
        </w:rPr>
        <w:drawing>
          <wp:anchor distT="0" distB="0" distL="114300" distR="114300" simplePos="0" relativeHeight="251666432" behindDoc="0" locked="0" layoutInCell="1" allowOverlap="1" wp14:anchorId="22EEB4D1" wp14:editId="3A9B6D4C">
            <wp:simplePos x="1080655" y="1260764"/>
            <wp:positionH relativeFrom="page">
              <wp:align>left</wp:align>
            </wp:positionH>
            <wp:positionV relativeFrom="page">
              <wp:align>top</wp:align>
            </wp:positionV>
            <wp:extent cx="7614000" cy="1749600"/>
            <wp:effectExtent l="0" t="0" r="6350" b="317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ce-education_bannerwordA4_en.wm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614000" cy="1749600"/>
                    </a:xfrm>
                    <a:prstGeom prst="rect">
                      <a:avLst/>
                    </a:prstGeom>
                  </pic:spPr>
                </pic:pic>
              </a:graphicData>
            </a:graphic>
            <wp14:sizeRelH relativeFrom="margin">
              <wp14:pctWidth>0</wp14:pctWidth>
            </wp14:sizeRelH>
            <wp14:sizeRelV relativeFrom="margin">
              <wp14:pctHeight>0</wp14:pctHeight>
            </wp14:sizeRelV>
          </wp:anchor>
        </w:drawing>
      </w:r>
      <w:r w:rsidR="002F6EFC">
        <w:rPr>
          <w:rFonts w:cs="Arial"/>
          <w:b/>
          <w:bCs/>
          <w:noProof/>
          <w:color w:val="263673"/>
          <w:kern w:val="32"/>
          <w:sz w:val="28"/>
          <w:szCs w:val="32"/>
          <w:lang w:val="en-US" w:eastAsia="en-US"/>
        </w:rPr>
        <w:drawing>
          <wp:anchor distT="0" distB="0" distL="114300" distR="114300" simplePos="0" relativeHeight="251667456" behindDoc="0" locked="0" layoutInCell="1" allowOverlap="1" wp14:anchorId="77BCDF5D" wp14:editId="23D1DC10">
            <wp:simplePos x="1080135" y="1260475"/>
            <wp:positionH relativeFrom="page">
              <wp:align>center</wp:align>
            </wp:positionH>
            <wp:positionV relativeFrom="page">
              <wp:align>bottom</wp:align>
            </wp:positionV>
            <wp:extent cx="838800" cy="561600"/>
            <wp:effectExtent l="0" t="0" r="0" b="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ce-education_footerwordA4_en.wm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38800" cy="561600"/>
                    </a:xfrm>
                    <a:prstGeom prst="rect">
                      <a:avLst/>
                    </a:prstGeom>
                  </pic:spPr>
                </pic:pic>
              </a:graphicData>
            </a:graphic>
            <wp14:sizeRelH relativeFrom="margin">
              <wp14:pctWidth>0</wp14:pctWidth>
            </wp14:sizeRelH>
            <wp14:sizeRelV relativeFrom="margin">
              <wp14:pctHeight>0</wp14:pctHeight>
            </wp14:sizeRelV>
          </wp:anchor>
        </w:drawing>
      </w:r>
    </w:p>
    <w:p w:rsidR="00B41BBD" w:rsidRDefault="00545F64" w:rsidP="000E4E30">
      <w:pPr>
        <w:spacing w:after="120" w:line="288" w:lineRule="auto"/>
        <w:rPr>
          <w:rFonts w:cs="Arial"/>
          <w:b/>
          <w:bCs/>
          <w:color w:val="263673"/>
          <w:kern w:val="32"/>
          <w:sz w:val="28"/>
          <w:szCs w:val="32"/>
        </w:rPr>
      </w:pPr>
      <w:r>
        <w:rPr>
          <w:rFonts w:cs="Arial"/>
          <w:b/>
          <w:bCs/>
          <w:noProof/>
          <w:color w:val="263673"/>
          <w:kern w:val="32"/>
          <w:sz w:val="28"/>
          <w:szCs w:val="32"/>
          <w:lang w:val="en-US" w:eastAsia="en-US"/>
        </w:rPr>
        <mc:AlternateContent>
          <mc:Choice Requires="wps">
            <w:drawing>
              <wp:anchor distT="0" distB="0" distL="114300" distR="114300" simplePos="0" relativeHeight="251654144" behindDoc="0" locked="0" layoutInCell="0" allowOverlap="1" wp14:anchorId="4E509ECA" wp14:editId="05E87A49">
                <wp:simplePos x="0" y="0"/>
                <wp:positionH relativeFrom="column">
                  <wp:posOffset>2226310</wp:posOffset>
                </wp:positionH>
                <wp:positionV relativeFrom="paragraph">
                  <wp:posOffset>6739255</wp:posOffset>
                </wp:positionV>
                <wp:extent cx="3476625" cy="1697990"/>
                <wp:effectExtent l="0" t="0" r="0" b="0"/>
                <wp:wrapNone/>
                <wp:docPr id="25"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6625" cy="1697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4EBA" w:rsidRPr="009D0854" w:rsidRDefault="00394EBA" w:rsidP="00626D4E">
                            <w:pPr>
                              <w:pStyle w:val="Subtitlepublication"/>
                              <w:jc w:val="left"/>
                              <w:rPr>
                                <w:b w:val="0"/>
                                <w:i w:val="0"/>
                                <w:color w:val="FFFFFF" w:themeColor="background1"/>
                              </w:rPr>
                            </w:pPr>
                            <w:r w:rsidRPr="009D0854">
                              <w:rPr>
                                <w:b w:val="0"/>
                                <w:i w:val="0"/>
                                <w:color w:val="FFFFFF" w:themeColor="background1"/>
                              </w:rPr>
                              <w:t>Study on the link between the levels of basic competences and formal educational attainment in a cross-country and within-country perspective</w:t>
                            </w:r>
                          </w:p>
                          <w:p w:rsidR="00394EBA" w:rsidRPr="00D02D0C" w:rsidRDefault="00394EBA" w:rsidP="006814D8">
                            <w:pPr>
                              <w:rPr>
                                <w:i/>
                                <w:color w:val="FFFFFF"/>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509ECA" id="_x0000_t202" coordsize="21600,21600" o:spt="202" path="m,l,21600r21600,l21600,xe">
                <v:stroke joinstyle="miter"/>
                <v:path gradientshapeok="t" o:connecttype="rect"/>
              </v:shapetype>
              <v:shape id="Text Box 51" o:spid="_x0000_s1026" type="#_x0000_t202" style="position:absolute;left:0;text-align:left;margin-left:175.3pt;margin-top:530.65pt;width:273.75pt;height:133.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" o:allowincell="f" filled="f" stroked="f">
                <v:textbox>
                  <w:txbxContent>
                    <w:p w:rsidR="00394EBA" w:rsidRPr="009D0854" w:rsidRDefault="00394EBA" w:rsidP="00626D4E">
                      <w:pPr>
                        <w:pStyle w:val="Subtitlepublication"/>
                        <w:jc w:val="left"/>
                        <w:rPr>
                          <w:b w:val="0"/>
                          <w:i w:val="0"/>
                          <w:color w:val="FFFFFF" w:themeColor="background1"/>
                        </w:rPr>
                      </w:pPr>
                      <w:r w:rsidRPr="009D0854">
                        <w:rPr>
                          <w:b w:val="0"/>
                          <w:i w:val="0"/>
                          <w:color w:val="FFFFFF" w:themeColor="background1"/>
                        </w:rPr>
                        <w:t>Study on the link between the levels of basic competences and formal educational attainment in a cross-country and within-country perspective</w:t>
                      </w:r>
                    </w:p>
                    <w:p w:rsidR="00394EBA" w:rsidRPr="00D02D0C" w:rsidRDefault="00394EBA" w:rsidP="006814D8">
                      <w:pPr>
                        <w:rPr>
                          <w:i/>
                          <w:color w:val="FFFFFF"/>
                          <w:sz w:val="36"/>
                          <w:szCs w:val="36"/>
                        </w:rPr>
                      </w:pPr>
                    </w:p>
                  </w:txbxContent>
                </v:textbox>
              </v:shape>
            </w:pict>
          </mc:Fallback>
        </mc:AlternateContent>
      </w:r>
      <w:r>
        <w:rPr>
          <w:rFonts w:cs="Arial"/>
          <w:b/>
          <w:bCs/>
          <w:noProof/>
          <w:color w:val="263673"/>
          <w:kern w:val="32"/>
          <w:sz w:val="28"/>
          <w:szCs w:val="32"/>
          <w:lang w:val="en-US" w:eastAsia="en-US"/>
        </w:rPr>
        <mc:AlternateContent>
          <mc:Choice Requires="wps">
            <w:drawing>
              <wp:anchor distT="0" distB="0" distL="114300" distR="114300" simplePos="0" relativeHeight="251655168" behindDoc="0" locked="0" layoutInCell="0" allowOverlap="1" wp14:anchorId="666C28C1" wp14:editId="5E647104">
                <wp:simplePos x="0" y="0"/>
                <wp:positionH relativeFrom="column">
                  <wp:posOffset>-697998</wp:posOffset>
                </wp:positionH>
                <wp:positionV relativeFrom="paragraph">
                  <wp:posOffset>5192604</wp:posOffset>
                </wp:positionV>
                <wp:extent cx="6743700" cy="1310185"/>
                <wp:effectExtent l="0" t="0" r="0" b="4445"/>
                <wp:wrapNone/>
                <wp:docPr id="20"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3700" cy="1310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4EBA" w:rsidRPr="00545F64" w:rsidRDefault="00394EBA" w:rsidP="006814D8">
                            <w:pPr>
                              <w:jc w:val="center"/>
                              <w:rPr>
                                <w:b/>
                                <w:color w:val="FFFFFF"/>
                                <w:sz w:val="52"/>
                                <w:szCs w:val="52"/>
                              </w:rPr>
                            </w:pPr>
                            <w:r w:rsidRPr="00545F64">
                              <w:rPr>
                                <w:b/>
                                <w:color w:val="FFFFFF"/>
                                <w:sz w:val="52"/>
                                <w:szCs w:val="52"/>
                              </w:rPr>
                              <w:t>Educational attainment and basic competences of young adults in Europe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6C28C1" id="Text Box 52" o:spid="_x0000_s1027" type="#_x0000_t202" style="position:absolute;left:0;text-align:left;margin-left:-54.95pt;margin-top:408.85pt;width:531pt;height:103.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" o:allowincell="f" filled="f" stroked="f">
                <v:textbox>
                  <w:txbxContent>
                    <w:p w:rsidR="00394EBA" w:rsidRPr="00545F64" w:rsidRDefault="00394EBA" w:rsidP="006814D8">
                      <w:pPr>
                        <w:jc w:val="center"/>
                        <w:rPr>
                          <w:b/>
                          <w:color w:val="FFFFFF"/>
                          <w:sz w:val="52"/>
                          <w:szCs w:val="52"/>
                        </w:rPr>
                      </w:pPr>
                      <w:r w:rsidRPr="00545F64">
                        <w:rPr>
                          <w:b/>
                          <w:color w:val="FFFFFF"/>
                          <w:sz w:val="52"/>
                          <w:szCs w:val="52"/>
                        </w:rPr>
                        <w:t>Educational attainment and basic competences of young adults in Europe</w:t>
                      </w:r>
                    </w:p>
                  </w:txbxContent>
                </v:textbox>
              </v:shape>
            </w:pict>
          </mc:Fallback>
        </mc:AlternateContent>
      </w:r>
      <w:r w:rsidR="00AC06EB">
        <w:rPr>
          <w:rFonts w:cs="Arial"/>
          <w:b/>
          <w:bCs/>
          <w:noProof/>
          <w:color w:val="263673"/>
          <w:kern w:val="32"/>
          <w:sz w:val="28"/>
          <w:szCs w:val="32"/>
          <w:lang w:val="en-US" w:eastAsia="en-US"/>
        </w:rPr>
        <mc:AlternateContent>
          <mc:Choice Requires="wps">
            <w:drawing>
              <wp:anchor distT="0" distB="0" distL="114300" distR="114300" simplePos="0" relativeHeight="251656192" behindDoc="1" locked="0" layoutInCell="1" allowOverlap="1" wp14:anchorId="09F1B99A" wp14:editId="1969F947">
                <wp:simplePos x="0" y="0"/>
                <wp:positionH relativeFrom="column">
                  <wp:posOffset>-1099185</wp:posOffset>
                </wp:positionH>
                <wp:positionV relativeFrom="paragraph">
                  <wp:posOffset>4840605</wp:posOffset>
                </wp:positionV>
                <wp:extent cx="7809749" cy="4998085"/>
                <wp:effectExtent l="0" t="0" r="20320" b="31115"/>
                <wp:wrapNone/>
                <wp:docPr id="21"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09749" cy="4998085"/>
                        </a:xfrm>
                        <a:prstGeom prst="rect">
                          <a:avLst/>
                        </a:prstGeom>
                        <a:solidFill>
                          <a:srgbClr val="597A8D"/>
                        </a:solidFill>
                        <a:ln>
                          <a:noFill/>
                        </a:ln>
                        <a:effectLst>
                          <a:outerShdw dist="28398" dir="3806097" algn="ctr" rotWithShape="0">
                            <a:srgbClr val="243F60">
                              <a:alpha val="50000"/>
                            </a:srgbClr>
                          </a:outerShdw>
                        </a:effectLst>
                        <a:extLst>
                          <a:ext uri="{91240B29-F687-4F45-9708-019B960494DF}">
                            <a14:hiddenLine xmlns:a14="http://schemas.microsoft.com/office/drawing/2010/main" w="38100">
                              <a:solidFill>
                                <a:srgbClr val="F2F2F2"/>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2F2553" id="Rectangle 53" o:spid="_x0000_s1026" style="position:absolute;margin-left:-86.55pt;margin-top:381.15pt;width:614.95pt;height:39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" fillcolor="#597a8d" stroked="f" strokecolor="#f2f2f2" strokeweight="3pt">
                <v:shadow on="t" color="#243f60" opacity=".5" offset="1pt"/>
              </v:rect>
            </w:pict>
          </mc:Fallback>
        </mc:AlternateContent>
      </w:r>
      <w:r w:rsidR="005C3A30">
        <w:rPr>
          <w:rFonts w:cs="Arial"/>
          <w:b/>
          <w:bCs/>
          <w:color w:val="263673"/>
          <w:kern w:val="32"/>
          <w:sz w:val="28"/>
          <w:szCs w:val="32"/>
        </w:rPr>
        <w:br w:type="page"/>
      </w:r>
    </w:p>
    <w:p w:rsidR="00B02883" w:rsidRDefault="00B02883" w:rsidP="000E4E30">
      <w:pPr>
        <w:spacing w:after="120" w:line="288" w:lineRule="auto"/>
        <w:rPr>
          <w:rFonts w:cs="Arial"/>
          <w:b/>
          <w:bCs/>
          <w:color w:val="263673"/>
          <w:kern w:val="32"/>
          <w:sz w:val="28"/>
          <w:szCs w:val="32"/>
        </w:rPr>
      </w:pPr>
    </w:p>
    <w:p w:rsidR="00626D4E" w:rsidRDefault="00626D4E" w:rsidP="000E4E30">
      <w:pPr>
        <w:spacing w:after="120" w:line="288" w:lineRule="auto"/>
        <w:rPr>
          <w:noProof/>
        </w:rPr>
      </w:pPr>
    </w:p>
    <w:p w:rsidR="00626D4E" w:rsidRDefault="00626D4E" w:rsidP="000E4E30">
      <w:pPr>
        <w:spacing w:after="120" w:line="288" w:lineRule="auto"/>
        <w:rPr>
          <w:noProof/>
        </w:rPr>
      </w:pPr>
    </w:p>
    <w:p w:rsidR="00B02883" w:rsidRDefault="00E274BE" w:rsidP="000E4E30">
      <w:pPr>
        <w:spacing w:after="120" w:line="288" w:lineRule="auto"/>
        <w:rPr>
          <w:rFonts w:cs="Arial"/>
          <w:b/>
          <w:bCs/>
          <w:color w:val="263673"/>
          <w:kern w:val="32"/>
          <w:sz w:val="28"/>
          <w:szCs w:val="32"/>
        </w:rPr>
      </w:pPr>
      <w:r w:rsidRPr="005C1395">
        <w:rPr>
          <w:rFonts w:cs="Arial"/>
          <w:b/>
          <w:bCs/>
          <w:noProof/>
          <w:color w:val="263673"/>
          <w:kern w:val="32"/>
          <w:sz w:val="28"/>
          <w:szCs w:val="32"/>
          <w:lang w:val="en-US" w:eastAsia="en-US"/>
        </w:rPr>
        <mc:AlternateContent>
          <mc:Choice Requires="wps">
            <w:drawing>
              <wp:anchor distT="0" distB="0" distL="114300" distR="114300" simplePos="0" relativeHeight="251669504" behindDoc="0" locked="0" layoutInCell="1" allowOverlap="1" wp14:anchorId="04A07383" wp14:editId="1A7C1F84">
                <wp:simplePos x="0" y="0"/>
                <wp:positionH relativeFrom="column">
                  <wp:posOffset>-274955</wp:posOffset>
                </wp:positionH>
                <wp:positionV relativeFrom="paragraph">
                  <wp:posOffset>4364990</wp:posOffset>
                </wp:positionV>
                <wp:extent cx="237426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rsidR="00394EBA" w:rsidRPr="00651009" w:rsidRDefault="00394EBA" w:rsidP="00E274BE">
                            <w:pPr>
                              <w:rPr>
                                <w:b/>
                                <w:color w:val="000000" w:themeColor="text1"/>
                                <w:szCs w:val="20"/>
                              </w:rPr>
                            </w:pPr>
                            <w:r w:rsidRPr="00651009">
                              <w:rPr>
                                <w:b/>
                                <w:color w:val="000000" w:themeColor="text1"/>
                                <w:szCs w:val="20"/>
                              </w:rPr>
                              <w:t>Authors</w:t>
                            </w:r>
                          </w:p>
                          <w:p w:rsidR="00394EBA" w:rsidRPr="00651009" w:rsidRDefault="00394EBA" w:rsidP="00651009">
                            <w:pPr>
                              <w:pStyle w:val="HeadingBody"/>
                              <w:spacing w:after="0"/>
                              <w:rPr>
                                <w:b w:val="0"/>
                                <w:szCs w:val="20"/>
                              </w:rPr>
                            </w:pPr>
                          </w:p>
                          <w:p w:rsidR="00394EBA" w:rsidRPr="00651009" w:rsidRDefault="00394EBA" w:rsidP="00651009">
                            <w:pPr>
                              <w:pStyle w:val="HeadingBody"/>
                              <w:spacing w:after="0"/>
                              <w:rPr>
                                <w:b w:val="0"/>
                                <w:szCs w:val="20"/>
                              </w:rPr>
                            </w:pPr>
                            <w:r w:rsidRPr="00651009">
                              <w:rPr>
                                <w:b w:val="0"/>
                                <w:szCs w:val="20"/>
                              </w:rPr>
                              <w:t>Anja Meierkord</w:t>
                            </w:r>
                          </w:p>
                          <w:p w:rsidR="00394EBA" w:rsidRPr="00651009" w:rsidRDefault="00394EBA" w:rsidP="00651009">
                            <w:pPr>
                              <w:pStyle w:val="HeadingBody"/>
                              <w:spacing w:after="0"/>
                              <w:rPr>
                                <w:b w:val="0"/>
                                <w:szCs w:val="20"/>
                              </w:rPr>
                            </w:pPr>
                            <w:r w:rsidRPr="00651009">
                              <w:rPr>
                                <w:b w:val="0"/>
                                <w:szCs w:val="20"/>
                              </w:rPr>
                              <w:t>Vicki Donlevy</w:t>
                            </w:r>
                          </w:p>
                          <w:p w:rsidR="00394EBA" w:rsidRPr="00651009" w:rsidRDefault="00394EBA" w:rsidP="00651009">
                            <w:pPr>
                              <w:pStyle w:val="HeadingBody"/>
                              <w:spacing w:after="0"/>
                              <w:rPr>
                                <w:b w:val="0"/>
                                <w:szCs w:val="20"/>
                              </w:rPr>
                            </w:pPr>
                            <w:r w:rsidRPr="00651009">
                              <w:rPr>
                                <w:b w:val="0"/>
                                <w:szCs w:val="20"/>
                              </w:rPr>
                              <w:t xml:space="preserve">Andy Green </w:t>
                            </w:r>
                          </w:p>
                          <w:p w:rsidR="00394EBA" w:rsidRPr="00651009" w:rsidRDefault="00394EBA" w:rsidP="00651009">
                            <w:pPr>
                              <w:pStyle w:val="HeadingBody"/>
                              <w:spacing w:after="0"/>
                              <w:rPr>
                                <w:b w:val="0"/>
                                <w:szCs w:val="20"/>
                              </w:rPr>
                            </w:pPr>
                            <w:r w:rsidRPr="00651009">
                              <w:rPr>
                                <w:b w:val="0"/>
                                <w:szCs w:val="20"/>
                              </w:rPr>
                              <w:t>Nicola Pensiero</w:t>
                            </w:r>
                          </w:p>
                          <w:p w:rsidR="00394EBA" w:rsidRPr="00651009" w:rsidRDefault="00394EBA" w:rsidP="00651009">
                            <w:pPr>
                              <w:pStyle w:val="HeadingBody"/>
                              <w:spacing w:after="0"/>
                              <w:rPr>
                                <w:b w:val="0"/>
                                <w:szCs w:val="20"/>
                              </w:rPr>
                            </w:pPr>
                            <w:r w:rsidRPr="00651009">
                              <w:rPr>
                                <w:b w:val="0"/>
                                <w:szCs w:val="20"/>
                              </w:rPr>
                              <w:t>Facundo Herrera</w:t>
                            </w:r>
                          </w:p>
                          <w:p w:rsidR="00394EBA" w:rsidRPr="00651009" w:rsidRDefault="00394EBA" w:rsidP="00651009">
                            <w:pPr>
                              <w:pStyle w:val="HeadingBody"/>
                              <w:rPr>
                                <w:sz w:val="18"/>
                              </w:rPr>
                            </w:pPr>
                          </w:p>
                          <w:p w:rsidR="00394EBA" w:rsidRPr="00D44A9D" w:rsidRDefault="00394EBA" w:rsidP="005C1395">
                            <w:pPr>
                              <w:rPr>
                                <w:color w:val="000000" w:themeColor="text1"/>
                                <w:sz w:val="24"/>
                                <w:lang w:val="es-E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4A07383" id="Text Box 2" o:spid="_x0000_s1028" type="#_x0000_t202" style="position:absolute;left:0;text-align:left;margin-left:-21.65pt;margin-top:343.7pt;width:186.95pt;height:110.55pt;z-index:25166950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" filled="f" stroked="f">
                <v:textbox style="mso-fit-shape-to-text:t">
                  <w:txbxContent>
                    <w:p w:rsidR="00394EBA" w:rsidRPr="00651009" w:rsidRDefault="00394EBA" w:rsidP="00E274BE">
                      <w:pPr>
                        <w:rPr>
                          <w:b/>
                          <w:color w:val="000000" w:themeColor="text1"/>
                          <w:szCs w:val="20"/>
                        </w:rPr>
                      </w:pPr>
                      <w:r w:rsidRPr="00651009">
                        <w:rPr>
                          <w:b/>
                          <w:color w:val="000000" w:themeColor="text1"/>
                          <w:szCs w:val="20"/>
                        </w:rPr>
                        <w:t>Authors</w:t>
                      </w:r>
                    </w:p>
                    <w:p w:rsidR="00394EBA" w:rsidRPr="00651009" w:rsidRDefault="00394EBA" w:rsidP="00651009">
                      <w:pPr>
                        <w:pStyle w:val="HeadingBody"/>
                        <w:spacing w:after="0"/>
                        <w:rPr>
                          <w:b w:val="0"/>
                          <w:szCs w:val="20"/>
                        </w:rPr>
                      </w:pPr>
                    </w:p>
                    <w:p w:rsidR="00394EBA" w:rsidRPr="00651009" w:rsidRDefault="00394EBA" w:rsidP="00651009">
                      <w:pPr>
                        <w:pStyle w:val="HeadingBody"/>
                        <w:spacing w:after="0"/>
                        <w:rPr>
                          <w:b w:val="0"/>
                          <w:szCs w:val="20"/>
                        </w:rPr>
                      </w:pPr>
                      <w:r w:rsidRPr="00651009">
                        <w:rPr>
                          <w:b w:val="0"/>
                          <w:szCs w:val="20"/>
                        </w:rPr>
                        <w:t>Anja Meierkord</w:t>
                      </w:r>
                    </w:p>
                    <w:p w:rsidR="00394EBA" w:rsidRPr="00651009" w:rsidRDefault="00394EBA" w:rsidP="00651009">
                      <w:pPr>
                        <w:pStyle w:val="HeadingBody"/>
                        <w:spacing w:after="0"/>
                        <w:rPr>
                          <w:b w:val="0"/>
                          <w:szCs w:val="20"/>
                        </w:rPr>
                      </w:pPr>
                      <w:r w:rsidRPr="00651009">
                        <w:rPr>
                          <w:b w:val="0"/>
                          <w:szCs w:val="20"/>
                        </w:rPr>
                        <w:t>Vicki Donlevy</w:t>
                      </w:r>
                    </w:p>
                    <w:p w:rsidR="00394EBA" w:rsidRPr="00651009" w:rsidRDefault="00394EBA" w:rsidP="00651009">
                      <w:pPr>
                        <w:pStyle w:val="HeadingBody"/>
                        <w:spacing w:after="0"/>
                        <w:rPr>
                          <w:b w:val="0"/>
                          <w:szCs w:val="20"/>
                        </w:rPr>
                      </w:pPr>
                      <w:r w:rsidRPr="00651009">
                        <w:rPr>
                          <w:b w:val="0"/>
                          <w:szCs w:val="20"/>
                        </w:rPr>
                        <w:t xml:space="preserve">Andy Green </w:t>
                      </w:r>
                    </w:p>
                    <w:p w:rsidR="00394EBA" w:rsidRPr="00651009" w:rsidRDefault="00394EBA" w:rsidP="00651009">
                      <w:pPr>
                        <w:pStyle w:val="HeadingBody"/>
                        <w:spacing w:after="0"/>
                        <w:rPr>
                          <w:b w:val="0"/>
                          <w:szCs w:val="20"/>
                        </w:rPr>
                      </w:pPr>
                      <w:r w:rsidRPr="00651009">
                        <w:rPr>
                          <w:b w:val="0"/>
                          <w:szCs w:val="20"/>
                        </w:rPr>
                        <w:t>Nicola Pensiero</w:t>
                      </w:r>
                    </w:p>
                    <w:p w:rsidR="00394EBA" w:rsidRPr="00651009" w:rsidRDefault="00394EBA" w:rsidP="00651009">
                      <w:pPr>
                        <w:pStyle w:val="HeadingBody"/>
                        <w:spacing w:after="0"/>
                        <w:rPr>
                          <w:b w:val="0"/>
                          <w:szCs w:val="20"/>
                        </w:rPr>
                      </w:pPr>
                      <w:r w:rsidRPr="00651009">
                        <w:rPr>
                          <w:b w:val="0"/>
                          <w:szCs w:val="20"/>
                        </w:rPr>
                        <w:t>Facundo Herrera</w:t>
                      </w:r>
                    </w:p>
                    <w:p w:rsidR="00394EBA" w:rsidRPr="00651009" w:rsidRDefault="00394EBA" w:rsidP="00651009">
                      <w:pPr>
                        <w:pStyle w:val="HeadingBody"/>
                        <w:rPr>
                          <w:sz w:val="18"/>
                        </w:rPr>
                      </w:pPr>
                    </w:p>
                    <w:p w:rsidR="00394EBA" w:rsidRPr="00D44A9D" w:rsidRDefault="00394EBA" w:rsidP="005C1395">
                      <w:pPr>
                        <w:rPr>
                          <w:color w:val="000000" w:themeColor="text1"/>
                          <w:sz w:val="24"/>
                          <w:lang w:val="es-ES"/>
                        </w:rPr>
                      </w:pPr>
                    </w:p>
                  </w:txbxContent>
                </v:textbox>
              </v:shape>
            </w:pict>
          </mc:Fallback>
        </mc:AlternateContent>
      </w:r>
      <w:r w:rsidRPr="005C1395">
        <w:rPr>
          <w:rFonts w:cs="Arial"/>
          <w:b/>
          <w:bCs/>
          <w:noProof/>
          <w:color w:val="263673"/>
          <w:kern w:val="32"/>
          <w:sz w:val="28"/>
          <w:szCs w:val="32"/>
          <w:lang w:val="en-US" w:eastAsia="en-US"/>
        </w:rPr>
        <w:drawing>
          <wp:anchor distT="0" distB="0" distL="114300" distR="114300" simplePos="0" relativeHeight="251670528" behindDoc="0" locked="0" layoutInCell="1" allowOverlap="1" wp14:anchorId="26D1C3E7" wp14:editId="58552A31">
            <wp:simplePos x="0" y="0"/>
            <wp:positionH relativeFrom="page">
              <wp:posOffset>2359025</wp:posOffset>
            </wp:positionH>
            <wp:positionV relativeFrom="page">
              <wp:posOffset>6692265</wp:posOffset>
            </wp:positionV>
            <wp:extent cx="871855" cy="398780"/>
            <wp:effectExtent l="0" t="0" r="4445" b="1270"/>
            <wp:wrapSquare wrapText="bothSides"/>
            <wp:docPr id="289" name="ecoryslogogrootvoor" descr="ECORYS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ryslogogrootvoor" descr="ECORYSC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71855" cy="3987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1673600" behindDoc="0" locked="0" layoutInCell="1" allowOverlap="1" wp14:anchorId="56407942" wp14:editId="0278C28E">
            <wp:simplePos x="0" y="0"/>
            <wp:positionH relativeFrom="margin">
              <wp:posOffset>1279525</wp:posOffset>
            </wp:positionH>
            <wp:positionV relativeFrom="margin">
              <wp:posOffset>5905500</wp:posOffset>
            </wp:positionV>
            <wp:extent cx="977900" cy="424815"/>
            <wp:effectExtent l="0" t="0" r="0" b="0"/>
            <wp:wrapSquare wrapText="bothSides"/>
            <wp:docPr id="61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9" name="Picture 6"/>
                    <pic:cNvPicPr>
                      <a:picLocks noChangeAspect="1" noChangeArrowheads="1"/>
                    </pic:cNvPicPr>
                  </pic:nvPicPr>
                  <pic:blipFill rotWithShape="1">
                    <a:blip r:embed="rId15">
                      <a:extLst>
                        <a:ext uri="{28A0092B-C50C-407E-A947-70E740481C1C}">
                          <a14:useLocalDpi xmlns:a14="http://schemas.microsoft.com/office/drawing/2010/main" val="0"/>
                        </a:ext>
                      </a:extLst>
                    </a:blip>
                    <a:srcRect l="68872" t="41229" r="13952" b="47993"/>
                    <a:stretch/>
                  </pic:blipFill>
                  <pic:spPr bwMode="auto">
                    <a:xfrm>
                      <a:off x="0" y="0"/>
                      <a:ext cx="977900" cy="4248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24EEB">
        <w:rPr>
          <w:rFonts w:cs="Arial"/>
          <w:b/>
          <w:bCs/>
          <w:noProof/>
          <w:color w:val="263673"/>
          <w:kern w:val="32"/>
          <w:sz w:val="28"/>
          <w:szCs w:val="32"/>
          <w:lang w:val="en-US" w:eastAsia="en-US"/>
        </w:rPr>
        <mc:AlternateContent>
          <mc:Choice Requires="wps">
            <w:drawing>
              <wp:anchor distT="0" distB="0" distL="114300" distR="114300" simplePos="0" relativeHeight="251660288" behindDoc="0" locked="0" layoutInCell="1" allowOverlap="1" wp14:anchorId="6DCC7270" wp14:editId="574F1D03">
                <wp:simplePos x="0" y="0"/>
                <wp:positionH relativeFrom="page">
                  <wp:posOffset>757035</wp:posOffset>
                </wp:positionH>
                <wp:positionV relativeFrom="page">
                  <wp:posOffset>8442325</wp:posOffset>
                </wp:positionV>
                <wp:extent cx="5433060" cy="1786255"/>
                <wp:effectExtent l="0" t="0" r="0" b="4445"/>
                <wp:wrapNone/>
                <wp:docPr id="19"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3060" cy="1786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94EBA" w:rsidRPr="00696241" w:rsidRDefault="00394EBA" w:rsidP="00B02883">
                            <w:pPr>
                              <w:pStyle w:val="HeadingBody"/>
                              <w:rPr>
                                <w:sz w:val="18"/>
                              </w:rPr>
                            </w:pPr>
                            <w:r w:rsidRPr="00696241">
                              <w:rPr>
                                <w:sz w:val="18"/>
                              </w:rPr>
                              <w:t>EUROPEAN COMMISSION</w:t>
                            </w:r>
                          </w:p>
                          <w:p w:rsidR="00394EBA" w:rsidRPr="00696241" w:rsidRDefault="00394EBA" w:rsidP="00B02883">
                            <w:pPr>
                              <w:jc w:val="left"/>
                              <w:rPr>
                                <w:sz w:val="16"/>
                                <w:szCs w:val="16"/>
                              </w:rPr>
                            </w:pPr>
                            <w:r w:rsidRPr="00696241">
                              <w:rPr>
                                <w:sz w:val="16"/>
                                <w:szCs w:val="16"/>
                              </w:rPr>
                              <w:t xml:space="preserve">Directorate-General for </w:t>
                            </w:r>
                            <w:r>
                              <w:rPr>
                                <w:sz w:val="16"/>
                                <w:szCs w:val="16"/>
                              </w:rPr>
                              <w:t>Education and Culture</w:t>
                            </w:r>
                          </w:p>
                          <w:p w:rsidR="00394EBA" w:rsidRDefault="00394EBA" w:rsidP="00B02883">
                            <w:pPr>
                              <w:spacing w:after="120"/>
                              <w:jc w:val="left"/>
                              <w:rPr>
                                <w:sz w:val="16"/>
                                <w:szCs w:val="16"/>
                              </w:rPr>
                            </w:pPr>
                            <w:r>
                              <w:rPr>
                                <w:sz w:val="16"/>
                                <w:szCs w:val="16"/>
                              </w:rPr>
                              <w:t>Unit</w:t>
                            </w:r>
                            <w:r w:rsidRPr="00AC06EB">
                              <w:rPr>
                                <w:sz w:val="16"/>
                                <w:szCs w:val="16"/>
                              </w:rPr>
                              <w:t xml:space="preserve"> A.4 –Studies, Impact Assessments, Analysis and Statistics</w:t>
                            </w:r>
                          </w:p>
                          <w:p w:rsidR="00394EBA" w:rsidRPr="00B02883" w:rsidRDefault="00394EBA" w:rsidP="00651009">
                            <w:pPr>
                              <w:tabs>
                                <w:tab w:val="left" w:pos="0"/>
                              </w:tabs>
                              <w:spacing w:after="120"/>
                              <w:jc w:val="left"/>
                              <w:rPr>
                                <w:sz w:val="16"/>
                                <w:szCs w:val="16"/>
                                <w:lang w:val="fr-FR" w:eastAsia="en-US"/>
                              </w:rPr>
                            </w:pPr>
                            <w:r w:rsidRPr="00696241">
                              <w:rPr>
                                <w:i/>
                                <w:sz w:val="16"/>
                                <w:szCs w:val="16"/>
                              </w:rPr>
                              <w:t>European Commission</w:t>
                            </w:r>
                            <w:r w:rsidRPr="00696241">
                              <w:rPr>
                                <w:i/>
                                <w:sz w:val="16"/>
                                <w:szCs w:val="16"/>
                              </w:rPr>
                              <w:br/>
                              <w:t>B-1049 Brussels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CC7270" id="Text Box 57" o:spid="_x0000_s1029" type="#_x0000_t202" style="position:absolute;left:0;text-align:left;margin-left:59.6pt;margin-top:664.75pt;width:427.8pt;height:140.6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" filled="f" stroked="f">
                <v:textbox>
                  <w:txbxContent>
                    <w:p w:rsidR="00394EBA" w:rsidRPr="00696241" w:rsidRDefault="00394EBA" w:rsidP="00B02883">
                      <w:pPr>
                        <w:pStyle w:val="HeadingBody"/>
                        <w:rPr>
                          <w:sz w:val="18"/>
                        </w:rPr>
                      </w:pPr>
                      <w:r w:rsidRPr="00696241">
                        <w:rPr>
                          <w:sz w:val="18"/>
                        </w:rPr>
                        <w:t>EUROPEAN COMMISSION</w:t>
                      </w:r>
                    </w:p>
                    <w:p w:rsidR="00394EBA" w:rsidRPr="00696241" w:rsidRDefault="00394EBA" w:rsidP="00B02883">
                      <w:pPr>
                        <w:jc w:val="left"/>
                        <w:rPr>
                          <w:sz w:val="16"/>
                          <w:szCs w:val="16"/>
                        </w:rPr>
                      </w:pPr>
                      <w:r w:rsidRPr="00696241">
                        <w:rPr>
                          <w:sz w:val="16"/>
                          <w:szCs w:val="16"/>
                        </w:rPr>
                        <w:t xml:space="preserve">Directorate-General for </w:t>
                      </w:r>
                      <w:r>
                        <w:rPr>
                          <w:sz w:val="16"/>
                          <w:szCs w:val="16"/>
                        </w:rPr>
                        <w:t>Education and Culture</w:t>
                      </w:r>
                    </w:p>
                    <w:p w:rsidR="00394EBA" w:rsidRDefault="00394EBA" w:rsidP="00B02883">
                      <w:pPr>
                        <w:spacing w:after="120"/>
                        <w:jc w:val="left"/>
                        <w:rPr>
                          <w:sz w:val="16"/>
                          <w:szCs w:val="16"/>
                        </w:rPr>
                      </w:pPr>
                      <w:r>
                        <w:rPr>
                          <w:sz w:val="16"/>
                          <w:szCs w:val="16"/>
                        </w:rPr>
                        <w:t>Unit</w:t>
                      </w:r>
                      <w:r w:rsidRPr="00AC06EB">
                        <w:rPr>
                          <w:sz w:val="16"/>
                          <w:szCs w:val="16"/>
                        </w:rPr>
                        <w:t xml:space="preserve"> A.4 –Studies, Impact Assessments, Analysis and Statistics</w:t>
                      </w:r>
                    </w:p>
                    <w:p w:rsidR="00394EBA" w:rsidRPr="00B02883" w:rsidRDefault="00394EBA" w:rsidP="00651009">
                      <w:pPr>
                        <w:tabs>
                          <w:tab w:val="left" w:pos="0"/>
                        </w:tabs>
                        <w:spacing w:after="120"/>
                        <w:jc w:val="left"/>
                        <w:rPr>
                          <w:sz w:val="16"/>
                          <w:szCs w:val="16"/>
                          <w:lang w:val="fr-FR" w:eastAsia="en-US"/>
                        </w:rPr>
                      </w:pPr>
                      <w:r w:rsidRPr="00696241">
                        <w:rPr>
                          <w:i/>
                          <w:sz w:val="16"/>
                          <w:szCs w:val="16"/>
                        </w:rPr>
                        <w:t>European Commission</w:t>
                      </w:r>
                      <w:r w:rsidRPr="00696241">
                        <w:rPr>
                          <w:i/>
                          <w:sz w:val="16"/>
                          <w:szCs w:val="16"/>
                        </w:rPr>
                        <w:br/>
                        <w:t>B-1049 Brussels</w:t>
                      </w:r>
                    </w:p>
                  </w:txbxContent>
                </v:textbox>
                <w10:wrap anchorx="page" anchory="page"/>
              </v:shape>
            </w:pict>
          </mc:Fallback>
        </mc:AlternateContent>
      </w:r>
      <w:r w:rsidR="00B02883">
        <w:rPr>
          <w:rFonts w:cs="Arial"/>
          <w:b/>
          <w:bCs/>
          <w:color w:val="263673"/>
          <w:kern w:val="32"/>
          <w:sz w:val="28"/>
          <w:szCs w:val="32"/>
        </w:rPr>
        <w:br w:type="page"/>
      </w:r>
    </w:p>
    <w:p w:rsidR="00B02883" w:rsidRPr="00213AE8" w:rsidRDefault="00B02883" w:rsidP="000E4E30">
      <w:pPr>
        <w:spacing w:after="120" w:line="288" w:lineRule="auto"/>
        <w:rPr>
          <w:sz w:val="18"/>
        </w:rPr>
      </w:pPr>
    </w:p>
    <w:p w:rsidR="00B02883" w:rsidRPr="00213AE8" w:rsidRDefault="00224EEB" w:rsidP="000E4E30">
      <w:pPr>
        <w:spacing w:after="120" w:line="288" w:lineRule="auto"/>
        <w:jc w:val="center"/>
      </w:pPr>
      <w:r>
        <w:rPr>
          <w:noProof/>
          <w:lang w:val="en-US" w:eastAsia="en-US"/>
        </w:rPr>
        <mc:AlternateContent>
          <mc:Choice Requires="wps">
            <w:drawing>
              <wp:anchor distT="0" distB="0" distL="114300" distR="114300" simplePos="0" relativeHeight="251661312" behindDoc="0" locked="0" layoutInCell="1" allowOverlap="1" wp14:anchorId="459F4AB4" wp14:editId="0B01A905">
                <wp:simplePos x="0" y="0"/>
                <wp:positionH relativeFrom="page">
                  <wp:posOffset>446405</wp:posOffset>
                </wp:positionH>
                <wp:positionV relativeFrom="page">
                  <wp:posOffset>329565</wp:posOffset>
                </wp:positionV>
                <wp:extent cx="6677660" cy="531495"/>
                <wp:effectExtent l="0" t="0" r="0" b="0"/>
                <wp:wrapNone/>
                <wp:docPr id="1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7660" cy="5314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94EBA" w:rsidRDefault="00394EBA" w:rsidP="004E4589">
                            <w:pPr>
                              <w:jc w:val="center"/>
                            </w:pPr>
                            <w:r w:rsidRPr="00213AE8">
                              <w:rPr>
                                <w:sz w:val="18"/>
                              </w:rPr>
                              <w:t>EUROPEAN COMMISSION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9F4AB4" id="Text Box 58" o:spid="_x0000_s1030" type="#_x0000_t202" style="position:absolute;left:0;text-align:left;margin-left:35.15pt;margin-top:25.95pt;width:525.8pt;height:41.8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" filled="f" stroked="f">
                <v:textbox>
                  <w:txbxContent>
                    <w:p w:rsidR="00394EBA" w:rsidRDefault="00394EBA" w:rsidP="004E4589">
                      <w:pPr>
                        <w:jc w:val="center"/>
                      </w:pPr>
                      <w:r w:rsidRPr="00213AE8">
                        <w:rPr>
                          <w:sz w:val="18"/>
                        </w:rPr>
                        <w:t>EUROPEAN COMMISSION</w:t>
                      </w:r>
                    </w:p>
                  </w:txbxContent>
                </v:textbox>
                <w10:wrap anchorx="page" anchory="page"/>
              </v:shape>
            </w:pict>
          </mc:Fallback>
        </mc:AlternateContent>
      </w:r>
    </w:p>
    <w:p w:rsidR="00B02883" w:rsidRPr="00213AE8" w:rsidRDefault="00B02883" w:rsidP="000E4E30">
      <w:pPr>
        <w:spacing w:after="120" w:line="288" w:lineRule="auto"/>
        <w:jc w:val="center"/>
      </w:pPr>
    </w:p>
    <w:p w:rsidR="00B02883" w:rsidRPr="00213AE8" w:rsidRDefault="00B02883" w:rsidP="000E4E30">
      <w:pPr>
        <w:spacing w:after="120" w:line="288" w:lineRule="auto"/>
        <w:jc w:val="center"/>
      </w:pPr>
    </w:p>
    <w:p w:rsidR="00B02883" w:rsidRPr="00213AE8" w:rsidRDefault="00B02883" w:rsidP="000E4E30">
      <w:pPr>
        <w:spacing w:after="120" w:line="288" w:lineRule="auto"/>
        <w:jc w:val="center"/>
      </w:pPr>
    </w:p>
    <w:p w:rsidR="00B02883" w:rsidRDefault="00B02883" w:rsidP="000E4E30">
      <w:pPr>
        <w:spacing w:after="120" w:line="288" w:lineRule="auto"/>
        <w:jc w:val="center"/>
      </w:pPr>
    </w:p>
    <w:p w:rsidR="004E4589" w:rsidRDefault="004E4589" w:rsidP="000E4E30">
      <w:pPr>
        <w:spacing w:after="120" w:line="288" w:lineRule="auto"/>
        <w:jc w:val="center"/>
      </w:pPr>
    </w:p>
    <w:p w:rsidR="004E4589" w:rsidRDefault="004E4589" w:rsidP="000E4E30">
      <w:pPr>
        <w:spacing w:after="120" w:line="288" w:lineRule="auto"/>
        <w:jc w:val="center"/>
      </w:pPr>
    </w:p>
    <w:p w:rsidR="004E4589" w:rsidRDefault="004E4589" w:rsidP="000E4E30">
      <w:pPr>
        <w:spacing w:after="120" w:line="288" w:lineRule="auto"/>
        <w:jc w:val="center"/>
      </w:pPr>
    </w:p>
    <w:p w:rsidR="00B02883" w:rsidRPr="009D0854" w:rsidRDefault="00AC06EB" w:rsidP="000E4E30">
      <w:pPr>
        <w:pStyle w:val="Titlepublication"/>
        <w:spacing w:after="120" w:line="288" w:lineRule="auto"/>
        <w:rPr>
          <w:color w:val="000000" w:themeColor="text1"/>
        </w:rPr>
      </w:pPr>
      <w:r>
        <w:rPr>
          <w:color w:val="000000" w:themeColor="text1"/>
        </w:rPr>
        <w:t xml:space="preserve">Educational attainment and </w:t>
      </w:r>
      <w:r w:rsidR="00FA0136">
        <w:rPr>
          <w:color w:val="000000" w:themeColor="text1"/>
        </w:rPr>
        <w:t xml:space="preserve">basic </w:t>
      </w:r>
      <w:r>
        <w:rPr>
          <w:color w:val="000000" w:themeColor="text1"/>
        </w:rPr>
        <w:t>competences of young adults</w:t>
      </w:r>
      <w:r w:rsidR="00FA0136">
        <w:rPr>
          <w:color w:val="000000" w:themeColor="text1"/>
        </w:rPr>
        <w:t xml:space="preserve"> in Europe</w:t>
      </w:r>
    </w:p>
    <w:p w:rsidR="00B02883" w:rsidRPr="009D0854" w:rsidRDefault="00B02883" w:rsidP="000E4E30">
      <w:pPr>
        <w:pStyle w:val="Subtitlepublication"/>
        <w:spacing w:after="120" w:line="288" w:lineRule="auto"/>
        <w:rPr>
          <w:color w:val="000000" w:themeColor="text1"/>
        </w:rPr>
      </w:pPr>
      <w:r w:rsidRPr="009D0854">
        <w:rPr>
          <w:color w:val="000000" w:themeColor="text1"/>
        </w:rPr>
        <w:t>S</w:t>
      </w:r>
      <w:r w:rsidR="003A6B85">
        <w:rPr>
          <w:color w:val="000000" w:themeColor="text1"/>
        </w:rPr>
        <w:t xml:space="preserve">tudy </w:t>
      </w:r>
      <w:r w:rsidR="00FA0136">
        <w:rPr>
          <w:color w:val="000000" w:themeColor="text1"/>
        </w:rPr>
        <w:t xml:space="preserve">on </w:t>
      </w:r>
      <w:r w:rsidR="009D0854" w:rsidRPr="009D0854">
        <w:rPr>
          <w:color w:val="000000" w:themeColor="text1"/>
        </w:rPr>
        <w:t>the link between the levels of basic competences and formal educational attainment in a cross-country and within-country perspective</w:t>
      </w:r>
    </w:p>
    <w:p w:rsidR="00B02883" w:rsidRPr="0030325A" w:rsidRDefault="00B02883" w:rsidP="000E4E30">
      <w:pPr>
        <w:spacing w:after="120" w:line="288" w:lineRule="auto"/>
        <w:jc w:val="center"/>
      </w:pPr>
    </w:p>
    <w:p w:rsidR="00B02883" w:rsidRPr="0030325A" w:rsidRDefault="00B02883" w:rsidP="000E4E30">
      <w:pPr>
        <w:spacing w:after="120" w:line="288" w:lineRule="auto"/>
        <w:jc w:val="center"/>
      </w:pPr>
    </w:p>
    <w:p w:rsidR="00B02883" w:rsidRPr="0030325A" w:rsidRDefault="00B02883" w:rsidP="000E4E30">
      <w:pPr>
        <w:spacing w:after="120" w:line="288" w:lineRule="auto"/>
        <w:jc w:val="center"/>
      </w:pPr>
    </w:p>
    <w:p w:rsidR="00B02883" w:rsidRPr="0030325A" w:rsidRDefault="00B02883" w:rsidP="000E4E30">
      <w:pPr>
        <w:spacing w:after="120" w:line="288" w:lineRule="auto"/>
        <w:jc w:val="center"/>
      </w:pPr>
    </w:p>
    <w:p w:rsidR="006814D8" w:rsidRPr="004E4589" w:rsidRDefault="00224EEB" w:rsidP="000E4E30">
      <w:pPr>
        <w:pStyle w:val="Editorname"/>
        <w:spacing w:after="120" w:line="288" w:lineRule="auto"/>
      </w:pPr>
      <w:r w:rsidRPr="009D0854">
        <w:rPr>
          <w:noProof/>
          <w:color w:val="000000" w:themeColor="text1"/>
          <w:lang w:val="en-US"/>
        </w:rPr>
        <mc:AlternateContent>
          <mc:Choice Requires="wps">
            <w:drawing>
              <wp:anchor distT="0" distB="0" distL="114300" distR="114300" simplePos="0" relativeHeight="251662336" behindDoc="0" locked="0" layoutInCell="1" allowOverlap="1" wp14:anchorId="07CCDB48" wp14:editId="59051D58">
                <wp:simplePos x="0" y="0"/>
                <wp:positionH relativeFrom="page">
                  <wp:posOffset>10795</wp:posOffset>
                </wp:positionH>
                <wp:positionV relativeFrom="page">
                  <wp:posOffset>9785350</wp:posOffset>
                </wp:positionV>
                <wp:extent cx="7548880" cy="819150"/>
                <wp:effectExtent l="0" t="0" r="0" b="0"/>
                <wp:wrapNone/>
                <wp:docPr id="17"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8880" cy="8191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94EBA" w:rsidRPr="0030325A" w:rsidRDefault="00394EBA" w:rsidP="004E4589">
                            <w:pPr>
                              <w:jc w:val="center"/>
                            </w:pPr>
                          </w:p>
                          <w:p w:rsidR="00394EBA" w:rsidRPr="00213AE8" w:rsidRDefault="00394EBA" w:rsidP="004E4589">
                            <w:pPr>
                              <w:jc w:val="center"/>
                              <w:rPr>
                                <w:sz w:val="18"/>
                              </w:rPr>
                            </w:pPr>
                            <w:r w:rsidRPr="00213AE8">
                              <w:rPr>
                                <w:sz w:val="18"/>
                              </w:rPr>
                              <w:t xml:space="preserve">Directorate-General for </w:t>
                            </w:r>
                            <w:r>
                              <w:rPr>
                                <w:sz w:val="18"/>
                              </w:rPr>
                              <w:t>Education and Culture</w:t>
                            </w:r>
                          </w:p>
                          <w:p w:rsidR="00394EBA" w:rsidRPr="004E4589" w:rsidRDefault="00394EBA" w:rsidP="004E4589">
                            <w:pPr>
                              <w:tabs>
                                <w:tab w:val="center" w:pos="4536"/>
                                <w:tab w:val="right" w:pos="9072"/>
                              </w:tabs>
                              <w:jc w:val="center"/>
                              <w:rPr>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CCDB48" id="Text Box 59" o:spid="_x0000_s1031" type="#_x0000_t202" style="position:absolute;left:0;text-align:left;margin-left:.85pt;margin-top:770.5pt;width:594.4pt;height:64.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" filled="f" stroked="f">
                <v:textbox>
                  <w:txbxContent>
                    <w:p w:rsidR="00394EBA" w:rsidRPr="0030325A" w:rsidRDefault="00394EBA" w:rsidP="004E4589">
                      <w:pPr>
                        <w:jc w:val="center"/>
                      </w:pPr>
                    </w:p>
                    <w:p w:rsidR="00394EBA" w:rsidRPr="00213AE8" w:rsidRDefault="00394EBA" w:rsidP="004E4589">
                      <w:pPr>
                        <w:jc w:val="center"/>
                        <w:rPr>
                          <w:sz w:val="18"/>
                        </w:rPr>
                      </w:pPr>
                      <w:r w:rsidRPr="00213AE8">
                        <w:rPr>
                          <w:sz w:val="18"/>
                        </w:rPr>
                        <w:t xml:space="preserve">Directorate-General for </w:t>
                      </w:r>
                      <w:r>
                        <w:rPr>
                          <w:sz w:val="18"/>
                        </w:rPr>
                        <w:t>Education and Culture</w:t>
                      </w:r>
                    </w:p>
                    <w:p w:rsidR="00394EBA" w:rsidRPr="004E4589" w:rsidRDefault="00394EBA" w:rsidP="004E4589">
                      <w:pPr>
                        <w:tabs>
                          <w:tab w:val="center" w:pos="4536"/>
                          <w:tab w:val="right" w:pos="9072"/>
                        </w:tabs>
                        <w:jc w:val="center"/>
                        <w:rPr>
                          <w:sz w:val="18"/>
                        </w:rPr>
                      </w:pPr>
                    </w:p>
                  </w:txbxContent>
                </v:textbox>
                <w10:wrap anchorx="page" anchory="page"/>
              </v:shape>
            </w:pict>
          </mc:Fallback>
        </mc:AlternateContent>
      </w:r>
      <w:r w:rsidR="000755F4">
        <w:rPr>
          <w:rFonts w:cs="Arial"/>
          <w:b/>
          <w:bCs/>
          <w:color w:val="263673"/>
          <w:kern w:val="32"/>
          <w:sz w:val="28"/>
          <w:szCs w:val="32"/>
        </w:rPr>
        <w:t xml:space="preserve"> </w:t>
      </w:r>
      <w:r w:rsidR="00B02883">
        <w:rPr>
          <w:rFonts w:cs="Arial"/>
          <w:b/>
          <w:bCs/>
          <w:color w:val="263673"/>
          <w:kern w:val="32"/>
          <w:sz w:val="28"/>
          <w:szCs w:val="32"/>
        </w:rPr>
        <w:br w:type="page"/>
      </w:r>
    </w:p>
    <w:p w:rsidR="006814D8" w:rsidRDefault="009D0854" w:rsidP="000E4E30">
      <w:pPr>
        <w:spacing w:after="120" w:line="288" w:lineRule="auto"/>
        <w:rPr>
          <w:rFonts w:cs="Arial"/>
          <w:b/>
          <w:bCs/>
          <w:color w:val="263673"/>
          <w:kern w:val="32"/>
          <w:sz w:val="28"/>
          <w:szCs w:val="32"/>
        </w:rPr>
      </w:pPr>
      <w:r>
        <w:rPr>
          <w:rFonts w:cs="Arial"/>
          <w:b/>
          <w:bCs/>
          <w:noProof/>
          <w:color w:val="263673"/>
          <w:kern w:val="32"/>
          <w:sz w:val="28"/>
          <w:szCs w:val="32"/>
          <w:lang w:val="en-US" w:eastAsia="en-US"/>
        </w:rPr>
        <mc:AlternateContent>
          <mc:Choice Requires="wps">
            <w:drawing>
              <wp:anchor distT="0" distB="0" distL="114300" distR="114300" simplePos="0" relativeHeight="251659264" behindDoc="0" locked="0" layoutInCell="1" allowOverlap="1" wp14:anchorId="34438EAE" wp14:editId="1EC56BF9">
                <wp:simplePos x="0" y="0"/>
                <wp:positionH relativeFrom="page">
                  <wp:posOffset>999459</wp:posOffset>
                </wp:positionH>
                <wp:positionV relativeFrom="page">
                  <wp:posOffset>733647</wp:posOffset>
                </wp:positionV>
                <wp:extent cx="5188689" cy="3039745"/>
                <wp:effectExtent l="0" t="0" r="0" b="8255"/>
                <wp:wrapNone/>
                <wp:docPr id="1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8689" cy="30397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94EBA" w:rsidRPr="00651009" w:rsidRDefault="00394EBA" w:rsidP="006814D8">
                            <w:pPr>
                              <w:rPr>
                                <w:iCs/>
                                <w:color w:val="000000" w:themeColor="text1"/>
                                <w:u w:val="single"/>
                              </w:rPr>
                            </w:pPr>
                            <w:r w:rsidRPr="00651009">
                              <w:rPr>
                                <w:iCs/>
                                <w:color w:val="000000" w:themeColor="text1"/>
                                <w:u w:val="single"/>
                              </w:rPr>
                              <w:t>Disclaimer</w:t>
                            </w:r>
                          </w:p>
                          <w:p w:rsidR="00394EBA" w:rsidRPr="00651009" w:rsidRDefault="00394EBA" w:rsidP="009D0854">
                            <w:pPr>
                              <w:rPr>
                                <w:color w:val="000000" w:themeColor="text1"/>
                                <w:sz w:val="24"/>
                              </w:rPr>
                            </w:pPr>
                          </w:p>
                          <w:p w:rsidR="00394EBA" w:rsidRPr="00651009" w:rsidRDefault="00394EBA" w:rsidP="009D0854">
                            <w:pPr>
                              <w:rPr>
                                <w:color w:val="000000" w:themeColor="text1"/>
                                <w:sz w:val="21"/>
                                <w:szCs w:val="21"/>
                              </w:rPr>
                            </w:pPr>
                            <w:r w:rsidRPr="00651009">
                              <w:rPr>
                                <w:rStyle w:val="apple-style-span"/>
                                <w:rFonts w:ascii="Trebuchet MS" w:hAnsi="Trebuchet MS"/>
                                <w:color w:val="000000" w:themeColor="text1"/>
                                <w:szCs w:val="20"/>
                              </w:rPr>
                              <w:t>This document has been prepared for the European Commission; however, it reflects the views only of the authors, and the Commission cannot be held responsible for any use which may be made of the information contained therein.</w:t>
                            </w:r>
                          </w:p>
                          <w:p w:rsidR="00394EBA" w:rsidRPr="00651009" w:rsidRDefault="00394EBA" w:rsidP="001C3DCB">
                            <w:pPr>
                              <w:ind w:left="1440"/>
                              <w:rPr>
                                <w:rFonts w:ascii="Times New Roman" w:hAnsi="Times New Roman"/>
                                <w:color w:val="000000" w:themeColor="text1"/>
                                <w:sz w:val="24"/>
                              </w:rPr>
                            </w:pPr>
                            <w:r w:rsidRPr="00651009">
                              <w:rPr>
                                <w:rFonts w:ascii="Trebuchet MS" w:hAnsi="Trebuchet MS"/>
                                <w:color w:val="000000" w:themeColor="text1"/>
                                <w:szCs w:val="20"/>
                              </w:rPr>
                              <w:t> </w:t>
                            </w:r>
                          </w:p>
                          <w:p w:rsidR="00394EBA" w:rsidRPr="00651009" w:rsidRDefault="00394EBA" w:rsidP="009D0854">
                            <w:pPr>
                              <w:rPr>
                                <w:rFonts w:cs="Calibri"/>
                                <w:color w:val="000000" w:themeColor="text1"/>
                                <w:lang w:val="fr-BE"/>
                              </w:rPr>
                            </w:pPr>
                            <w:r w:rsidRPr="00651009">
                              <w:rPr>
                                <w:rFonts w:ascii="Trebuchet MS" w:hAnsi="Trebuchet MS"/>
                                <w:color w:val="000000" w:themeColor="text1"/>
                                <w:szCs w:val="20"/>
                                <w:lang w:val="fr-BE"/>
                              </w:rPr>
                              <w:t>Ce document a été préparé pour la Commission européenne; néanmoins, il reflète uniquement l’avis des auteurs et la Commission ne saurait être tenue responsable de toute utilisation qui serait faite des informations qu’il contient.</w:t>
                            </w:r>
                          </w:p>
                          <w:p w:rsidR="00394EBA" w:rsidRPr="00651009" w:rsidRDefault="00394EBA" w:rsidP="009D0854">
                            <w:pPr>
                              <w:rPr>
                                <w:rFonts w:ascii="Trebuchet MS" w:hAnsi="Trebuchet MS"/>
                                <w:color w:val="000000" w:themeColor="text1"/>
                                <w:szCs w:val="20"/>
                                <w:lang w:val="fr-BE"/>
                              </w:rPr>
                            </w:pPr>
                          </w:p>
                          <w:p w:rsidR="00394EBA" w:rsidRPr="00651009" w:rsidRDefault="00394EBA" w:rsidP="009D0854">
                            <w:pPr>
                              <w:rPr>
                                <w:color w:val="000000" w:themeColor="text1"/>
                                <w:lang w:val="de-DE"/>
                              </w:rPr>
                            </w:pPr>
                            <w:r w:rsidRPr="00651009">
                              <w:rPr>
                                <w:rFonts w:ascii="Trebuchet MS" w:hAnsi="Trebuchet MS"/>
                                <w:color w:val="000000" w:themeColor="text1"/>
                                <w:szCs w:val="20"/>
                                <w:lang w:val="de-DE"/>
                              </w:rPr>
                              <w:t>Dieses Dokument wurde für die Europäische Kommission erstellt. Es gibt jedoch lediglich die Meinung der Autoren wieder, und die Kommission kann nicht für die Verwendung der darin enthaltenen Informationen verantwortlich gemacht werden.</w:t>
                            </w:r>
                          </w:p>
                          <w:p w:rsidR="00394EBA" w:rsidRPr="009938C2" w:rsidRDefault="00394EBA" w:rsidP="009D0854">
                            <w:pPr>
                              <w:rPr>
                                <w:sz w:val="24"/>
                                <w:lang w:val="de-DE"/>
                              </w:rPr>
                            </w:pPr>
                          </w:p>
                          <w:p w:rsidR="00394EBA" w:rsidRPr="009938C2" w:rsidRDefault="00394EBA" w:rsidP="006814D8">
                            <w:pPr>
                              <w:rPr>
                                <w:iCs/>
                                <w:color w:val="FF0000"/>
                                <w:lang w:val="de-DE"/>
                              </w:rPr>
                            </w:pPr>
                          </w:p>
                          <w:p w:rsidR="00394EBA" w:rsidRPr="009938C2" w:rsidRDefault="00394EBA">
                            <w:pPr>
                              <w:rPr>
                                <w:lang w:val="de-D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438EAE" id="Text Box 56" o:spid="_x0000_s1032" type="#_x0000_t202" style="position:absolute;left:0;text-align:left;margin-left:78.7pt;margin-top:57.75pt;width:408.55pt;height:23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" filled="f" stroked="f">
                <v:textbox>
                  <w:txbxContent>
                    <w:p w:rsidR="00394EBA" w:rsidRPr="00651009" w:rsidRDefault="00394EBA" w:rsidP="006814D8">
                      <w:pPr>
                        <w:rPr>
                          <w:iCs/>
                          <w:color w:val="000000" w:themeColor="text1"/>
                          <w:u w:val="single"/>
                        </w:rPr>
                      </w:pPr>
                      <w:r w:rsidRPr="00651009">
                        <w:rPr>
                          <w:iCs/>
                          <w:color w:val="000000" w:themeColor="text1"/>
                          <w:u w:val="single"/>
                        </w:rPr>
                        <w:t>Disclaimer</w:t>
                      </w:r>
                    </w:p>
                    <w:p w:rsidR="00394EBA" w:rsidRPr="00651009" w:rsidRDefault="00394EBA" w:rsidP="009D0854">
                      <w:pPr>
                        <w:rPr>
                          <w:color w:val="000000" w:themeColor="text1"/>
                          <w:sz w:val="24"/>
                        </w:rPr>
                      </w:pPr>
                    </w:p>
                    <w:p w:rsidR="00394EBA" w:rsidRPr="00651009" w:rsidRDefault="00394EBA" w:rsidP="009D0854">
                      <w:pPr>
                        <w:rPr>
                          <w:color w:val="000000" w:themeColor="text1"/>
                          <w:sz w:val="21"/>
                          <w:szCs w:val="21"/>
                        </w:rPr>
                      </w:pPr>
                      <w:r w:rsidRPr="00651009">
                        <w:rPr>
                          <w:rStyle w:val="apple-style-span"/>
                          <w:rFonts w:ascii="Trebuchet MS" w:hAnsi="Trebuchet MS"/>
                          <w:color w:val="000000" w:themeColor="text1"/>
                          <w:szCs w:val="20"/>
                        </w:rPr>
                        <w:t>This document has been prepared for the European Commission; however, it reflects the views only of the authors, and the Commission cannot be held responsible for any use which may be made of the information contained therein.</w:t>
                      </w:r>
                    </w:p>
                    <w:p w:rsidR="00394EBA" w:rsidRPr="00651009" w:rsidRDefault="00394EBA" w:rsidP="001C3DCB">
                      <w:pPr>
                        <w:ind w:left="1440"/>
                        <w:rPr>
                          <w:rFonts w:ascii="Times New Roman" w:hAnsi="Times New Roman"/>
                          <w:color w:val="000000" w:themeColor="text1"/>
                          <w:sz w:val="24"/>
                        </w:rPr>
                      </w:pPr>
                      <w:r w:rsidRPr="00651009">
                        <w:rPr>
                          <w:rFonts w:ascii="Trebuchet MS" w:hAnsi="Trebuchet MS"/>
                          <w:color w:val="000000" w:themeColor="text1"/>
                          <w:szCs w:val="20"/>
                        </w:rPr>
                        <w:t> </w:t>
                      </w:r>
                    </w:p>
                    <w:p w:rsidR="00394EBA" w:rsidRPr="00651009" w:rsidRDefault="00394EBA" w:rsidP="009D0854">
                      <w:pPr>
                        <w:rPr>
                          <w:rFonts w:cs="Calibri"/>
                          <w:color w:val="000000" w:themeColor="text1"/>
                          <w:lang w:val="fr-BE"/>
                        </w:rPr>
                      </w:pPr>
                      <w:r w:rsidRPr="00651009">
                        <w:rPr>
                          <w:rFonts w:ascii="Trebuchet MS" w:hAnsi="Trebuchet MS"/>
                          <w:color w:val="000000" w:themeColor="text1"/>
                          <w:szCs w:val="20"/>
                          <w:lang w:val="fr-BE"/>
                        </w:rPr>
                        <w:t>Ce document a été préparé pour la Commission européenne; néanmoins, il reflète uniquement l’avis des auteurs et la Commission ne saurait être tenue responsable de toute utilisation qui serait faite des informations qu’il contient.</w:t>
                      </w:r>
                    </w:p>
                    <w:p w:rsidR="00394EBA" w:rsidRPr="00651009" w:rsidRDefault="00394EBA" w:rsidP="009D0854">
                      <w:pPr>
                        <w:rPr>
                          <w:rFonts w:ascii="Trebuchet MS" w:hAnsi="Trebuchet MS"/>
                          <w:color w:val="000000" w:themeColor="text1"/>
                          <w:szCs w:val="20"/>
                          <w:lang w:val="fr-BE"/>
                        </w:rPr>
                      </w:pPr>
                    </w:p>
                    <w:p w:rsidR="00394EBA" w:rsidRPr="00651009" w:rsidRDefault="00394EBA" w:rsidP="009D0854">
                      <w:pPr>
                        <w:rPr>
                          <w:color w:val="000000" w:themeColor="text1"/>
                          <w:lang w:val="de-DE"/>
                        </w:rPr>
                      </w:pPr>
                      <w:r w:rsidRPr="00651009">
                        <w:rPr>
                          <w:rFonts w:ascii="Trebuchet MS" w:hAnsi="Trebuchet MS"/>
                          <w:color w:val="000000" w:themeColor="text1"/>
                          <w:szCs w:val="20"/>
                          <w:lang w:val="de-DE"/>
                        </w:rPr>
                        <w:t>Dieses Dokument wurde für die Europäische Kommission erstellt. Es gibt jedoch lediglich die Meinung der Autoren wieder, und die Kommission kann nicht für die Verwendung der darin enthaltenen Informationen verantwortlich gemacht werden.</w:t>
                      </w:r>
                    </w:p>
                    <w:p w:rsidR="00394EBA" w:rsidRPr="009938C2" w:rsidRDefault="00394EBA" w:rsidP="009D0854">
                      <w:pPr>
                        <w:rPr>
                          <w:sz w:val="24"/>
                          <w:lang w:val="de-DE"/>
                        </w:rPr>
                      </w:pPr>
                    </w:p>
                    <w:p w:rsidR="00394EBA" w:rsidRPr="009938C2" w:rsidRDefault="00394EBA" w:rsidP="006814D8">
                      <w:pPr>
                        <w:rPr>
                          <w:iCs/>
                          <w:color w:val="FF0000"/>
                          <w:lang w:val="de-DE"/>
                        </w:rPr>
                      </w:pPr>
                    </w:p>
                    <w:p w:rsidR="00394EBA" w:rsidRPr="009938C2" w:rsidRDefault="00394EBA">
                      <w:pPr>
                        <w:rPr>
                          <w:lang w:val="de-DE"/>
                        </w:rPr>
                      </w:pPr>
                    </w:p>
                  </w:txbxContent>
                </v:textbox>
                <w10:wrap anchorx="page" anchory="page"/>
              </v:shape>
            </w:pict>
          </mc:Fallback>
        </mc:AlternateContent>
      </w:r>
    </w:p>
    <w:p w:rsidR="006814D8" w:rsidRDefault="006814D8" w:rsidP="000E4E30">
      <w:pPr>
        <w:spacing w:after="120" w:line="288" w:lineRule="auto"/>
        <w:rPr>
          <w:rFonts w:cs="Arial"/>
          <w:b/>
          <w:bCs/>
          <w:color w:val="263673"/>
          <w:kern w:val="32"/>
          <w:sz w:val="28"/>
          <w:szCs w:val="32"/>
        </w:rPr>
      </w:pPr>
    </w:p>
    <w:p w:rsidR="00D167A2" w:rsidRDefault="00D167A2" w:rsidP="000E4E30">
      <w:pPr>
        <w:spacing w:after="120" w:line="288" w:lineRule="auto"/>
        <w:rPr>
          <w:rFonts w:cs="Arial"/>
          <w:b/>
          <w:bCs/>
          <w:color w:val="263673"/>
          <w:kern w:val="32"/>
          <w:sz w:val="28"/>
          <w:szCs w:val="32"/>
        </w:rPr>
      </w:pPr>
    </w:p>
    <w:p w:rsidR="00D167A2" w:rsidRDefault="00D167A2" w:rsidP="000E4E30">
      <w:pPr>
        <w:spacing w:after="120" w:line="288" w:lineRule="auto"/>
        <w:rPr>
          <w:rFonts w:cs="Arial"/>
          <w:b/>
          <w:bCs/>
          <w:color w:val="263673"/>
          <w:kern w:val="32"/>
          <w:sz w:val="28"/>
          <w:szCs w:val="32"/>
        </w:rPr>
      </w:pPr>
    </w:p>
    <w:p w:rsidR="00D167A2" w:rsidRDefault="00D167A2" w:rsidP="000E4E30">
      <w:pPr>
        <w:spacing w:after="120" w:line="288" w:lineRule="auto"/>
        <w:rPr>
          <w:rFonts w:cs="Arial"/>
          <w:b/>
          <w:bCs/>
          <w:color w:val="263673"/>
          <w:kern w:val="32"/>
          <w:sz w:val="28"/>
          <w:szCs w:val="32"/>
        </w:rPr>
      </w:pPr>
    </w:p>
    <w:p w:rsidR="00D167A2" w:rsidRDefault="00D167A2" w:rsidP="000E4E30">
      <w:pPr>
        <w:spacing w:after="120" w:line="288" w:lineRule="auto"/>
        <w:rPr>
          <w:rFonts w:cs="Arial"/>
          <w:b/>
          <w:bCs/>
          <w:color w:val="263673"/>
          <w:kern w:val="32"/>
          <w:sz w:val="28"/>
          <w:szCs w:val="32"/>
        </w:rPr>
      </w:pPr>
    </w:p>
    <w:p w:rsidR="00AC06EB" w:rsidRDefault="00AC06EB" w:rsidP="000E4E30">
      <w:pPr>
        <w:spacing w:after="120" w:line="288" w:lineRule="auto"/>
      </w:pPr>
    </w:p>
    <w:p w:rsidR="00AC06EB" w:rsidRDefault="00AC06EB" w:rsidP="000E4E30">
      <w:pPr>
        <w:spacing w:after="120" w:line="288" w:lineRule="auto"/>
      </w:pPr>
    </w:p>
    <w:p w:rsidR="00AC06EB" w:rsidRDefault="00AC06EB" w:rsidP="000E4E30">
      <w:pPr>
        <w:spacing w:after="120" w:line="288" w:lineRule="auto"/>
      </w:pPr>
    </w:p>
    <w:p w:rsidR="009D0854" w:rsidRDefault="009D0854" w:rsidP="000E4E30">
      <w:pPr>
        <w:spacing w:after="120" w:line="288" w:lineRule="auto"/>
        <w:rPr>
          <w:rFonts w:ascii="Arial" w:hAnsi="Arial"/>
          <w:sz w:val="18"/>
        </w:rPr>
      </w:pPr>
    </w:p>
    <w:p w:rsidR="009D0854" w:rsidRDefault="009D0854"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tbl>
      <w:tblPr>
        <w:tblpPr w:leftFromText="180" w:rightFromText="180" w:vertAnchor="text" w:horzAnchor="margin" w:tblpY="1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76"/>
      </w:tblGrid>
      <w:tr w:rsidR="001C3DCB" w:rsidTr="001C3DCB">
        <w:tc>
          <w:tcPr>
            <w:tcW w:w="7376" w:type="dxa"/>
            <w:tcMar>
              <w:left w:w="0" w:type="dxa"/>
              <w:right w:w="0" w:type="dxa"/>
            </w:tcMar>
          </w:tcPr>
          <w:p w:rsidR="001C3DCB" w:rsidRDefault="001C3DCB" w:rsidP="001C3DCB">
            <w:pPr>
              <w:spacing w:after="120" w:line="288" w:lineRule="auto"/>
              <w:jc w:val="center"/>
              <w:rPr>
                <w:noProof/>
              </w:rPr>
            </w:pPr>
            <w:r>
              <w:rPr>
                <w:rFonts w:ascii="Arial" w:hAnsi="Arial"/>
                <w:b/>
                <w:i/>
                <w:noProof/>
              </w:rPr>
              <w:t xml:space="preserve">Europe Direct is a service to help you find answers </w:t>
            </w:r>
            <w:r>
              <w:rPr>
                <w:noProof/>
              </w:rPr>
              <w:br/>
            </w:r>
            <w:r>
              <w:rPr>
                <w:rFonts w:ascii="Arial" w:hAnsi="Arial"/>
                <w:b/>
                <w:i/>
                <w:noProof/>
              </w:rPr>
              <w:t>to your questions about the European Union.</w:t>
            </w:r>
          </w:p>
          <w:p w:rsidR="001C3DCB" w:rsidRDefault="001C3DCB" w:rsidP="001C3DCB">
            <w:pPr>
              <w:spacing w:after="120" w:line="288" w:lineRule="auto"/>
              <w:jc w:val="center"/>
              <w:rPr>
                <w:rFonts w:ascii="Arial" w:hAnsi="Arial"/>
                <w:b/>
                <w:noProof/>
              </w:rPr>
            </w:pPr>
          </w:p>
          <w:p w:rsidR="001C3DCB" w:rsidRDefault="001C3DCB" w:rsidP="001C3DCB">
            <w:pPr>
              <w:spacing w:after="120" w:line="288" w:lineRule="auto"/>
              <w:jc w:val="center"/>
              <w:rPr>
                <w:noProof/>
              </w:rPr>
            </w:pPr>
            <w:r>
              <w:rPr>
                <w:rFonts w:ascii="Arial" w:hAnsi="Arial"/>
                <w:b/>
                <w:noProof/>
              </w:rPr>
              <w:t>Freephone number</w:t>
            </w:r>
            <w:r w:rsidRPr="006737F1">
              <w:rPr>
                <w:rFonts w:ascii="Arial" w:hAnsi="Arial"/>
                <w:noProof/>
              </w:rPr>
              <w:t xml:space="preserve"> (*)</w:t>
            </w:r>
            <w:r>
              <w:rPr>
                <w:rFonts w:ascii="Arial" w:hAnsi="Arial"/>
                <w:b/>
                <w:noProof/>
              </w:rPr>
              <w:t>:</w:t>
            </w:r>
          </w:p>
          <w:p w:rsidR="001C3DCB" w:rsidRDefault="001C3DCB" w:rsidP="001C3DCB">
            <w:pPr>
              <w:spacing w:after="120" w:line="288" w:lineRule="auto"/>
              <w:jc w:val="center"/>
              <w:rPr>
                <w:rFonts w:ascii="Arial" w:hAnsi="Arial"/>
                <w:b/>
                <w:noProof/>
                <w:sz w:val="28"/>
              </w:rPr>
            </w:pPr>
            <w:r>
              <w:rPr>
                <w:rFonts w:ascii="Arial" w:hAnsi="Arial"/>
                <w:b/>
                <w:noProof/>
                <w:sz w:val="28"/>
              </w:rPr>
              <w:t>00 800 6 7 8 9 10 11</w:t>
            </w:r>
          </w:p>
          <w:p w:rsidR="001C3DCB" w:rsidRDefault="001C3DCB" w:rsidP="001C3DCB">
            <w:pPr>
              <w:spacing w:after="120" w:line="288" w:lineRule="auto"/>
              <w:ind w:left="397" w:right="170" w:hanging="227"/>
              <w:rPr>
                <w:noProof/>
              </w:rPr>
            </w:pPr>
            <w:hyperlink r:id="rId16" w:anchor="note1#note1" w:tooltip="Back to the text" w:history="1">
              <w:r w:rsidRPr="00003409">
                <w:rPr>
                  <w:rFonts w:ascii="Arial" w:hAnsi="Arial" w:cs="Arial"/>
                  <w:sz w:val="16"/>
                  <w:szCs w:val="16"/>
                </w:rPr>
                <w:t>(*)</w:t>
              </w:r>
            </w:hyperlink>
            <w:r>
              <w:rPr>
                <w:rFonts w:ascii="Arial" w:hAnsi="Arial" w:cs="Arial"/>
                <w:sz w:val="16"/>
                <w:szCs w:val="16"/>
              </w:rPr>
              <w:tab/>
            </w:r>
            <w:r w:rsidRPr="0034081B">
              <w:rPr>
                <w:rFonts w:ascii="Arial" w:hAnsi="Arial" w:cs="Arial"/>
                <w:sz w:val="16"/>
                <w:szCs w:val="16"/>
              </w:rPr>
              <w:t>The information given is free, as are most calls (though some operators, phone boxes or hotels may charge you).</w:t>
            </w:r>
          </w:p>
        </w:tc>
      </w:tr>
    </w:tbl>
    <w:p w:rsidR="009D0854" w:rsidRDefault="009D0854"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1C3DCB" w:rsidRDefault="001C3DCB" w:rsidP="000E4E30">
      <w:pPr>
        <w:spacing w:after="120" w:line="288" w:lineRule="auto"/>
        <w:rPr>
          <w:rFonts w:ascii="Arial" w:hAnsi="Arial"/>
          <w:sz w:val="18"/>
        </w:rPr>
      </w:pPr>
    </w:p>
    <w:p w:rsidR="009D0854" w:rsidRDefault="009D0854" w:rsidP="000E4E30">
      <w:pPr>
        <w:spacing w:after="120" w:line="288" w:lineRule="auto"/>
        <w:rPr>
          <w:rFonts w:ascii="Arial" w:hAnsi="Arial"/>
          <w:sz w:val="18"/>
        </w:rPr>
      </w:pPr>
      <w:r>
        <w:rPr>
          <w:rFonts w:ascii="Arial" w:hAnsi="Arial"/>
          <w:sz w:val="18"/>
        </w:rPr>
        <w:t>More information on the European Union is available on the internet (</w:t>
      </w:r>
      <w:hyperlink r:id="rId17" w:history="1">
        <w:r w:rsidR="001C3DCB" w:rsidRPr="004E26BF">
          <w:rPr>
            <w:rStyle w:val="Hyperlink"/>
            <w:rFonts w:ascii="Arial" w:hAnsi="Arial"/>
            <w:sz w:val="18"/>
          </w:rPr>
          <w:t>http://europa.eu</w:t>
        </w:r>
      </w:hyperlink>
      <w:r>
        <w:rPr>
          <w:rFonts w:ascii="Arial" w:hAnsi="Arial"/>
          <w:sz w:val="18"/>
        </w:rPr>
        <w:t>).</w:t>
      </w:r>
    </w:p>
    <w:p w:rsidR="001C3DCB" w:rsidRDefault="001C3DCB" w:rsidP="000E4E30">
      <w:pPr>
        <w:spacing w:after="120" w:line="288" w:lineRule="auto"/>
        <w:rPr>
          <w:rFonts w:ascii="Arial" w:hAnsi="Arial"/>
          <w:sz w:val="18"/>
        </w:rPr>
      </w:pPr>
    </w:p>
    <w:p w:rsidR="009D0854" w:rsidRDefault="009D0854" w:rsidP="000E4E30">
      <w:pPr>
        <w:spacing w:after="120" w:line="288" w:lineRule="auto"/>
        <w:rPr>
          <w:rFonts w:ascii="Arial" w:hAnsi="Arial"/>
          <w:sz w:val="18"/>
        </w:rPr>
      </w:pPr>
      <w:r>
        <w:rPr>
          <w:rFonts w:ascii="Arial" w:hAnsi="Arial"/>
          <w:sz w:val="18"/>
        </w:rPr>
        <w:t xml:space="preserve">Luxembourg: </w:t>
      </w:r>
      <w:r w:rsidRPr="00CD1ECB">
        <w:rPr>
          <w:rFonts w:ascii="Arial" w:hAnsi="Arial" w:cs="Cambria"/>
          <w:sz w:val="18"/>
        </w:rPr>
        <w:t>Publications Office of the European Union</w:t>
      </w:r>
      <w:r>
        <w:rPr>
          <w:rFonts w:ascii="Arial" w:hAnsi="Arial"/>
          <w:sz w:val="18"/>
        </w:rPr>
        <w:t>, 2015</w:t>
      </w:r>
    </w:p>
    <w:p w:rsidR="009D0854" w:rsidRPr="00AC06EB" w:rsidRDefault="009D0854" w:rsidP="000E4E30">
      <w:pPr>
        <w:spacing w:after="120" w:line="288" w:lineRule="auto"/>
        <w:rPr>
          <w:rFonts w:ascii="Arial" w:hAnsi="Arial" w:cs="Cambria"/>
          <w:sz w:val="18"/>
        </w:rPr>
      </w:pPr>
      <w:r>
        <w:rPr>
          <w:rFonts w:ascii="Arial" w:hAnsi="Arial"/>
          <w:sz w:val="18"/>
        </w:rPr>
        <w:t xml:space="preserve">ISBN </w:t>
      </w:r>
      <w:bookmarkStart w:id="0" w:name="ISBN"/>
      <w:bookmarkEnd w:id="0"/>
      <w:r w:rsidR="00AC06EB" w:rsidRPr="00AC06EB">
        <w:rPr>
          <w:rFonts w:ascii="Arial" w:hAnsi="Arial" w:cs="Cambria"/>
          <w:sz w:val="18"/>
        </w:rPr>
        <w:t>978-92-79-50996-4</w:t>
      </w:r>
    </w:p>
    <w:p w:rsidR="009D0854" w:rsidRPr="00AC06EB" w:rsidRDefault="009D0854" w:rsidP="000E4E30">
      <w:pPr>
        <w:spacing w:after="120" w:line="288" w:lineRule="auto"/>
        <w:rPr>
          <w:rFonts w:ascii="Arial" w:hAnsi="Arial" w:cs="Cambria"/>
          <w:sz w:val="18"/>
        </w:rPr>
      </w:pPr>
      <w:r w:rsidRPr="002038F9">
        <w:rPr>
          <w:rFonts w:ascii="Arial" w:hAnsi="Arial"/>
          <w:sz w:val="18"/>
        </w:rPr>
        <w:t>doi:</w:t>
      </w:r>
      <w:bookmarkStart w:id="1" w:name="doi"/>
      <w:bookmarkEnd w:id="1"/>
      <w:r w:rsidR="00AC06EB">
        <w:rPr>
          <w:rFonts w:ascii="Arial" w:hAnsi="Arial"/>
          <w:sz w:val="18"/>
        </w:rPr>
        <w:t xml:space="preserve"> </w:t>
      </w:r>
      <w:r w:rsidR="00AC06EB" w:rsidRPr="00AC06EB">
        <w:rPr>
          <w:rFonts w:ascii="Arial" w:hAnsi="Arial" w:cs="Cambria"/>
          <w:sz w:val="18"/>
        </w:rPr>
        <w:t>10.2766/598317</w:t>
      </w:r>
    </w:p>
    <w:p w:rsidR="009D0854" w:rsidRDefault="009D0854" w:rsidP="000E4E30">
      <w:pPr>
        <w:spacing w:after="120" w:line="288" w:lineRule="auto"/>
        <w:rPr>
          <w:rFonts w:ascii="Arial" w:hAnsi="Arial"/>
          <w:sz w:val="18"/>
        </w:rPr>
      </w:pPr>
    </w:p>
    <w:p w:rsidR="009D0854" w:rsidRDefault="009D0854" w:rsidP="000E4E30">
      <w:pPr>
        <w:spacing w:after="120" w:line="288" w:lineRule="auto"/>
        <w:rPr>
          <w:rFonts w:ascii="Arial" w:hAnsi="Arial"/>
          <w:sz w:val="18"/>
        </w:rPr>
      </w:pPr>
      <w:r>
        <w:rPr>
          <w:rFonts w:ascii="Arial" w:hAnsi="Arial"/>
          <w:sz w:val="18"/>
        </w:rPr>
        <w:t>© European Union, 2015</w:t>
      </w:r>
    </w:p>
    <w:p w:rsidR="009D0854" w:rsidRDefault="009D0854" w:rsidP="000E4E30">
      <w:pPr>
        <w:spacing w:after="120" w:line="288" w:lineRule="auto"/>
        <w:rPr>
          <w:rFonts w:ascii="Arial" w:hAnsi="Arial"/>
          <w:sz w:val="18"/>
        </w:rPr>
      </w:pPr>
      <w:r>
        <w:rPr>
          <w:rFonts w:ascii="Arial" w:hAnsi="Arial"/>
          <w:sz w:val="18"/>
        </w:rPr>
        <w:t>Reproduction is authorised provided the source is acknowledged.</w:t>
      </w:r>
    </w:p>
    <w:p w:rsidR="00B02883" w:rsidRDefault="00B02883" w:rsidP="000E4E30">
      <w:pPr>
        <w:spacing w:after="120" w:line="288" w:lineRule="auto"/>
        <w:sectPr w:rsidR="00B02883" w:rsidSect="00E274BE">
          <w:headerReference w:type="even" r:id="rId18"/>
          <w:headerReference w:type="default" r:id="rId19"/>
          <w:footerReference w:type="even" r:id="rId20"/>
          <w:footerReference w:type="default" r:id="rId21"/>
          <w:footerReference w:type="first" r:id="rId22"/>
          <w:pgSz w:w="11906" w:h="16838" w:code="9"/>
          <w:pgMar w:top="1985" w:right="1418" w:bottom="1418" w:left="1701" w:header="709" w:footer="709" w:gutter="0"/>
          <w:pgNumType w:start="1"/>
          <w:cols w:space="708"/>
          <w:titlePg/>
          <w:docGrid w:linePitch="360"/>
        </w:sectPr>
      </w:pPr>
    </w:p>
    <w:p w:rsidR="00D2200F" w:rsidRPr="00D02D0C" w:rsidRDefault="00D2200F" w:rsidP="003A6B85">
      <w:pPr>
        <w:pStyle w:val="StyleHeading1Auto"/>
        <w:spacing w:after="120" w:line="288" w:lineRule="auto"/>
      </w:pPr>
      <w:bookmarkStart w:id="2" w:name="_Toc432865466"/>
      <w:bookmarkStart w:id="3" w:name="_Toc435802047"/>
      <w:r w:rsidRPr="00D02D0C">
        <w:t>Table of Contents</w:t>
      </w:r>
      <w:bookmarkEnd w:id="2"/>
      <w:bookmarkEnd w:id="3"/>
    </w:p>
    <w:p w:rsidR="008D0022" w:rsidRDefault="00D2200F">
      <w:pPr>
        <w:pStyle w:val="TOC1"/>
        <w:rPr>
          <w:rFonts w:asciiTheme="minorHAnsi" w:eastAsiaTheme="minorEastAsia" w:hAnsiTheme="minorHAnsi" w:cstheme="minorBidi"/>
          <w:noProof/>
          <w:color w:val="auto"/>
          <w:sz w:val="22"/>
          <w:szCs w:val="22"/>
        </w:rPr>
      </w:pPr>
      <w:r w:rsidRPr="003A6B85">
        <w:rPr>
          <w:sz w:val="22"/>
          <w:szCs w:val="22"/>
        </w:rPr>
        <w:fldChar w:fldCharType="begin"/>
      </w:r>
      <w:r w:rsidRPr="003A6B85">
        <w:rPr>
          <w:sz w:val="22"/>
          <w:szCs w:val="22"/>
        </w:rPr>
        <w:instrText xml:space="preserve"> TOC \o "1-3" \h \z \u </w:instrText>
      </w:r>
      <w:r w:rsidRPr="003A6B85">
        <w:rPr>
          <w:sz w:val="22"/>
          <w:szCs w:val="22"/>
        </w:rPr>
        <w:fldChar w:fldCharType="separate"/>
      </w:r>
      <w:hyperlink w:anchor="_Toc435802051" w:history="1">
        <w:r w:rsidR="008D0022" w:rsidRPr="001D4C35">
          <w:rPr>
            <w:rStyle w:val="Hyperlink"/>
            <w:noProof/>
          </w:rPr>
          <w:t>1. Introduction</w:t>
        </w:r>
        <w:r w:rsidR="008D0022">
          <w:rPr>
            <w:noProof/>
            <w:webHidden/>
          </w:rPr>
          <w:tab/>
        </w:r>
        <w:r w:rsidR="008D0022">
          <w:rPr>
            <w:noProof/>
            <w:webHidden/>
          </w:rPr>
          <w:fldChar w:fldCharType="begin"/>
        </w:r>
        <w:r w:rsidR="008D0022">
          <w:rPr>
            <w:noProof/>
            <w:webHidden/>
          </w:rPr>
          <w:instrText xml:space="preserve"> PAGEREF _Toc435802051 \h </w:instrText>
        </w:r>
        <w:r w:rsidR="008D0022">
          <w:rPr>
            <w:noProof/>
            <w:webHidden/>
          </w:rPr>
        </w:r>
        <w:r w:rsidR="008D0022">
          <w:rPr>
            <w:noProof/>
            <w:webHidden/>
          </w:rPr>
          <w:fldChar w:fldCharType="separate"/>
        </w:r>
        <w:r w:rsidR="00337243">
          <w:rPr>
            <w:noProof/>
            <w:webHidden/>
          </w:rPr>
          <w:t>1</w:t>
        </w:r>
        <w:r w:rsidR="008D0022">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52" w:history="1">
        <w:r w:rsidRPr="001D4C35">
          <w:rPr>
            <w:rStyle w:val="Hyperlink"/>
            <w:noProof/>
          </w:rPr>
          <w:t>1.1 Aims and objective of this study</w:t>
        </w:r>
        <w:r>
          <w:rPr>
            <w:noProof/>
            <w:webHidden/>
          </w:rPr>
          <w:tab/>
        </w:r>
        <w:r>
          <w:rPr>
            <w:noProof/>
            <w:webHidden/>
          </w:rPr>
          <w:fldChar w:fldCharType="begin"/>
        </w:r>
        <w:r>
          <w:rPr>
            <w:noProof/>
            <w:webHidden/>
          </w:rPr>
          <w:instrText xml:space="preserve"> PAGEREF _Toc435802052 \h </w:instrText>
        </w:r>
        <w:r>
          <w:rPr>
            <w:noProof/>
            <w:webHidden/>
          </w:rPr>
        </w:r>
        <w:r>
          <w:rPr>
            <w:noProof/>
            <w:webHidden/>
          </w:rPr>
          <w:fldChar w:fldCharType="separate"/>
        </w:r>
        <w:r w:rsidR="00337243">
          <w:rPr>
            <w:noProof/>
            <w:webHidden/>
          </w:rPr>
          <w:t>1</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53" w:history="1">
        <w:r w:rsidRPr="001D4C35">
          <w:rPr>
            <w:rStyle w:val="Hyperlink"/>
            <w:noProof/>
          </w:rPr>
          <w:t>1.2 Defining skills and competences</w:t>
        </w:r>
        <w:r>
          <w:rPr>
            <w:noProof/>
            <w:webHidden/>
          </w:rPr>
          <w:tab/>
        </w:r>
        <w:r>
          <w:rPr>
            <w:noProof/>
            <w:webHidden/>
          </w:rPr>
          <w:fldChar w:fldCharType="begin"/>
        </w:r>
        <w:r>
          <w:rPr>
            <w:noProof/>
            <w:webHidden/>
          </w:rPr>
          <w:instrText xml:space="preserve"> PAGEREF _Toc435802053 \h </w:instrText>
        </w:r>
        <w:r>
          <w:rPr>
            <w:noProof/>
            <w:webHidden/>
          </w:rPr>
        </w:r>
        <w:r>
          <w:rPr>
            <w:noProof/>
            <w:webHidden/>
          </w:rPr>
          <w:fldChar w:fldCharType="separate"/>
        </w:r>
        <w:r w:rsidR="00337243">
          <w:rPr>
            <w:noProof/>
            <w:webHidden/>
          </w:rPr>
          <w:t>2</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54" w:history="1">
        <w:r w:rsidRPr="001D4C35">
          <w:rPr>
            <w:rStyle w:val="Hyperlink"/>
            <w:noProof/>
          </w:rPr>
          <w:t>1.3 Methodology for this study</w:t>
        </w:r>
        <w:r>
          <w:rPr>
            <w:noProof/>
            <w:webHidden/>
          </w:rPr>
          <w:tab/>
        </w:r>
        <w:r>
          <w:rPr>
            <w:noProof/>
            <w:webHidden/>
          </w:rPr>
          <w:fldChar w:fldCharType="begin"/>
        </w:r>
        <w:r>
          <w:rPr>
            <w:noProof/>
            <w:webHidden/>
          </w:rPr>
          <w:instrText xml:space="preserve"> PAGEREF _Toc435802054 \h </w:instrText>
        </w:r>
        <w:r>
          <w:rPr>
            <w:noProof/>
            <w:webHidden/>
          </w:rPr>
        </w:r>
        <w:r>
          <w:rPr>
            <w:noProof/>
            <w:webHidden/>
          </w:rPr>
          <w:fldChar w:fldCharType="separate"/>
        </w:r>
        <w:r w:rsidR="00337243">
          <w:rPr>
            <w:noProof/>
            <w:webHidden/>
          </w:rPr>
          <w:t>2</w:t>
        </w:r>
        <w:r>
          <w:rPr>
            <w:noProof/>
            <w:webHidden/>
          </w:rPr>
          <w:fldChar w:fldCharType="end"/>
        </w:r>
      </w:hyperlink>
    </w:p>
    <w:p w:rsidR="008D0022" w:rsidRDefault="008D0022">
      <w:pPr>
        <w:pStyle w:val="TOC2"/>
        <w:rPr>
          <w:rStyle w:val="Hyperlink"/>
          <w:noProof/>
        </w:rPr>
      </w:pPr>
      <w:hyperlink w:anchor="_Toc435802055" w:history="1">
        <w:r w:rsidRPr="001D4C35">
          <w:rPr>
            <w:rStyle w:val="Hyperlink"/>
            <w:noProof/>
          </w:rPr>
          <w:t>1.4 Structure of this report</w:t>
        </w:r>
        <w:r>
          <w:rPr>
            <w:noProof/>
            <w:webHidden/>
          </w:rPr>
          <w:tab/>
        </w:r>
        <w:r>
          <w:rPr>
            <w:noProof/>
            <w:webHidden/>
          </w:rPr>
          <w:fldChar w:fldCharType="begin"/>
        </w:r>
        <w:r>
          <w:rPr>
            <w:noProof/>
            <w:webHidden/>
          </w:rPr>
          <w:instrText xml:space="preserve"> PAGEREF _Toc435802055 \h </w:instrText>
        </w:r>
        <w:r>
          <w:rPr>
            <w:noProof/>
            <w:webHidden/>
          </w:rPr>
        </w:r>
        <w:r>
          <w:rPr>
            <w:noProof/>
            <w:webHidden/>
          </w:rPr>
          <w:fldChar w:fldCharType="separate"/>
        </w:r>
        <w:r w:rsidR="00337243">
          <w:rPr>
            <w:noProof/>
            <w:webHidden/>
          </w:rPr>
          <w:t>2</w:t>
        </w:r>
        <w:r>
          <w:rPr>
            <w:noProof/>
            <w:webHidden/>
          </w:rPr>
          <w:fldChar w:fldCharType="end"/>
        </w:r>
      </w:hyperlink>
    </w:p>
    <w:p w:rsidR="00F2218F" w:rsidRPr="00F2218F" w:rsidRDefault="00F2218F" w:rsidP="00F2218F">
      <w:pPr>
        <w:rPr>
          <w:rFonts w:eastAsiaTheme="minorEastAsia"/>
          <w:noProof/>
        </w:rPr>
      </w:pPr>
    </w:p>
    <w:p w:rsidR="008D0022" w:rsidRDefault="008D0022">
      <w:pPr>
        <w:pStyle w:val="TOC1"/>
        <w:rPr>
          <w:rFonts w:asciiTheme="minorHAnsi" w:eastAsiaTheme="minorEastAsia" w:hAnsiTheme="minorHAnsi" w:cstheme="minorBidi"/>
          <w:noProof/>
          <w:color w:val="auto"/>
          <w:sz w:val="22"/>
          <w:szCs w:val="22"/>
        </w:rPr>
      </w:pPr>
      <w:hyperlink w:anchor="_Toc435802056" w:history="1">
        <w:r w:rsidRPr="001D4C35">
          <w:rPr>
            <w:rStyle w:val="Hyperlink"/>
            <w:noProof/>
          </w:rPr>
          <w:t>2. PIAAC - Assessing adult competences and educational attainment</w:t>
        </w:r>
        <w:r>
          <w:rPr>
            <w:noProof/>
            <w:webHidden/>
          </w:rPr>
          <w:tab/>
        </w:r>
        <w:r>
          <w:rPr>
            <w:noProof/>
            <w:webHidden/>
          </w:rPr>
          <w:fldChar w:fldCharType="begin"/>
        </w:r>
        <w:r>
          <w:rPr>
            <w:noProof/>
            <w:webHidden/>
          </w:rPr>
          <w:instrText xml:space="preserve"> PAGEREF _Toc435802056 \h </w:instrText>
        </w:r>
        <w:r>
          <w:rPr>
            <w:noProof/>
            <w:webHidden/>
          </w:rPr>
        </w:r>
        <w:r>
          <w:rPr>
            <w:noProof/>
            <w:webHidden/>
          </w:rPr>
          <w:fldChar w:fldCharType="separate"/>
        </w:r>
        <w:r w:rsidR="00337243">
          <w:rPr>
            <w:noProof/>
            <w:webHidden/>
          </w:rPr>
          <w:t>4</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57" w:history="1">
        <w:r w:rsidRPr="001D4C35">
          <w:rPr>
            <w:rStyle w:val="Hyperlink"/>
            <w:noProof/>
          </w:rPr>
          <w:t>2.1 How PIAAC assesses competences</w:t>
        </w:r>
        <w:r>
          <w:rPr>
            <w:noProof/>
            <w:webHidden/>
          </w:rPr>
          <w:tab/>
        </w:r>
        <w:r>
          <w:rPr>
            <w:noProof/>
            <w:webHidden/>
          </w:rPr>
          <w:fldChar w:fldCharType="begin"/>
        </w:r>
        <w:r>
          <w:rPr>
            <w:noProof/>
            <w:webHidden/>
          </w:rPr>
          <w:instrText xml:space="preserve"> PAGEREF _Toc435802057 \h </w:instrText>
        </w:r>
        <w:r>
          <w:rPr>
            <w:noProof/>
            <w:webHidden/>
          </w:rPr>
        </w:r>
        <w:r>
          <w:rPr>
            <w:noProof/>
            <w:webHidden/>
          </w:rPr>
          <w:fldChar w:fldCharType="separate"/>
        </w:r>
        <w:r w:rsidR="00337243">
          <w:rPr>
            <w:noProof/>
            <w:webHidden/>
          </w:rPr>
          <w:t>5</w:t>
        </w:r>
        <w:r>
          <w:rPr>
            <w:noProof/>
            <w:webHidden/>
          </w:rPr>
          <w:fldChar w:fldCharType="end"/>
        </w:r>
      </w:hyperlink>
    </w:p>
    <w:p w:rsidR="008D0022" w:rsidRDefault="008D0022">
      <w:pPr>
        <w:pStyle w:val="TOC2"/>
        <w:rPr>
          <w:rStyle w:val="Hyperlink"/>
          <w:noProof/>
        </w:rPr>
      </w:pPr>
      <w:hyperlink w:anchor="_Toc435802059" w:history="1">
        <w:r w:rsidRPr="001D4C35">
          <w:rPr>
            <w:rStyle w:val="Hyperlink"/>
            <w:noProof/>
          </w:rPr>
          <w:t>2.2 How PIAAC captures educational attainment</w:t>
        </w:r>
        <w:r>
          <w:rPr>
            <w:noProof/>
            <w:webHidden/>
          </w:rPr>
          <w:tab/>
        </w:r>
        <w:r>
          <w:rPr>
            <w:noProof/>
            <w:webHidden/>
          </w:rPr>
          <w:fldChar w:fldCharType="begin"/>
        </w:r>
        <w:r>
          <w:rPr>
            <w:noProof/>
            <w:webHidden/>
          </w:rPr>
          <w:instrText xml:space="preserve"> PAGEREF _Toc435802059 \h </w:instrText>
        </w:r>
        <w:r>
          <w:rPr>
            <w:noProof/>
            <w:webHidden/>
          </w:rPr>
        </w:r>
        <w:r>
          <w:rPr>
            <w:noProof/>
            <w:webHidden/>
          </w:rPr>
          <w:fldChar w:fldCharType="separate"/>
        </w:r>
        <w:r w:rsidR="00337243">
          <w:rPr>
            <w:noProof/>
            <w:webHidden/>
          </w:rPr>
          <w:t>7</w:t>
        </w:r>
        <w:r>
          <w:rPr>
            <w:noProof/>
            <w:webHidden/>
          </w:rPr>
          <w:fldChar w:fldCharType="end"/>
        </w:r>
      </w:hyperlink>
    </w:p>
    <w:p w:rsidR="00F2218F" w:rsidRPr="00F2218F" w:rsidRDefault="00F2218F" w:rsidP="00F2218F">
      <w:pPr>
        <w:rPr>
          <w:rFonts w:eastAsiaTheme="minorEastAsia"/>
          <w:noProof/>
        </w:rPr>
      </w:pPr>
    </w:p>
    <w:p w:rsidR="008D0022" w:rsidRDefault="008D0022">
      <w:pPr>
        <w:pStyle w:val="TOC1"/>
        <w:rPr>
          <w:rFonts w:asciiTheme="minorHAnsi" w:eastAsiaTheme="minorEastAsia" w:hAnsiTheme="minorHAnsi" w:cstheme="minorBidi"/>
          <w:noProof/>
          <w:color w:val="auto"/>
          <w:sz w:val="22"/>
          <w:szCs w:val="22"/>
        </w:rPr>
      </w:pPr>
      <w:hyperlink w:anchor="_Toc435802062" w:history="1">
        <w:r w:rsidRPr="001D4C35">
          <w:rPr>
            <w:rStyle w:val="Hyperlink"/>
            <w:noProof/>
          </w:rPr>
          <w:t>3. Competences of young adults in Europe</w:t>
        </w:r>
        <w:r>
          <w:rPr>
            <w:noProof/>
            <w:webHidden/>
          </w:rPr>
          <w:tab/>
        </w:r>
        <w:r>
          <w:rPr>
            <w:noProof/>
            <w:webHidden/>
          </w:rPr>
          <w:fldChar w:fldCharType="begin"/>
        </w:r>
        <w:r>
          <w:rPr>
            <w:noProof/>
            <w:webHidden/>
          </w:rPr>
          <w:instrText xml:space="preserve"> PAGEREF _Toc435802062 \h </w:instrText>
        </w:r>
        <w:r>
          <w:rPr>
            <w:noProof/>
            <w:webHidden/>
          </w:rPr>
        </w:r>
        <w:r>
          <w:rPr>
            <w:noProof/>
            <w:webHidden/>
          </w:rPr>
          <w:fldChar w:fldCharType="separate"/>
        </w:r>
        <w:r w:rsidR="00337243">
          <w:rPr>
            <w:noProof/>
            <w:webHidden/>
          </w:rPr>
          <w:t>10</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63" w:history="1">
        <w:r w:rsidRPr="001D4C35">
          <w:rPr>
            <w:rStyle w:val="Hyperlink"/>
            <w:noProof/>
          </w:rPr>
          <w:t>3.1 Focus on young people – definition of the sample</w:t>
        </w:r>
        <w:r>
          <w:rPr>
            <w:noProof/>
            <w:webHidden/>
          </w:rPr>
          <w:tab/>
        </w:r>
        <w:r>
          <w:rPr>
            <w:noProof/>
            <w:webHidden/>
          </w:rPr>
          <w:fldChar w:fldCharType="begin"/>
        </w:r>
        <w:r>
          <w:rPr>
            <w:noProof/>
            <w:webHidden/>
          </w:rPr>
          <w:instrText xml:space="preserve"> PAGEREF _Toc435802063 \h </w:instrText>
        </w:r>
        <w:r>
          <w:rPr>
            <w:noProof/>
            <w:webHidden/>
          </w:rPr>
        </w:r>
        <w:r>
          <w:rPr>
            <w:noProof/>
            <w:webHidden/>
          </w:rPr>
          <w:fldChar w:fldCharType="separate"/>
        </w:r>
        <w:r w:rsidR="00337243">
          <w:rPr>
            <w:noProof/>
            <w:webHidden/>
          </w:rPr>
          <w:t>11</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64" w:history="1">
        <w:r w:rsidRPr="001D4C35">
          <w:rPr>
            <w:rStyle w:val="Hyperlink"/>
            <w:noProof/>
          </w:rPr>
          <w:t>3.2 Distribution of proficiency levels across and within Member States</w:t>
        </w:r>
        <w:r>
          <w:rPr>
            <w:noProof/>
            <w:webHidden/>
          </w:rPr>
          <w:tab/>
        </w:r>
        <w:r>
          <w:rPr>
            <w:noProof/>
            <w:webHidden/>
          </w:rPr>
          <w:fldChar w:fldCharType="begin"/>
        </w:r>
        <w:r>
          <w:rPr>
            <w:noProof/>
            <w:webHidden/>
          </w:rPr>
          <w:instrText xml:space="preserve"> PAGEREF _Toc435802064 \h </w:instrText>
        </w:r>
        <w:r>
          <w:rPr>
            <w:noProof/>
            <w:webHidden/>
          </w:rPr>
        </w:r>
        <w:r>
          <w:rPr>
            <w:noProof/>
            <w:webHidden/>
          </w:rPr>
          <w:fldChar w:fldCharType="separate"/>
        </w:r>
        <w:r w:rsidR="00337243">
          <w:rPr>
            <w:noProof/>
            <w:webHidden/>
          </w:rPr>
          <w:t>12</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67" w:history="1">
        <w:r>
          <w:rPr>
            <w:rStyle w:val="Hyperlink"/>
            <w:noProof/>
          </w:rPr>
          <w:t>3.3</w:t>
        </w:r>
        <w:r w:rsidRPr="001D4C35">
          <w:rPr>
            <w:rStyle w:val="Hyperlink"/>
            <w:noProof/>
          </w:rPr>
          <w:t xml:space="preserve"> Average competences and their distribution across Member States</w:t>
        </w:r>
        <w:r>
          <w:rPr>
            <w:noProof/>
            <w:webHidden/>
          </w:rPr>
          <w:tab/>
        </w:r>
        <w:r>
          <w:rPr>
            <w:noProof/>
            <w:webHidden/>
          </w:rPr>
          <w:fldChar w:fldCharType="begin"/>
        </w:r>
        <w:r>
          <w:rPr>
            <w:noProof/>
            <w:webHidden/>
          </w:rPr>
          <w:instrText xml:space="preserve"> PAGEREF _Toc435802067 \h </w:instrText>
        </w:r>
        <w:r>
          <w:rPr>
            <w:noProof/>
            <w:webHidden/>
          </w:rPr>
        </w:r>
        <w:r>
          <w:rPr>
            <w:noProof/>
            <w:webHidden/>
          </w:rPr>
          <w:fldChar w:fldCharType="separate"/>
        </w:r>
        <w:r w:rsidR="00337243">
          <w:rPr>
            <w:noProof/>
            <w:webHidden/>
          </w:rPr>
          <w:t>16</w:t>
        </w:r>
        <w:r>
          <w:rPr>
            <w:noProof/>
            <w:webHidden/>
          </w:rPr>
          <w:fldChar w:fldCharType="end"/>
        </w:r>
      </w:hyperlink>
    </w:p>
    <w:p w:rsidR="008D0022" w:rsidRDefault="008D0022">
      <w:pPr>
        <w:pStyle w:val="TOC2"/>
        <w:rPr>
          <w:rStyle w:val="Hyperlink"/>
          <w:noProof/>
        </w:rPr>
      </w:pPr>
      <w:hyperlink w:anchor="_Toc435802072" w:history="1">
        <w:r>
          <w:rPr>
            <w:rStyle w:val="Hyperlink"/>
            <w:noProof/>
          </w:rPr>
          <w:t>3.4</w:t>
        </w:r>
        <w:r w:rsidRPr="001D4C35">
          <w:rPr>
            <w:rStyle w:val="Hyperlink"/>
            <w:noProof/>
          </w:rPr>
          <w:t xml:space="preserve"> Patterns and groups of countries</w:t>
        </w:r>
        <w:r>
          <w:rPr>
            <w:noProof/>
            <w:webHidden/>
          </w:rPr>
          <w:tab/>
        </w:r>
        <w:r>
          <w:rPr>
            <w:noProof/>
            <w:webHidden/>
          </w:rPr>
          <w:fldChar w:fldCharType="begin"/>
        </w:r>
        <w:r>
          <w:rPr>
            <w:noProof/>
            <w:webHidden/>
          </w:rPr>
          <w:instrText xml:space="preserve"> PAGEREF _Toc435802072 \h </w:instrText>
        </w:r>
        <w:r>
          <w:rPr>
            <w:noProof/>
            <w:webHidden/>
          </w:rPr>
        </w:r>
        <w:r>
          <w:rPr>
            <w:noProof/>
            <w:webHidden/>
          </w:rPr>
          <w:fldChar w:fldCharType="separate"/>
        </w:r>
        <w:r w:rsidR="00337243">
          <w:rPr>
            <w:noProof/>
            <w:webHidden/>
          </w:rPr>
          <w:t>23</w:t>
        </w:r>
        <w:r>
          <w:rPr>
            <w:noProof/>
            <w:webHidden/>
          </w:rPr>
          <w:fldChar w:fldCharType="end"/>
        </w:r>
      </w:hyperlink>
    </w:p>
    <w:p w:rsidR="00F2218F" w:rsidRPr="00F2218F" w:rsidRDefault="00F2218F" w:rsidP="00F2218F">
      <w:pPr>
        <w:rPr>
          <w:rFonts w:eastAsiaTheme="minorEastAsia"/>
          <w:noProof/>
        </w:rPr>
      </w:pPr>
    </w:p>
    <w:p w:rsidR="008D0022" w:rsidRDefault="008D0022">
      <w:pPr>
        <w:pStyle w:val="TOC1"/>
        <w:rPr>
          <w:rFonts w:asciiTheme="minorHAnsi" w:eastAsiaTheme="minorEastAsia" w:hAnsiTheme="minorHAnsi" w:cstheme="minorBidi"/>
          <w:noProof/>
          <w:color w:val="auto"/>
          <w:sz w:val="22"/>
          <w:szCs w:val="22"/>
        </w:rPr>
      </w:pPr>
      <w:hyperlink w:anchor="_Toc435802073" w:history="1">
        <w:r w:rsidRPr="001D4C35">
          <w:rPr>
            <w:rStyle w:val="Hyperlink"/>
            <w:noProof/>
          </w:rPr>
          <w:t>4. Trends in educational attainment in Europe</w:t>
        </w:r>
        <w:r>
          <w:rPr>
            <w:noProof/>
            <w:webHidden/>
          </w:rPr>
          <w:tab/>
        </w:r>
        <w:r>
          <w:rPr>
            <w:noProof/>
            <w:webHidden/>
          </w:rPr>
          <w:fldChar w:fldCharType="begin"/>
        </w:r>
        <w:r>
          <w:rPr>
            <w:noProof/>
            <w:webHidden/>
          </w:rPr>
          <w:instrText xml:space="preserve"> PAGEREF _Toc435802073 \h </w:instrText>
        </w:r>
        <w:r>
          <w:rPr>
            <w:noProof/>
            <w:webHidden/>
          </w:rPr>
        </w:r>
        <w:r>
          <w:rPr>
            <w:noProof/>
            <w:webHidden/>
          </w:rPr>
          <w:fldChar w:fldCharType="separate"/>
        </w:r>
        <w:r w:rsidR="00337243">
          <w:rPr>
            <w:noProof/>
            <w:webHidden/>
          </w:rPr>
          <w:t>27</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74" w:history="1">
        <w:r w:rsidRPr="001D4C35">
          <w:rPr>
            <w:rStyle w:val="Hyperlink"/>
            <w:noProof/>
          </w:rPr>
          <w:t>4.1 Educational expansion at EU-28 level</w:t>
        </w:r>
        <w:r>
          <w:rPr>
            <w:noProof/>
            <w:webHidden/>
          </w:rPr>
          <w:tab/>
        </w:r>
        <w:r>
          <w:rPr>
            <w:noProof/>
            <w:webHidden/>
          </w:rPr>
          <w:fldChar w:fldCharType="begin"/>
        </w:r>
        <w:r>
          <w:rPr>
            <w:noProof/>
            <w:webHidden/>
          </w:rPr>
          <w:instrText xml:space="preserve"> PAGEREF _Toc435802074 \h </w:instrText>
        </w:r>
        <w:r>
          <w:rPr>
            <w:noProof/>
            <w:webHidden/>
          </w:rPr>
        </w:r>
        <w:r>
          <w:rPr>
            <w:noProof/>
            <w:webHidden/>
          </w:rPr>
          <w:fldChar w:fldCharType="separate"/>
        </w:r>
        <w:r w:rsidR="00337243">
          <w:rPr>
            <w:noProof/>
            <w:webHidden/>
          </w:rPr>
          <w:t>28</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75" w:history="1">
        <w:r w:rsidRPr="001D4C35">
          <w:rPr>
            <w:rStyle w:val="Hyperlink"/>
            <w:noProof/>
          </w:rPr>
          <w:t>4.2 Educational expansion at Member State level</w:t>
        </w:r>
        <w:r>
          <w:rPr>
            <w:noProof/>
            <w:webHidden/>
          </w:rPr>
          <w:tab/>
        </w:r>
        <w:r>
          <w:rPr>
            <w:noProof/>
            <w:webHidden/>
          </w:rPr>
          <w:fldChar w:fldCharType="begin"/>
        </w:r>
        <w:r>
          <w:rPr>
            <w:noProof/>
            <w:webHidden/>
          </w:rPr>
          <w:instrText xml:space="preserve"> PAGEREF _Toc435802075 \h </w:instrText>
        </w:r>
        <w:r>
          <w:rPr>
            <w:noProof/>
            <w:webHidden/>
          </w:rPr>
        </w:r>
        <w:r>
          <w:rPr>
            <w:noProof/>
            <w:webHidden/>
          </w:rPr>
          <w:fldChar w:fldCharType="separate"/>
        </w:r>
        <w:r w:rsidR="00337243">
          <w:rPr>
            <w:noProof/>
            <w:webHidden/>
          </w:rPr>
          <w:t>30</w:t>
        </w:r>
        <w:r>
          <w:rPr>
            <w:noProof/>
            <w:webHidden/>
          </w:rPr>
          <w:fldChar w:fldCharType="end"/>
        </w:r>
      </w:hyperlink>
    </w:p>
    <w:p w:rsidR="008D0022" w:rsidRDefault="008D0022">
      <w:pPr>
        <w:pStyle w:val="TOC2"/>
        <w:rPr>
          <w:rStyle w:val="Hyperlink"/>
          <w:noProof/>
        </w:rPr>
      </w:pPr>
      <w:hyperlink w:anchor="_Toc435802078" w:history="1">
        <w:r w:rsidRPr="001D4C35">
          <w:rPr>
            <w:rStyle w:val="Hyperlink"/>
            <w:noProof/>
          </w:rPr>
          <w:t>4.3 Expanding competences alongside educational attainment?</w:t>
        </w:r>
        <w:r>
          <w:rPr>
            <w:noProof/>
            <w:webHidden/>
          </w:rPr>
          <w:tab/>
        </w:r>
        <w:r>
          <w:rPr>
            <w:noProof/>
            <w:webHidden/>
          </w:rPr>
          <w:fldChar w:fldCharType="begin"/>
        </w:r>
        <w:r>
          <w:rPr>
            <w:noProof/>
            <w:webHidden/>
          </w:rPr>
          <w:instrText xml:space="preserve"> PAGEREF _Toc435802078 \h </w:instrText>
        </w:r>
        <w:r>
          <w:rPr>
            <w:noProof/>
            <w:webHidden/>
          </w:rPr>
        </w:r>
        <w:r>
          <w:rPr>
            <w:noProof/>
            <w:webHidden/>
          </w:rPr>
          <w:fldChar w:fldCharType="separate"/>
        </w:r>
        <w:r w:rsidR="00337243">
          <w:rPr>
            <w:noProof/>
            <w:webHidden/>
          </w:rPr>
          <w:t>34</w:t>
        </w:r>
        <w:r>
          <w:rPr>
            <w:noProof/>
            <w:webHidden/>
          </w:rPr>
          <w:fldChar w:fldCharType="end"/>
        </w:r>
      </w:hyperlink>
    </w:p>
    <w:p w:rsidR="00F2218F" w:rsidRPr="00F2218F" w:rsidRDefault="00F2218F" w:rsidP="00F2218F">
      <w:pPr>
        <w:rPr>
          <w:rFonts w:eastAsiaTheme="minorEastAsia"/>
          <w:noProof/>
        </w:rPr>
      </w:pPr>
    </w:p>
    <w:p w:rsidR="008D0022" w:rsidRDefault="008D0022">
      <w:pPr>
        <w:pStyle w:val="TOC1"/>
        <w:rPr>
          <w:rFonts w:asciiTheme="minorHAnsi" w:eastAsiaTheme="minorEastAsia" w:hAnsiTheme="minorHAnsi" w:cstheme="minorBidi"/>
          <w:noProof/>
          <w:color w:val="auto"/>
          <w:sz w:val="22"/>
          <w:szCs w:val="22"/>
        </w:rPr>
      </w:pPr>
      <w:hyperlink w:anchor="_Toc435802086" w:history="1">
        <w:r w:rsidRPr="001D4C35">
          <w:rPr>
            <w:rStyle w:val="Hyperlink"/>
            <w:noProof/>
          </w:rPr>
          <w:t>5. Linking educational attainment and basic competences</w:t>
        </w:r>
        <w:r>
          <w:rPr>
            <w:noProof/>
            <w:webHidden/>
          </w:rPr>
          <w:tab/>
        </w:r>
        <w:r>
          <w:rPr>
            <w:noProof/>
            <w:webHidden/>
          </w:rPr>
          <w:fldChar w:fldCharType="begin"/>
        </w:r>
        <w:r>
          <w:rPr>
            <w:noProof/>
            <w:webHidden/>
          </w:rPr>
          <w:instrText xml:space="preserve"> PAGEREF _Toc435802086 \h </w:instrText>
        </w:r>
        <w:r>
          <w:rPr>
            <w:noProof/>
            <w:webHidden/>
          </w:rPr>
        </w:r>
        <w:r>
          <w:rPr>
            <w:noProof/>
            <w:webHidden/>
          </w:rPr>
          <w:fldChar w:fldCharType="separate"/>
        </w:r>
        <w:r w:rsidR="00337243">
          <w:rPr>
            <w:noProof/>
            <w:webHidden/>
          </w:rPr>
          <w:t>41</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87" w:history="1">
        <w:r w:rsidRPr="001D4C35">
          <w:rPr>
            <w:rStyle w:val="Hyperlink"/>
            <w:noProof/>
          </w:rPr>
          <w:t>5.1 Brief overview of the literature</w:t>
        </w:r>
        <w:r>
          <w:rPr>
            <w:noProof/>
            <w:webHidden/>
          </w:rPr>
          <w:tab/>
        </w:r>
        <w:r>
          <w:rPr>
            <w:noProof/>
            <w:webHidden/>
          </w:rPr>
          <w:fldChar w:fldCharType="begin"/>
        </w:r>
        <w:r>
          <w:rPr>
            <w:noProof/>
            <w:webHidden/>
          </w:rPr>
          <w:instrText xml:space="preserve"> PAGEREF _Toc435802087 \h </w:instrText>
        </w:r>
        <w:r>
          <w:rPr>
            <w:noProof/>
            <w:webHidden/>
          </w:rPr>
        </w:r>
        <w:r>
          <w:rPr>
            <w:noProof/>
            <w:webHidden/>
          </w:rPr>
          <w:fldChar w:fldCharType="separate"/>
        </w:r>
        <w:r w:rsidR="00337243">
          <w:rPr>
            <w:noProof/>
            <w:webHidden/>
          </w:rPr>
          <w:t>43</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88" w:history="1">
        <w:r w:rsidRPr="001D4C35">
          <w:rPr>
            <w:rStyle w:val="Hyperlink"/>
            <w:noProof/>
          </w:rPr>
          <w:t>5.2 Average numeracy and literacy competence by educational attainment</w:t>
        </w:r>
        <w:r>
          <w:rPr>
            <w:noProof/>
            <w:webHidden/>
          </w:rPr>
          <w:tab/>
        </w:r>
        <w:r>
          <w:rPr>
            <w:noProof/>
            <w:webHidden/>
          </w:rPr>
          <w:fldChar w:fldCharType="begin"/>
        </w:r>
        <w:r>
          <w:rPr>
            <w:noProof/>
            <w:webHidden/>
          </w:rPr>
          <w:instrText xml:space="preserve"> PAGEREF _Toc435802088 \h </w:instrText>
        </w:r>
        <w:r>
          <w:rPr>
            <w:noProof/>
            <w:webHidden/>
          </w:rPr>
        </w:r>
        <w:r>
          <w:rPr>
            <w:noProof/>
            <w:webHidden/>
          </w:rPr>
          <w:fldChar w:fldCharType="separate"/>
        </w:r>
        <w:r w:rsidR="00337243">
          <w:rPr>
            <w:noProof/>
            <w:webHidden/>
          </w:rPr>
          <w:t>45</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089" w:history="1">
        <w:r w:rsidRPr="001D4C35">
          <w:rPr>
            <w:rStyle w:val="Hyperlink"/>
            <w:noProof/>
          </w:rPr>
          <w:t>5.3 Competence differences between qualification levels across the EU-28</w:t>
        </w:r>
        <w:r>
          <w:rPr>
            <w:noProof/>
            <w:webHidden/>
          </w:rPr>
          <w:tab/>
        </w:r>
        <w:r>
          <w:rPr>
            <w:noProof/>
            <w:webHidden/>
          </w:rPr>
          <w:fldChar w:fldCharType="begin"/>
        </w:r>
        <w:r>
          <w:rPr>
            <w:noProof/>
            <w:webHidden/>
          </w:rPr>
          <w:instrText xml:space="preserve"> PAGEREF _Toc435802089 \h </w:instrText>
        </w:r>
        <w:r>
          <w:rPr>
            <w:noProof/>
            <w:webHidden/>
          </w:rPr>
        </w:r>
        <w:r>
          <w:rPr>
            <w:noProof/>
            <w:webHidden/>
          </w:rPr>
          <w:fldChar w:fldCharType="separate"/>
        </w:r>
        <w:r w:rsidR="00337243">
          <w:rPr>
            <w:noProof/>
            <w:webHidden/>
          </w:rPr>
          <w:t>49</w:t>
        </w:r>
        <w:r>
          <w:rPr>
            <w:noProof/>
            <w:webHidden/>
          </w:rPr>
          <w:fldChar w:fldCharType="end"/>
        </w:r>
      </w:hyperlink>
    </w:p>
    <w:p w:rsidR="008D0022" w:rsidRDefault="008D0022">
      <w:pPr>
        <w:pStyle w:val="TOC2"/>
        <w:rPr>
          <w:rStyle w:val="Hyperlink"/>
          <w:noProof/>
        </w:rPr>
      </w:pPr>
      <w:hyperlink w:anchor="_Toc435802096" w:history="1">
        <w:r w:rsidRPr="001D4C35">
          <w:rPr>
            <w:rStyle w:val="Hyperlink"/>
            <w:noProof/>
          </w:rPr>
          <w:t>5.4 Cross-country variation of the competence differences</w:t>
        </w:r>
        <w:r>
          <w:rPr>
            <w:noProof/>
            <w:webHidden/>
          </w:rPr>
          <w:tab/>
        </w:r>
        <w:r>
          <w:rPr>
            <w:noProof/>
            <w:webHidden/>
          </w:rPr>
          <w:fldChar w:fldCharType="begin"/>
        </w:r>
        <w:r>
          <w:rPr>
            <w:noProof/>
            <w:webHidden/>
          </w:rPr>
          <w:instrText xml:space="preserve"> PAGEREF _Toc435802096 \h </w:instrText>
        </w:r>
        <w:r>
          <w:rPr>
            <w:noProof/>
            <w:webHidden/>
          </w:rPr>
        </w:r>
        <w:r>
          <w:rPr>
            <w:noProof/>
            <w:webHidden/>
          </w:rPr>
          <w:fldChar w:fldCharType="separate"/>
        </w:r>
        <w:r w:rsidR="00337243">
          <w:rPr>
            <w:noProof/>
            <w:webHidden/>
          </w:rPr>
          <w:t>59</w:t>
        </w:r>
        <w:r>
          <w:rPr>
            <w:noProof/>
            <w:webHidden/>
          </w:rPr>
          <w:fldChar w:fldCharType="end"/>
        </w:r>
      </w:hyperlink>
    </w:p>
    <w:p w:rsidR="00F2218F" w:rsidRPr="00F2218F" w:rsidRDefault="00F2218F" w:rsidP="00F2218F">
      <w:pPr>
        <w:rPr>
          <w:rFonts w:eastAsiaTheme="minorEastAsia"/>
          <w:noProof/>
        </w:rPr>
      </w:pPr>
    </w:p>
    <w:p w:rsidR="008D0022" w:rsidRDefault="008D0022">
      <w:pPr>
        <w:pStyle w:val="TOC1"/>
        <w:rPr>
          <w:rFonts w:asciiTheme="minorHAnsi" w:eastAsiaTheme="minorEastAsia" w:hAnsiTheme="minorHAnsi" w:cstheme="minorBidi"/>
          <w:noProof/>
          <w:color w:val="auto"/>
          <w:sz w:val="22"/>
          <w:szCs w:val="22"/>
        </w:rPr>
      </w:pPr>
      <w:hyperlink w:anchor="_Toc435802100" w:history="1">
        <w:r w:rsidRPr="001D4C35">
          <w:rPr>
            <w:rStyle w:val="Hyperlink"/>
            <w:noProof/>
          </w:rPr>
          <w:t>6. Effects of different education systems and feature</w:t>
        </w:r>
        <w:r w:rsidR="00F91CA1">
          <w:rPr>
            <w:rStyle w:val="Hyperlink"/>
            <w:noProof/>
          </w:rPr>
          <w:t>s on competences</w:t>
        </w:r>
        <w:r>
          <w:rPr>
            <w:noProof/>
            <w:webHidden/>
          </w:rPr>
          <w:tab/>
        </w:r>
        <w:r>
          <w:rPr>
            <w:noProof/>
            <w:webHidden/>
          </w:rPr>
          <w:fldChar w:fldCharType="begin"/>
        </w:r>
        <w:r>
          <w:rPr>
            <w:noProof/>
            <w:webHidden/>
          </w:rPr>
          <w:instrText xml:space="preserve"> PAGEREF _Toc435802100 \h </w:instrText>
        </w:r>
        <w:r>
          <w:rPr>
            <w:noProof/>
            <w:webHidden/>
          </w:rPr>
        </w:r>
        <w:r>
          <w:rPr>
            <w:noProof/>
            <w:webHidden/>
          </w:rPr>
          <w:fldChar w:fldCharType="separate"/>
        </w:r>
        <w:r w:rsidR="00337243">
          <w:rPr>
            <w:noProof/>
            <w:webHidden/>
          </w:rPr>
          <w:t>69</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101" w:history="1">
        <w:r w:rsidRPr="001D4C35">
          <w:rPr>
            <w:rStyle w:val="Hyperlink"/>
            <w:noProof/>
          </w:rPr>
          <w:t>6.1 Methodology</w:t>
        </w:r>
        <w:r>
          <w:rPr>
            <w:noProof/>
            <w:webHidden/>
          </w:rPr>
          <w:tab/>
        </w:r>
        <w:r>
          <w:rPr>
            <w:noProof/>
            <w:webHidden/>
          </w:rPr>
          <w:fldChar w:fldCharType="begin"/>
        </w:r>
        <w:r>
          <w:rPr>
            <w:noProof/>
            <w:webHidden/>
          </w:rPr>
          <w:instrText xml:space="preserve"> PAGEREF _Toc435802101 \h </w:instrText>
        </w:r>
        <w:r>
          <w:rPr>
            <w:noProof/>
            <w:webHidden/>
          </w:rPr>
        </w:r>
        <w:r>
          <w:rPr>
            <w:noProof/>
            <w:webHidden/>
          </w:rPr>
          <w:fldChar w:fldCharType="separate"/>
        </w:r>
        <w:r w:rsidR="00337243">
          <w:rPr>
            <w:noProof/>
            <w:webHidden/>
          </w:rPr>
          <w:t>70</w:t>
        </w:r>
        <w:r>
          <w:rPr>
            <w:noProof/>
            <w:webHidden/>
          </w:rPr>
          <w:fldChar w:fldCharType="end"/>
        </w:r>
      </w:hyperlink>
    </w:p>
    <w:p w:rsidR="008D0022" w:rsidRDefault="008D0022">
      <w:pPr>
        <w:pStyle w:val="TOC2"/>
        <w:rPr>
          <w:rFonts w:asciiTheme="minorHAnsi" w:eastAsiaTheme="minorEastAsia" w:hAnsiTheme="minorHAnsi" w:cstheme="minorBidi"/>
          <w:noProof/>
          <w:color w:val="auto"/>
          <w:sz w:val="22"/>
          <w:szCs w:val="22"/>
        </w:rPr>
      </w:pPr>
      <w:hyperlink w:anchor="_Toc435802105" w:history="1">
        <w:r w:rsidRPr="001D4C35">
          <w:rPr>
            <w:rStyle w:val="Hyperlink"/>
            <w:noProof/>
          </w:rPr>
          <w:t>6.2 Brief overview of the literature</w:t>
        </w:r>
        <w:r>
          <w:rPr>
            <w:noProof/>
            <w:webHidden/>
          </w:rPr>
          <w:tab/>
        </w:r>
        <w:r>
          <w:rPr>
            <w:noProof/>
            <w:webHidden/>
          </w:rPr>
          <w:fldChar w:fldCharType="begin"/>
        </w:r>
        <w:r>
          <w:rPr>
            <w:noProof/>
            <w:webHidden/>
          </w:rPr>
          <w:instrText xml:space="preserve"> PAGEREF _Toc435802105 \h </w:instrText>
        </w:r>
        <w:r>
          <w:rPr>
            <w:noProof/>
            <w:webHidden/>
          </w:rPr>
        </w:r>
        <w:r>
          <w:rPr>
            <w:noProof/>
            <w:webHidden/>
          </w:rPr>
          <w:fldChar w:fldCharType="separate"/>
        </w:r>
        <w:r w:rsidR="00337243">
          <w:rPr>
            <w:noProof/>
            <w:webHidden/>
          </w:rPr>
          <w:t>75</w:t>
        </w:r>
        <w:r>
          <w:rPr>
            <w:noProof/>
            <w:webHidden/>
          </w:rPr>
          <w:fldChar w:fldCharType="end"/>
        </w:r>
      </w:hyperlink>
    </w:p>
    <w:p w:rsidR="008D0022" w:rsidRDefault="008D0022">
      <w:pPr>
        <w:pStyle w:val="TOC2"/>
        <w:rPr>
          <w:rStyle w:val="Hyperlink"/>
          <w:noProof/>
        </w:rPr>
      </w:pPr>
      <w:hyperlink w:anchor="_Toc435802108" w:history="1">
        <w:r w:rsidRPr="001D4C35">
          <w:rPr>
            <w:rStyle w:val="Hyperlink"/>
            <w:noProof/>
          </w:rPr>
          <w:t>6.3 Analysis and results</w:t>
        </w:r>
        <w:r>
          <w:rPr>
            <w:noProof/>
            <w:webHidden/>
          </w:rPr>
          <w:tab/>
        </w:r>
        <w:r>
          <w:rPr>
            <w:noProof/>
            <w:webHidden/>
          </w:rPr>
          <w:fldChar w:fldCharType="begin"/>
        </w:r>
        <w:r>
          <w:rPr>
            <w:noProof/>
            <w:webHidden/>
          </w:rPr>
          <w:instrText xml:space="preserve"> PAGEREF _Toc435802108 \h </w:instrText>
        </w:r>
        <w:r>
          <w:rPr>
            <w:noProof/>
            <w:webHidden/>
          </w:rPr>
        </w:r>
        <w:r>
          <w:rPr>
            <w:noProof/>
            <w:webHidden/>
          </w:rPr>
          <w:fldChar w:fldCharType="separate"/>
        </w:r>
        <w:r w:rsidR="00337243">
          <w:rPr>
            <w:noProof/>
            <w:webHidden/>
          </w:rPr>
          <w:t>81</w:t>
        </w:r>
        <w:r>
          <w:rPr>
            <w:noProof/>
            <w:webHidden/>
          </w:rPr>
          <w:fldChar w:fldCharType="end"/>
        </w:r>
      </w:hyperlink>
    </w:p>
    <w:p w:rsidR="00F2218F" w:rsidRPr="00F2218F" w:rsidRDefault="00F2218F" w:rsidP="00F2218F">
      <w:pPr>
        <w:rPr>
          <w:rFonts w:eastAsiaTheme="minorEastAsia"/>
          <w:noProof/>
        </w:rPr>
      </w:pPr>
    </w:p>
    <w:p w:rsidR="008D0022" w:rsidRDefault="008D0022">
      <w:pPr>
        <w:pStyle w:val="TOC1"/>
        <w:rPr>
          <w:rFonts w:asciiTheme="minorHAnsi" w:eastAsiaTheme="minorEastAsia" w:hAnsiTheme="minorHAnsi" w:cstheme="minorBidi"/>
          <w:noProof/>
          <w:color w:val="auto"/>
          <w:sz w:val="22"/>
          <w:szCs w:val="22"/>
        </w:rPr>
      </w:pPr>
      <w:hyperlink w:anchor="_Toc435802114" w:history="1">
        <w:r w:rsidRPr="001D4C35">
          <w:rPr>
            <w:rStyle w:val="Hyperlink"/>
            <w:noProof/>
            <w:lang w:val="en-US"/>
          </w:rPr>
          <w:t>7. Concluding discussion and recommendations</w:t>
        </w:r>
        <w:r>
          <w:rPr>
            <w:noProof/>
            <w:webHidden/>
          </w:rPr>
          <w:tab/>
        </w:r>
        <w:r>
          <w:rPr>
            <w:noProof/>
            <w:webHidden/>
          </w:rPr>
          <w:fldChar w:fldCharType="begin"/>
        </w:r>
        <w:r>
          <w:rPr>
            <w:noProof/>
            <w:webHidden/>
          </w:rPr>
          <w:instrText xml:space="preserve"> PAGEREF _Toc435802114 \h </w:instrText>
        </w:r>
        <w:r>
          <w:rPr>
            <w:noProof/>
            <w:webHidden/>
          </w:rPr>
        </w:r>
        <w:r>
          <w:rPr>
            <w:noProof/>
            <w:webHidden/>
          </w:rPr>
          <w:fldChar w:fldCharType="separate"/>
        </w:r>
        <w:r w:rsidR="00337243">
          <w:rPr>
            <w:noProof/>
            <w:webHidden/>
          </w:rPr>
          <w:t>96</w:t>
        </w:r>
        <w:r>
          <w:rPr>
            <w:noProof/>
            <w:webHidden/>
          </w:rPr>
          <w:fldChar w:fldCharType="end"/>
        </w:r>
      </w:hyperlink>
    </w:p>
    <w:p w:rsidR="00682023" w:rsidRDefault="00D2200F" w:rsidP="000E4E30">
      <w:pPr>
        <w:spacing w:after="120" w:line="288" w:lineRule="auto"/>
        <w:rPr>
          <w:sz w:val="22"/>
          <w:szCs w:val="22"/>
        </w:rPr>
      </w:pPr>
      <w:r w:rsidRPr="003A6B85">
        <w:rPr>
          <w:sz w:val="22"/>
          <w:szCs w:val="22"/>
        </w:rPr>
        <w:fldChar w:fldCharType="end"/>
      </w:r>
    </w:p>
    <w:p w:rsidR="008D0022" w:rsidRDefault="00F2218F" w:rsidP="00F2218F">
      <w:pPr>
        <w:jc w:val="left"/>
        <w:rPr>
          <w:szCs w:val="20"/>
        </w:rPr>
      </w:pPr>
      <w:r w:rsidRPr="00F2218F">
        <w:rPr>
          <w:szCs w:val="20"/>
        </w:rPr>
        <w:t>Annexes</w:t>
      </w:r>
      <w:r>
        <w:rPr>
          <w:szCs w:val="20"/>
        </w:rPr>
        <w:t>:</w:t>
      </w:r>
    </w:p>
    <w:p w:rsidR="00F2218F" w:rsidRDefault="00F2218F" w:rsidP="00F2218F">
      <w:pPr>
        <w:jc w:val="left"/>
        <w:rPr>
          <w:szCs w:val="20"/>
        </w:rPr>
      </w:pPr>
    </w:p>
    <w:p w:rsidR="00F2218F" w:rsidRDefault="00F2218F" w:rsidP="00F2218F">
      <w:pPr>
        <w:jc w:val="left"/>
        <w:rPr>
          <w:szCs w:val="20"/>
        </w:rPr>
      </w:pPr>
      <w:r>
        <w:rPr>
          <w:szCs w:val="20"/>
        </w:rPr>
        <w:t xml:space="preserve">Annex I – Bibliography </w:t>
      </w:r>
      <w:r>
        <w:rPr>
          <w:szCs w:val="20"/>
        </w:rPr>
        <w:tab/>
      </w:r>
      <w:r>
        <w:rPr>
          <w:szCs w:val="20"/>
        </w:rPr>
        <w:tab/>
      </w:r>
      <w:r>
        <w:rPr>
          <w:szCs w:val="20"/>
        </w:rPr>
        <w:tab/>
      </w:r>
      <w:r>
        <w:rPr>
          <w:szCs w:val="20"/>
        </w:rPr>
        <w:tab/>
      </w:r>
      <w:r>
        <w:rPr>
          <w:szCs w:val="20"/>
        </w:rPr>
        <w:tab/>
      </w:r>
      <w:r>
        <w:rPr>
          <w:szCs w:val="20"/>
        </w:rPr>
        <w:tab/>
      </w:r>
      <w:r>
        <w:rPr>
          <w:szCs w:val="20"/>
        </w:rPr>
        <w:tab/>
      </w:r>
      <w:r>
        <w:rPr>
          <w:szCs w:val="20"/>
        </w:rPr>
        <w:tab/>
        <w:t>A1</w:t>
      </w:r>
    </w:p>
    <w:p w:rsidR="00F2218F" w:rsidRDefault="00F2218F" w:rsidP="00F2218F">
      <w:pPr>
        <w:jc w:val="left"/>
        <w:rPr>
          <w:szCs w:val="20"/>
        </w:rPr>
      </w:pPr>
      <w:r>
        <w:rPr>
          <w:szCs w:val="20"/>
        </w:rPr>
        <w:t>Annex II – Study methodology</w:t>
      </w:r>
      <w:r>
        <w:rPr>
          <w:szCs w:val="20"/>
        </w:rPr>
        <w:tab/>
      </w:r>
      <w:r>
        <w:rPr>
          <w:szCs w:val="20"/>
        </w:rPr>
        <w:tab/>
      </w:r>
      <w:r>
        <w:rPr>
          <w:szCs w:val="20"/>
        </w:rPr>
        <w:tab/>
      </w:r>
      <w:r>
        <w:rPr>
          <w:szCs w:val="20"/>
        </w:rPr>
        <w:tab/>
      </w:r>
      <w:r>
        <w:rPr>
          <w:szCs w:val="20"/>
        </w:rPr>
        <w:tab/>
      </w:r>
      <w:r>
        <w:rPr>
          <w:szCs w:val="20"/>
        </w:rPr>
        <w:tab/>
      </w:r>
      <w:r>
        <w:rPr>
          <w:szCs w:val="20"/>
        </w:rPr>
        <w:tab/>
        <w:t>A12</w:t>
      </w:r>
    </w:p>
    <w:p w:rsidR="00F2218F" w:rsidRDefault="00F2218F" w:rsidP="00F2218F">
      <w:pPr>
        <w:jc w:val="left"/>
        <w:rPr>
          <w:szCs w:val="20"/>
        </w:rPr>
      </w:pPr>
      <w:r>
        <w:rPr>
          <w:szCs w:val="20"/>
        </w:rPr>
        <w:t>Annex III – Features of the PIAAC sample</w:t>
      </w:r>
      <w:r>
        <w:rPr>
          <w:szCs w:val="20"/>
        </w:rPr>
        <w:tab/>
      </w:r>
      <w:r>
        <w:rPr>
          <w:szCs w:val="20"/>
        </w:rPr>
        <w:tab/>
      </w:r>
      <w:r>
        <w:rPr>
          <w:szCs w:val="20"/>
        </w:rPr>
        <w:tab/>
      </w:r>
      <w:r>
        <w:rPr>
          <w:szCs w:val="20"/>
        </w:rPr>
        <w:tab/>
      </w:r>
      <w:r>
        <w:rPr>
          <w:szCs w:val="20"/>
        </w:rPr>
        <w:tab/>
      </w:r>
      <w:r>
        <w:rPr>
          <w:szCs w:val="20"/>
        </w:rPr>
        <w:tab/>
        <w:t>A22</w:t>
      </w:r>
    </w:p>
    <w:p w:rsidR="00F2218F" w:rsidRDefault="00F2218F" w:rsidP="00F2218F">
      <w:pPr>
        <w:jc w:val="left"/>
        <w:rPr>
          <w:szCs w:val="20"/>
        </w:rPr>
      </w:pPr>
      <w:r>
        <w:rPr>
          <w:szCs w:val="20"/>
        </w:rPr>
        <w:t>Annex IV – Additional Graphs Chapter Four</w:t>
      </w:r>
      <w:r>
        <w:rPr>
          <w:szCs w:val="20"/>
        </w:rPr>
        <w:tab/>
      </w:r>
      <w:r>
        <w:rPr>
          <w:szCs w:val="20"/>
        </w:rPr>
        <w:tab/>
      </w:r>
      <w:r>
        <w:rPr>
          <w:szCs w:val="20"/>
        </w:rPr>
        <w:tab/>
      </w:r>
      <w:r>
        <w:rPr>
          <w:szCs w:val="20"/>
        </w:rPr>
        <w:tab/>
      </w:r>
      <w:r>
        <w:rPr>
          <w:szCs w:val="20"/>
        </w:rPr>
        <w:tab/>
        <w:t>A23</w:t>
      </w:r>
    </w:p>
    <w:p w:rsidR="00F2218F" w:rsidRDefault="00F2218F" w:rsidP="00F2218F">
      <w:pPr>
        <w:jc w:val="left"/>
        <w:rPr>
          <w:szCs w:val="20"/>
        </w:rPr>
      </w:pPr>
      <w:r>
        <w:rPr>
          <w:szCs w:val="20"/>
        </w:rPr>
        <w:t xml:space="preserve">Annex V – Variables considered for the empirical model </w:t>
      </w:r>
      <w:r>
        <w:rPr>
          <w:szCs w:val="20"/>
        </w:rPr>
        <w:tab/>
      </w:r>
      <w:r>
        <w:rPr>
          <w:szCs w:val="20"/>
        </w:rPr>
        <w:tab/>
      </w:r>
      <w:r>
        <w:rPr>
          <w:szCs w:val="20"/>
        </w:rPr>
        <w:tab/>
      </w:r>
      <w:r>
        <w:rPr>
          <w:szCs w:val="20"/>
        </w:rPr>
        <w:tab/>
        <w:t>A37</w:t>
      </w:r>
    </w:p>
    <w:p w:rsidR="00F2218F" w:rsidRDefault="00F2218F" w:rsidP="00F2218F">
      <w:pPr>
        <w:jc w:val="left"/>
        <w:rPr>
          <w:szCs w:val="20"/>
        </w:rPr>
      </w:pPr>
      <w:r>
        <w:rPr>
          <w:szCs w:val="20"/>
        </w:rPr>
        <w:t>Annex VI – Additional tables Chapter Five</w:t>
      </w:r>
      <w:r>
        <w:rPr>
          <w:szCs w:val="20"/>
        </w:rPr>
        <w:tab/>
      </w:r>
      <w:r>
        <w:rPr>
          <w:szCs w:val="20"/>
        </w:rPr>
        <w:tab/>
      </w:r>
      <w:r>
        <w:rPr>
          <w:szCs w:val="20"/>
        </w:rPr>
        <w:tab/>
      </w:r>
      <w:r>
        <w:rPr>
          <w:szCs w:val="20"/>
        </w:rPr>
        <w:tab/>
      </w:r>
      <w:r>
        <w:rPr>
          <w:szCs w:val="20"/>
        </w:rPr>
        <w:tab/>
      </w:r>
      <w:r>
        <w:rPr>
          <w:szCs w:val="20"/>
        </w:rPr>
        <w:tab/>
        <w:t>A38</w:t>
      </w:r>
    </w:p>
    <w:p w:rsidR="00F2218F" w:rsidRDefault="00F2218F" w:rsidP="00F2218F">
      <w:pPr>
        <w:jc w:val="left"/>
        <w:rPr>
          <w:szCs w:val="20"/>
        </w:rPr>
      </w:pPr>
      <w:r>
        <w:rPr>
          <w:szCs w:val="20"/>
        </w:rPr>
        <w:t>Annex VII – Additional tables and information Chapter Six</w:t>
      </w:r>
      <w:r>
        <w:rPr>
          <w:szCs w:val="20"/>
        </w:rPr>
        <w:tab/>
      </w:r>
      <w:r>
        <w:rPr>
          <w:szCs w:val="20"/>
        </w:rPr>
        <w:tab/>
      </w:r>
      <w:r>
        <w:rPr>
          <w:szCs w:val="20"/>
        </w:rPr>
        <w:tab/>
        <w:t>A40</w:t>
      </w:r>
    </w:p>
    <w:p w:rsidR="00F2218F" w:rsidRPr="00F2218F" w:rsidRDefault="00F2218F" w:rsidP="00F2218F">
      <w:pPr>
        <w:spacing w:line="288" w:lineRule="auto"/>
        <w:jc w:val="left"/>
        <w:rPr>
          <w:szCs w:val="20"/>
        </w:rPr>
        <w:sectPr w:rsidR="00F2218F" w:rsidRPr="00F2218F" w:rsidSect="0048614B">
          <w:headerReference w:type="default" r:id="rId23"/>
          <w:pgSz w:w="11906" w:h="16838" w:code="9"/>
          <w:pgMar w:top="1985" w:right="1418" w:bottom="1418" w:left="1701" w:header="567" w:footer="567" w:gutter="0"/>
          <w:pgNumType w:chapStyle="1"/>
          <w:cols w:space="708"/>
          <w:docGrid w:linePitch="360"/>
        </w:sectPr>
      </w:pPr>
      <w:r>
        <w:rPr>
          <w:szCs w:val="20"/>
        </w:rPr>
        <w:tab/>
      </w:r>
      <w:r>
        <w:rPr>
          <w:szCs w:val="20"/>
        </w:rPr>
        <w:tab/>
      </w:r>
      <w:r>
        <w:rPr>
          <w:szCs w:val="20"/>
        </w:rPr>
        <w:tab/>
      </w:r>
      <w:r>
        <w:rPr>
          <w:szCs w:val="20"/>
        </w:rPr>
        <w:tab/>
      </w:r>
      <w:r>
        <w:rPr>
          <w:szCs w:val="20"/>
        </w:rPr>
        <w:tab/>
      </w:r>
    </w:p>
    <w:p w:rsidR="002E3E6D" w:rsidRPr="00426C18" w:rsidRDefault="002E3E6D" w:rsidP="00F2695A">
      <w:pPr>
        <w:pStyle w:val="Heading1"/>
        <w:spacing w:line="264" w:lineRule="auto"/>
      </w:pPr>
      <w:bookmarkStart w:id="4" w:name="_Toc435802048"/>
      <w:bookmarkStart w:id="5" w:name="_Toc432865467"/>
      <w:bookmarkStart w:id="6" w:name="_Toc488763239"/>
      <w:bookmarkStart w:id="7" w:name="_Toc488763536"/>
      <w:bookmarkStart w:id="8" w:name="_Toc263859406"/>
      <w:r>
        <w:t>List of abbreviations</w:t>
      </w:r>
      <w:bookmarkEnd w:id="4"/>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ALL:</w:t>
      </w:r>
      <w:r w:rsidRPr="002E3E6D">
        <w:rPr>
          <w:szCs w:val="20"/>
          <w:lang w:eastAsia="en-US"/>
        </w:rPr>
        <w:tab/>
        <w:t>Adult Literacy and Lifeskills Survey</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BTEC:</w:t>
      </w:r>
      <w:r w:rsidRPr="002E3E6D">
        <w:rPr>
          <w:szCs w:val="20"/>
          <w:lang w:eastAsia="en-US"/>
        </w:rPr>
        <w:tab/>
        <w:t>Business and Technology Education Council</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CEDEFOP:</w:t>
      </w:r>
      <w:r w:rsidRPr="002E3E6D">
        <w:rPr>
          <w:szCs w:val="20"/>
          <w:lang w:eastAsia="en-US"/>
        </w:rPr>
        <w:tab/>
        <w:t>European Centre for the Development of Vocational Training</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DID:</w:t>
      </w:r>
      <w:r w:rsidRPr="002E3E6D">
        <w:rPr>
          <w:szCs w:val="20"/>
          <w:lang w:eastAsia="en-US"/>
        </w:rPr>
        <w:tab/>
        <w:t>Difference-in-difference</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EC:</w:t>
      </w:r>
      <w:r w:rsidRPr="002E3E6D">
        <w:rPr>
          <w:szCs w:val="20"/>
          <w:lang w:eastAsia="en-US"/>
        </w:rPr>
        <w:tab/>
      </w:r>
      <w:r w:rsidRPr="002E3E6D">
        <w:rPr>
          <w:szCs w:val="20"/>
          <w:lang w:eastAsia="en-US"/>
        </w:rPr>
        <w:tab/>
        <w:t>European Commission</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EU:</w:t>
      </w:r>
      <w:r w:rsidRPr="002E3E6D">
        <w:rPr>
          <w:szCs w:val="20"/>
          <w:lang w:eastAsia="en-US"/>
        </w:rPr>
        <w:tab/>
        <w:t>European Union</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EULFS:</w:t>
      </w:r>
      <w:r w:rsidRPr="002E3E6D">
        <w:rPr>
          <w:szCs w:val="20"/>
          <w:lang w:eastAsia="en-US"/>
        </w:rPr>
        <w:tab/>
        <w:t>European Labour Force Survey</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FIMS:</w:t>
      </w:r>
      <w:r w:rsidRPr="002E3E6D">
        <w:rPr>
          <w:szCs w:val="20"/>
          <w:lang w:eastAsia="en-US"/>
        </w:rPr>
        <w:tab/>
        <w:t>First International Maths Study</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FISS:</w:t>
      </w:r>
      <w:r w:rsidRPr="002E3E6D">
        <w:rPr>
          <w:szCs w:val="20"/>
          <w:lang w:eastAsia="en-US"/>
        </w:rPr>
        <w:tab/>
        <w:t>First International Science Study</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GCSE:</w:t>
      </w:r>
      <w:r w:rsidRPr="002E3E6D">
        <w:rPr>
          <w:szCs w:val="20"/>
          <w:lang w:eastAsia="en-US"/>
        </w:rPr>
        <w:tab/>
      </w:r>
      <w:r w:rsidRPr="002E3E6D">
        <w:rPr>
          <w:lang w:val="en"/>
        </w:rPr>
        <w:t>General Certificate of Secondary Education</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GNVQ:</w:t>
      </w:r>
      <w:r w:rsidRPr="002E3E6D">
        <w:rPr>
          <w:szCs w:val="20"/>
          <w:lang w:eastAsia="en-US"/>
        </w:rPr>
        <w:tab/>
        <w:t>General National Vocational Qualification</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 xml:space="preserve">IALS: </w:t>
      </w:r>
      <w:r w:rsidRPr="002E3E6D">
        <w:rPr>
          <w:szCs w:val="20"/>
          <w:lang w:eastAsia="en-US"/>
        </w:rPr>
        <w:tab/>
        <w:t>International Adult Literacy Survey</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ICT:</w:t>
      </w:r>
      <w:r w:rsidRPr="002E3E6D">
        <w:rPr>
          <w:szCs w:val="20"/>
          <w:lang w:eastAsia="en-US"/>
        </w:rPr>
        <w:tab/>
        <w:t>Information and Communication Technologies</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ISCED:</w:t>
      </w:r>
      <w:r w:rsidRPr="002E3E6D">
        <w:rPr>
          <w:szCs w:val="20"/>
          <w:lang w:eastAsia="en-US"/>
        </w:rPr>
        <w:tab/>
        <w:t>International Standard Classification of Education</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MENESR:</w:t>
      </w:r>
      <w:r w:rsidRPr="002E3E6D">
        <w:rPr>
          <w:szCs w:val="20"/>
          <w:lang w:eastAsia="en-US"/>
        </w:rPr>
        <w:tab/>
        <w:t>Ministère de l'Education nationale, de l'Enseignement supérieur</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NVQ:</w:t>
      </w:r>
      <w:r w:rsidRPr="002E3E6D">
        <w:rPr>
          <w:szCs w:val="20"/>
          <w:lang w:eastAsia="en-US"/>
        </w:rPr>
        <w:tab/>
        <w:t>National Vocational Qualification</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 xml:space="preserve">OECD: </w:t>
      </w:r>
      <w:r w:rsidRPr="002E3E6D">
        <w:rPr>
          <w:szCs w:val="20"/>
          <w:lang w:eastAsia="en-US"/>
        </w:rPr>
        <w:tab/>
        <w:t>Organisation for Economic Cooperation and Development</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 xml:space="preserve">PIAAC: </w:t>
      </w:r>
      <w:r w:rsidRPr="002E3E6D">
        <w:rPr>
          <w:szCs w:val="20"/>
          <w:lang w:eastAsia="en-US"/>
        </w:rPr>
        <w:tab/>
        <w:t>Programme for the International Assessment of Adult Competencies</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PIRLS:</w:t>
      </w:r>
      <w:r w:rsidRPr="002E3E6D">
        <w:rPr>
          <w:szCs w:val="20"/>
          <w:lang w:eastAsia="en-US"/>
        </w:rPr>
        <w:tab/>
        <w:t>Progress in International Reading Literacy Study</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 xml:space="preserve">PISA: </w:t>
      </w:r>
      <w:r w:rsidRPr="002E3E6D">
        <w:rPr>
          <w:szCs w:val="20"/>
          <w:lang w:eastAsia="en-US"/>
        </w:rPr>
        <w:tab/>
        <w:t>Programme for International Student Assessment</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PUF:</w:t>
      </w:r>
      <w:r w:rsidRPr="002E3E6D">
        <w:rPr>
          <w:szCs w:val="20"/>
          <w:lang w:eastAsia="en-US"/>
        </w:rPr>
        <w:tab/>
        <w:t>Public Use Files</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SAS:</w:t>
      </w:r>
      <w:r w:rsidRPr="002E3E6D">
        <w:rPr>
          <w:szCs w:val="20"/>
          <w:lang w:eastAsia="en-US"/>
        </w:rPr>
        <w:tab/>
        <w:t>Survey of Adult Skills</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SIMS:</w:t>
      </w:r>
      <w:r w:rsidRPr="002E3E6D">
        <w:rPr>
          <w:szCs w:val="20"/>
          <w:lang w:eastAsia="en-US"/>
        </w:rPr>
        <w:tab/>
        <w:t>Second International Maths Study</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SISS:</w:t>
      </w:r>
      <w:r w:rsidRPr="002E3E6D">
        <w:rPr>
          <w:szCs w:val="20"/>
          <w:lang w:eastAsia="en-US"/>
        </w:rPr>
        <w:tab/>
        <w:t>Second International Science Study</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TIMMS:</w:t>
      </w:r>
      <w:r w:rsidRPr="002E3E6D">
        <w:rPr>
          <w:szCs w:val="20"/>
          <w:lang w:eastAsia="en-US"/>
        </w:rPr>
        <w:tab/>
        <w:t>Trends in International Mathematics and Science Study</w:t>
      </w:r>
    </w:p>
    <w:p w:rsidR="002E3E6D" w:rsidRPr="002E3E6D" w:rsidRDefault="002E3E6D" w:rsidP="002C65C6">
      <w:pPr>
        <w:pStyle w:val="ListParagraph"/>
        <w:numPr>
          <w:ilvl w:val="0"/>
          <w:numId w:val="54"/>
        </w:numPr>
        <w:spacing w:after="60" w:line="264" w:lineRule="auto"/>
        <w:rPr>
          <w:szCs w:val="20"/>
          <w:lang w:eastAsia="en-US"/>
        </w:rPr>
      </w:pPr>
      <w:r w:rsidRPr="002E3E6D">
        <w:rPr>
          <w:szCs w:val="20"/>
          <w:lang w:eastAsia="en-US"/>
        </w:rPr>
        <w:t>UNESCO:</w:t>
      </w:r>
      <w:r w:rsidRPr="002E3E6D">
        <w:rPr>
          <w:szCs w:val="20"/>
          <w:lang w:eastAsia="en-US"/>
        </w:rPr>
        <w:tab/>
        <w:t>United Nations Organisation for Education, Science and Culture</w:t>
      </w:r>
    </w:p>
    <w:p w:rsidR="002E3E6D" w:rsidRPr="002E3E6D" w:rsidRDefault="002E3E6D" w:rsidP="00F2695A">
      <w:pPr>
        <w:pStyle w:val="ListParagraph"/>
        <w:numPr>
          <w:ilvl w:val="0"/>
          <w:numId w:val="51"/>
        </w:numPr>
        <w:spacing w:after="60" w:line="264" w:lineRule="auto"/>
        <w:rPr>
          <w:szCs w:val="20"/>
          <w:lang w:eastAsia="en-US"/>
        </w:rPr>
      </w:pPr>
      <w:r w:rsidRPr="002E3E6D">
        <w:rPr>
          <w:szCs w:val="20"/>
          <w:lang w:eastAsia="en-US"/>
        </w:rPr>
        <w:t xml:space="preserve">VET: </w:t>
      </w:r>
      <w:r w:rsidRPr="002E3E6D">
        <w:rPr>
          <w:szCs w:val="20"/>
          <w:lang w:eastAsia="en-US"/>
        </w:rPr>
        <w:tab/>
        <w:t>Vocational education and training</w:t>
      </w:r>
    </w:p>
    <w:p w:rsidR="002E3E6D" w:rsidRDefault="002E3E6D" w:rsidP="002E3E6D">
      <w:pPr>
        <w:spacing w:after="120" w:line="264" w:lineRule="auto"/>
        <w:jc w:val="left"/>
        <w:rPr>
          <w:rFonts w:cs="Arial"/>
          <w:b/>
          <w:bCs/>
          <w:color w:val="263673"/>
          <w:kern w:val="32"/>
          <w:sz w:val="28"/>
          <w:szCs w:val="32"/>
        </w:rPr>
      </w:pPr>
    </w:p>
    <w:p w:rsidR="00F2695A" w:rsidRDefault="00F2695A">
      <w:pPr>
        <w:jc w:val="left"/>
        <w:rPr>
          <w:rFonts w:cs="Arial"/>
          <w:b/>
          <w:bCs/>
          <w:color w:val="263673"/>
          <w:kern w:val="32"/>
          <w:sz w:val="28"/>
          <w:szCs w:val="32"/>
        </w:rPr>
      </w:pPr>
      <w:bookmarkStart w:id="9" w:name="_Toc435802049"/>
      <w:r>
        <w:br w:type="page"/>
      </w:r>
    </w:p>
    <w:p w:rsidR="002E3E6D" w:rsidRDefault="002E3E6D" w:rsidP="00F2695A">
      <w:pPr>
        <w:pStyle w:val="Heading1"/>
        <w:spacing w:line="264" w:lineRule="auto"/>
      </w:pPr>
      <w:r>
        <w:t>Country abbreviations</w:t>
      </w:r>
      <w:bookmarkEnd w:id="9"/>
    </w:p>
    <w:p w:rsidR="002E3E6D" w:rsidRPr="002E3E6D" w:rsidRDefault="002E3E6D" w:rsidP="00F2695A">
      <w:pPr>
        <w:pStyle w:val="ListParagraph"/>
        <w:numPr>
          <w:ilvl w:val="0"/>
          <w:numId w:val="51"/>
        </w:numPr>
        <w:spacing w:after="60" w:line="264" w:lineRule="auto"/>
        <w:rPr>
          <w:szCs w:val="20"/>
        </w:rPr>
      </w:pPr>
      <w:r w:rsidRPr="002E3E6D">
        <w:rPr>
          <w:szCs w:val="20"/>
        </w:rPr>
        <w:t>AT:</w:t>
      </w:r>
      <w:r w:rsidRPr="002E3E6D">
        <w:rPr>
          <w:szCs w:val="20"/>
        </w:rPr>
        <w:tab/>
      </w:r>
      <w:r w:rsidRPr="002E3E6D">
        <w:rPr>
          <w:szCs w:val="20"/>
        </w:rPr>
        <w:tab/>
        <w:t>Austria</w:t>
      </w:r>
    </w:p>
    <w:p w:rsidR="002E3E6D" w:rsidRPr="002E3E6D" w:rsidRDefault="002E3E6D" w:rsidP="00F2695A">
      <w:pPr>
        <w:pStyle w:val="ListParagraph"/>
        <w:numPr>
          <w:ilvl w:val="0"/>
          <w:numId w:val="51"/>
        </w:numPr>
        <w:spacing w:after="60" w:line="264" w:lineRule="auto"/>
        <w:rPr>
          <w:szCs w:val="20"/>
        </w:rPr>
      </w:pPr>
      <w:r w:rsidRPr="002E3E6D">
        <w:rPr>
          <w:szCs w:val="20"/>
        </w:rPr>
        <w:t>BE:</w:t>
      </w:r>
      <w:r w:rsidRPr="002E3E6D">
        <w:rPr>
          <w:szCs w:val="20"/>
        </w:rPr>
        <w:tab/>
      </w:r>
      <w:r w:rsidRPr="002E3E6D">
        <w:rPr>
          <w:szCs w:val="20"/>
        </w:rPr>
        <w:tab/>
        <w:t>Belgium</w:t>
      </w:r>
    </w:p>
    <w:p w:rsidR="002E3E6D" w:rsidRPr="002E3E6D" w:rsidRDefault="002E3E6D" w:rsidP="00F2695A">
      <w:pPr>
        <w:pStyle w:val="ListParagraph"/>
        <w:numPr>
          <w:ilvl w:val="0"/>
          <w:numId w:val="51"/>
        </w:numPr>
        <w:spacing w:after="60" w:line="264" w:lineRule="auto"/>
        <w:rPr>
          <w:szCs w:val="20"/>
        </w:rPr>
      </w:pPr>
      <w:r w:rsidRPr="002E3E6D">
        <w:rPr>
          <w:szCs w:val="20"/>
        </w:rPr>
        <w:t>BE (FL):</w:t>
      </w:r>
      <w:r w:rsidRPr="002E3E6D">
        <w:rPr>
          <w:szCs w:val="20"/>
        </w:rPr>
        <w:tab/>
        <w:t>Belgium (Flanders)</w:t>
      </w:r>
    </w:p>
    <w:p w:rsidR="002E3E6D" w:rsidRPr="002E3E6D" w:rsidRDefault="002E3E6D" w:rsidP="00F2695A">
      <w:pPr>
        <w:pStyle w:val="ListParagraph"/>
        <w:numPr>
          <w:ilvl w:val="0"/>
          <w:numId w:val="51"/>
        </w:numPr>
        <w:spacing w:after="60" w:line="264" w:lineRule="auto"/>
        <w:rPr>
          <w:szCs w:val="20"/>
        </w:rPr>
      </w:pPr>
      <w:r w:rsidRPr="002E3E6D">
        <w:rPr>
          <w:szCs w:val="20"/>
        </w:rPr>
        <w:t>BG:</w:t>
      </w:r>
      <w:r w:rsidRPr="002E3E6D">
        <w:rPr>
          <w:szCs w:val="20"/>
        </w:rPr>
        <w:tab/>
        <w:t>Bulgaria</w:t>
      </w:r>
    </w:p>
    <w:p w:rsidR="002E3E6D" w:rsidRPr="002E3E6D" w:rsidRDefault="002E3E6D" w:rsidP="00F2695A">
      <w:pPr>
        <w:pStyle w:val="ListParagraph"/>
        <w:numPr>
          <w:ilvl w:val="0"/>
          <w:numId w:val="51"/>
        </w:numPr>
        <w:spacing w:after="60" w:line="264" w:lineRule="auto"/>
        <w:rPr>
          <w:szCs w:val="20"/>
        </w:rPr>
      </w:pPr>
      <w:r w:rsidRPr="002E3E6D">
        <w:rPr>
          <w:szCs w:val="20"/>
        </w:rPr>
        <w:t>CA:</w:t>
      </w:r>
      <w:r w:rsidRPr="002E3E6D">
        <w:rPr>
          <w:szCs w:val="20"/>
        </w:rPr>
        <w:tab/>
        <w:t>Canada</w:t>
      </w:r>
    </w:p>
    <w:p w:rsidR="002E3E6D" w:rsidRPr="002E3E6D" w:rsidRDefault="002E3E6D" w:rsidP="00F2695A">
      <w:pPr>
        <w:pStyle w:val="ListParagraph"/>
        <w:numPr>
          <w:ilvl w:val="0"/>
          <w:numId w:val="51"/>
        </w:numPr>
        <w:spacing w:after="60" w:line="264" w:lineRule="auto"/>
        <w:rPr>
          <w:szCs w:val="20"/>
        </w:rPr>
      </w:pPr>
      <w:r w:rsidRPr="002E3E6D">
        <w:rPr>
          <w:szCs w:val="20"/>
        </w:rPr>
        <w:t>CY:</w:t>
      </w:r>
      <w:r w:rsidRPr="002E3E6D">
        <w:rPr>
          <w:szCs w:val="20"/>
        </w:rPr>
        <w:tab/>
      </w:r>
      <w:r w:rsidRPr="002E3E6D">
        <w:rPr>
          <w:szCs w:val="20"/>
        </w:rPr>
        <w:tab/>
        <w:t>Cyprus</w:t>
      </w:r>
    </w:p>
    <w:p w:rsidR="002E3E6D" w:rsidRPr="002E3E6D" w:rsidRDefault="002E3E6D" w:rsidP="00F2695A">
      <w:pPr>
        <w:pStyle w:val="ListParagraph"/>
        <w:numPr>
          <w:ilvl w:val="0"/>
          <w:numId w:val="51"/>
        </w:numPr>
        <w:spacing w:after="60" w:line="264" w:lineRule="auto"/>
        <w:rPr>
          <w:szCs w:val="20"/>
        </w:rPr>
      </w:pPr>
      <w:r w:rsidRPr="002E3E6D">
        <w:rPr>
          <w:szCs w:val="20"/>
        </w:rPr>
        <w:t>CZ:</w:t>
      </w:r>
      <w:r w:rsidRPr="002E3E6D">
        <w:rPr>
          <w:szCs w:val="20"/>
        </w:rPr>
        <w:tab/>
        <w:t>Czech Republic</w:t>
      </w:r>
    </w:p>
    <w:p w:rsidR="002E3E6D" w:rsidRPr="002E3E6D" w:rsidRDefault="002E3E6D" w:rsidP="00F2695A">
      <w:pPr>
        <w:pStyle w:val="ListParagraph"/>
        <w:numPr>
          <w:ilvl w:val="0"/>
          <w:numId w:val="51"/>
        </w:numPr>
        <w:spacing w:after="60" w:line="264" w:lineRule="auto"/>
        <w:rPr>
          <w:szCs w:val="20"/>
        </w:rPr>
      </w:pPr>
      <w:r w:rsidRPr="002E3E6D">
        <w:rPr>
          <w:szCs w:val="20"/>
        </w:rPr>
        <w:t>DE:</w:t>
      </w:r>
      <w:r w:rsidRPr="002E3E6D">
        <w:rPr>
          <w:szCs w:val="20"/>
        </w:rPr>
        <w:tab/>
        <w:t>Germany</w:t>
      </w:r>
    </w:p>
    <w:p w:rsidR="002E3E6D" w:rsidRPr="002E3E6D" w:rsidRDefault="002E3E6D" w:rsidP="00F2695A">
      <w:pPr>
        <w:pStyle w:val="ListParagraph"/>
        <w:numPr>
          <w:ilvl w:val="0"/>
          <w:numId w:val="51"/>
        </w:numPr>
        <w:spacing w:after="60" w:line="264" w:lineRule="auto"/>
        <w:rPr>
          <w:szCs w:val="20"/>
        </w:rPr>
      </w:pPr>
      <w:r w:rsidRPr="002E3E6D">
        <w:rPr>
          <w:szCs w:val="20"/>
        </w:rPr>
        <w:t>DK:</w:t>
      </w:r>
      <w:r w:rsidRPr="002E3E6D">
        <w:rPr>
          <w:szCs w:val="20"/>
        </w:rPr>
        <w:tab/>
        <w:t>Denmark</w:t>
      </w:r>
    </w:p>
    <w:p w:rsidR="002E3E6D" w:rsidRPr="002E3E6D" w:rsidRDefault="002E3E6D" w:rsidP="00F2695A">
      <w:pPr>
        <w:pStyle w:val="ListParagraph"/>
        <w:numPr>
          <w:ilvl w:val="0"/>
          <w:numId w:val="51"/>
        </w:numPr>
        <w:spacing w:after="60" w:line="264" w:lineRule="auto"/>
        <w:rPr>
          <w:szCs w:val="20"/>
        </w:rPr>
      </w:pPr>
      <w:r w:rsidRPr="002E3E6D">
        <w:rPr>
          <w:szCs w:val="20"/>
        </w:rPr>
        <w:t>EL:</w:t>
      </w:r>
      <w:r w:rsidRPr="002E3E6D">
        <w:rPr>
          <w:szCs w:val="20"/>
        </w:rPr>
        <w:tab/>
      </w:r>
      <w:r w:rsidRPr="002E3E6D">
        <w:rPr>
          <w:szCs w:val="20"/>
        </w:rPr>
        <w:tab/>
        <w:t>Greece</w:t>
      </w:r>
    </w:p>
    <w:p w:rsidR="002E3E6D" w:rsidRPr="002E3E6D" w:rsidRDefault="002E3E6D" w:rsidP="00F2695A">
      <w:pPr>
        <w:pStyle w:val="ListParagraph"/>
        <w:numPr>
          <w:ilvl w:val="0"/>
          <w:numId w:val="51"/>
        </w:numPr>
        <w:spacing w:after="60" w:line="264" w:lineRule="auto"/>
        <w:rPr>
          <w:szCs w:val="20"/>
        </w:rPr>
      </w:pPr>
      <w:r w:rsidRPr="002E3E6D">
        <w:rPr>
          <w:szCs w:val="20"/>
        </w:rPr>
        <w:t>EE:</w:t>
      </w:r>
      <w:r w:rsidRPr="002E3E6D">
        <w:rPr>
          <w:szCs w:val="20"/>
        </w:rPr>
        <w:tab/>
      </w:r>
      <w:r w:rsidRPr="002E3E6D">
        <w:rPr>
          <w:szCs w:val="20"/>
        </w:rPr>
        <w:tab/>
        <w:t>Estonia</w:t>
      </w:r>
    </w:p>
    <w:p w:rsidR="002E3E6D" w:rsidRPr="002E3E6D" w:rsidRDefault="002E3E6D" w:rsidP="00F2695A">
      <w:pPr>
        <w:pStyle w:val="ListParagraph"/>
        <w:numPr>
          <w:ilvl w:val="0"/>
          <w:numId w:val="51"/>
        </w:numPr>
        <w:spacing w:after="60" w:line="264" w:lineRule="auto"/>
        <w:rPr>
          <w:szCs w:val="20"/>
        </w:rPr>
      </w:pPr>
      <w:r w:rsidRPr="002E3E6D">
        <w:rPr>
          <w:szCs w:val="20"/>
        </w:rPr>
        <w:t>ES:</w:t>
      </w:r>
      <w:r w:rsidRPr="002E3E6D">
        <w:rPr>
          <w:szCs w:val="20"/>
        </w:rPr>
        <w:tab/>
      </w:r>
      <w:r w:rsidRPr="002E3E6D">
        <w:rPr>
          <w:szCs w:val="20"/>
        </w:rPr>
        <w:tab/>
        <w:t>Spain</w:t>
      </w:r>
    </w:p>
    <w:p w:rsidR="002E3E6D" w:rsidRPr="002E3E6D" w:rsidRDefault="002E3E6D" w:rsidP="00F2695A">
      <w:pPr>
        <w:pStyle w:val="ListParagraph"/>
        <w:numPr>
          <w:ilvl w:val="0"/>
          <w:numId w:val="51"/>
        </w:numPr>
        <w:spacing w:after="60" w:line="264" w:lineRule="auto"/>
        <w:rPr>
          <w:szCs w:val="20"/>
        </w:rPr>
      </w:pPr>
      <w:r w:rsidRPr="002E3E6D">
        <w:rPr>
          <w:szCs w:val="20"/>
        </w:rPr>
        <w:t>FI:</w:t>
      </w:r>
      <w:r w:rsidRPr="002E3E6D">
        <w:rPr>
          <w:szCs w:val="20"/>
        </w:rPr>
        <w:tab/>
      </w:r>
      <w:r w:rsidRPr="002E3E6D">
        <w:rPr>
          <w:szCs w:val="20"/>
        </w:rPr>
        <w:tab/>
        <w:t>Finland</w:t>
      </w:r>
    </w:p>
    <w:p w:rsidR="002E3E6D" w:rsidRPr="002E3E6D" w:rsidRDefault="002E3E6D" w:rsidP="00F2695A">
      <w:pPr>
        <w:pStyle w:val="ListParagraph"/>
        <w:numPr>
          <w:ilvl w:val="0"/>
          <w:numId w:val="51"/>
        </w:numPr>
        <w:spacing w:after="60" w:line="264" w:lineRule="auto"/>
        <w:rPr>
          <w:szCs w:val="20"/>
        </w:rPr>
      </w:pPr>
      <w:r w:rsidRPr="002E3E6D">
        <w:rPr>
          <w:szCs w:val="20"/>
        </w:rPr>
        <w:t>FR:</w:t>
      </w:r>
      <w:r w:rsidRPr="002E3E6D">
        <w:rPr>
          <w:szCs w:val="20"/>
        </w:rPr>
        <w:tab/>
      </w:r>
      <w:r w:rsidRPr="002E3E6D">
        <w:rPr>
          <w:szCs w:val="20"/>
        </w:rPr>
        <w:tab/>
        <w:t>France</w:t>
      </w:r>
    </w:p>
    <w:p w:rsidR="002E3E6D" w:rsidRPr="002E3E6D" w:rsidRDefault="002E3E6D" w:rsidP="00F2695A">
      <w:pPr>
        <w:pStyle w:val="ListParagraph"/>
        <w:numPr>
          <w:ilvl w:val="0"/>
          <w:numId w:val="51"/>
        </w:numPr>
        <w:spacing w:after="60" w:line="264" w:lineRule="auto"/>
        <w:rPr>
          <w:szCs w:val="20"/>
        </w:rPr>
      </w:pPr>
      <w:r w:rsidRPr="002E3E6D">
        <w:rPr>
          <w:szCs w:val="20"/>
        </w:rPr>
        <w:t>HR:</w:t>
      </w:r>
      <w:r w:rsidRPr="002E3E6D">
        <w:rPr>
          <w:szCs w:val="20"/>
        </w:rPr>
        <w:tab/>
        <w:t>Croatia</w:t>
      </w:r>
    </w:p>
    <w:p w:rsidR="002E3E6D" w:rsidRPr="002E3E6D" w:rsidRDefault="002E3E6D" w:rsidP="00F2695A">
      <w:pPr>
        <w:pStyle w:val="ListParagraph"/>
        <w:numPr>
          <w:ilvl w:val="0"/>
          <w:numId w:val="51"/>
        </w:numPr>
        <w:spacing w:after="60" w:line="264" w:lineRule="auto"/>
        <w:rPr>
          <w:szCs w:val="20"/>
        </w:rPr>
      </w:pPr>
      <w:r w:rsidRPr="002E3E6D">
        <w:rPr>
          <w:szCs w:val="20"/>
        </w:rPr>
        <w:t>HU:</w:t>
      </w:r>
      <w:r w:rsidRPr="002E3E6D">
        <w:rPr>
          <w:szCs w:val="20"/>
        </w:rPr>
        <w:tab/>
        <w:t>Hungary</w:t>
      </w:r>
    </w:p>
    <w:p w:rsidR="002E3E6D" w:rsidRPr="002E3E6D" w:rsidRDefault="002E3E6D" w:rsidP="00F2695A">
      <w:pPr>
        <w:pStyle w:val="ListParagraph"/>
        <w:numPr>
          <w:ilvl w:val="0"/>
          <w:numId w:val="51"/>
        </w:numPr>
        <w:spacing w:after="60" w:line="264" w:lineRule="auto"/>
        <w:rPr>
          <w:szCs w:val="20"/>
        </w:rPr>
      </w:pPr>
      <w:r w:rsidRPr="002E3E6D">
        <w:rPr>
          <w:szCs w:val="20"/>
        </w:rPr>
        <w:t>IE:</w:t>
      </w:r>
      <w:r w:rsidRPr="002E3E6D">
        <w:rPr>
          <w:szCs w:val="20"/>
        </w:rPr>
        <w:tab/>
      </w:r>
      <w:r w:rsidRPr="002E3E6D">
        <w:rPr>
          <w:szCs w:val="20"/>
        </w:rPr>
        <w:tab/>
        <w:t>Ireland</w:t>
      </w:r>
    </w:p>
    <w:p w:rsidR="002E3E6D" w:rsidRPr="002E3E6D" w:rsidRDefault="002E3E6D" w:rsidP="00F2695A">
      <w:pPr>
        <w:pStyle w:val="ListParagraph"/>
        <w:numPr>
          <w:ilvl w:val="0"/>
          <w:numId w:val="51"/>
        </w:numPr>
        <w:spacing w:after="60" w:line="264" w:lineRule="auto"/>
        <w:rPr>
          <w:szCs w:val="20"/>
        </w:rPr>
      </w:pPr>
      <w:r w:rsidRPr="002E3E6D">
        <w:rPr>
          <w:szCs w:val="20"/>
        </w:rPr>
        <w:t>IT:</w:t>
      </w:r>
      <w:r w:rsidRPr="002E3E6D">
        <w:rPr>
          <w:szCs w:val="20"/>
        </w:rPr>
        <w:tab/>
      </w:r>
      <w:r w:rsidRPr="002E3E6D">
        <w:rPr>
          <w:szCs w:val="20"/>
        </w:rPr>
        <w:tab/>
        <w:t>Italy</w:t>
      </w:r>
    </w:p>
    <w:p w:rsidR="002E3E6D" w:rsidRPr="002E3E6D" w:rsidRDefault="002E3E6D" w:rsidP="00F2695A">
      <w:pPr>
        <w:pStyle w:val="ListParagraph"/>
        <w:numPr>
          <w:ilvl w:val="0"/>
          <w:numId w:val="51"/>
        </w:numPr>
        <w:spacing w:after="60" w:line="264" w:lineRule="auto"/>
        <w:rPr>
          <w:szCs w:val="20"/>
        </w:rPr>
      </w:pPr>
      <w:r w:rsidRPr="002E3E6D">
        <w:rPr>
          <w:szCs w:val="20"/>
        </w:rPr>
        <w:t>JP:</w:t>
      </w:r>
      <w:r w:rsidRPr="002E3E6D">
        <w:rPr>
          <w:szCs w:val="20"/>
        </w:rPr>
        <w:tab/>
      </w:r>
      <w:r w:rsidRPr="002E3E6D">
        <w:rPr>
          <w:szCs w:val="20"/>
        </w:rPr>
        <w:tab/>
        <w:t>Japan</w:t>
      </w:r>
    </w:p>
    <w:p w:rsidR="002E3E6D" w:rsidRPr="002E3E6D" w:rsidRDefault="002E3E6D" w:rsidP="00F2695A">
      <w:pPr>
        <w:pStyle w:val="ListParagraph"/>
        <w:numPr>
          <w:ilvl w:val="0"/>
          <w:numId w:val="51"/>
        </w:numPr>
        <w:spacing w:after="60" w:line="264" w:lineRule="auto"/>
        <w:rPr>
          <w:szCs w:val="20"/>
        </w:rPr>
      </w:pPr>
      <w:r w:rsidRPr="002E3E6D">
        <w:rPr>
          <w:szCs w:val="20"/>
        </w:rPr>
        <w:t>KR:</w:t>
      </w:r>
      <w:r w:rsidRPr="002E3E6D">
        <w:rPr>
          <w:szCs w:val="20"/>
        </w:rPr>
        <w:tab/>
        <w:t>Korea</w:t>
      </w:r>
    </w:p>
    <w:p w:rsidR="002E3E6D" w:rsidRPr="002E3E6D" w:rsidRDefault="002E3E6D" w:rsidP="00F2695A">
      <w:pPr>
        <w:pStyle w:val="ListParagraph"/>
        <w:numPr>
          <w:ilvl w:val="0"/>
          <w:numId w:val="51"/>
        </w:numPr>
        <w:spacing w:after="60" w:line="264" w:lineRule="auto"/>
        <w:rPr>
          <w:szCs w:val="20"/>
        </w:rPr>
      </w:pPr>
      <w:r w:rsidRPr="002E3E6D">
        <w:rPr>
          <w:szCs w:val="20"/>
        </w:rPr>
        <w:t>LT:</w:t>
      </w:r>
      <w:r w:rsidRPr="002E3E6D">
        <w:rPr>
          <w:szCs w:val="20"/>
        </w:rPr>
        <w:tab/>
      </w:r>
      <w:r w:rsidRPr="002E3E6D">
        <w:rPr>
          <w:szCs w:val="20"/>
        </w:rPr>
        <w:tab/>
        <w:t>Lithuania</w:t>
      </w:r>
    </w:p>
    <w:p w:rsidR="002E3E6D" w:rsidRPr="002E3E6D" w:rsidRDefault="002E3E6D" w:rsidP="00F2695A">
      <w:pPr>
        <w:pStyle w:val="ListParagraph"/>
        <w:numPr>
          <w:ilvl w:val="0"/>
          <w:numId w:val="51"/>
        </w:numPr>
        <w:spacing w:after="60" w:line="264" w:lineRule="auto"/>
        <w:rPr>
          <w:szCs w:val="20"/>
        </w:rPr>
      </w:pPr>
      <w:r w:rsidRPr="002E3E6D">
        <w:rPr>
          <w:szCs w:val="20"/>
        </w:rPr>
        <w:t>LU:</w:t>
      </w:r>
      <w:r w:rsidRPr="002E3E6D">
        <w:rPr>
          <w:szCs w:val="20"/>
        </w:rPr>
        <w:tab/>
      </w:r>
      <w:r w:rsidRPr="002E3E6D">
        <w:rPr>
          <w:szCs w:val="20"/>
        </w:rPr>
        <w:tab/>
        <w:t>Luxembourg</w:t>
      </w:r>
    </w:p>
    <w:p w:rsidR="002E3E6D" w:rsidRPr="002E3E6D" w:rsidRDefault="002E3E6D" w:rsidP="00F2695A">
      <w:pPr>
        <w:pStyle w:val="ListParagraph"/>
        <w:numPr>
          <w:ilvl w:val="0"/>
          <w:numId w:val="51"/>
        </w:numPr>
        <w:spacing w:after="60" w:line="264" w:lineRule="auto"/>
        <w:rPr>
          <w:szCs w:val="20"/>
        </w:rPr>
      </w:pPr>
      <w:r w:rsidRPr="002E3E6D">
        <w:rPr>
          <w:szCs w:val="20"/>
        </w:rPr>
        <w:t>LV:</w:t>
      </w:r>
      <w:r w:rsidRPr="002E3E6D">
        <w:rPr>
          <w:szCs w:val="20"/>
        </w:rPr>
        <w:tab/>
      </w:r>
      <w:r w:rsidRPr="002E3E6D">
        <w:rPr>
          <w:szCs w:val="20"/>
        </w:rPr>
        <w:tab/>
        <w:t>Latvia</w:t>
      </w:r>
    </w:p>
    <w:p w:rsidR="002E3E6D" w:rsidRPr="002E3E6D" w:rsidRDefault="002E3E6D" w:rsidP="00F2695A">
      <w:pPr>
        <w:pStyle w:val="ListParagraph"/>
        <w:numPr>
          <w:ilvl w:val="0"/>
          <w:numId w:val="51"/>
        </w:numPr>
        <w:spacing w:after="60" w:line="264" w:lineRule="auto"/>
        <w:rPr>
          <w:szCs w:val="20"/>
        </w:rPr>
      </w:pPr>
      <w:r w:rsidRPr="002E3E6D">
        <w:rPr>
          <w:szCs w:val="20"/>
        </w:rPr>
        <w:t>MT:</w:t>
      </w:r>
      <w:r w:rsidRPr="002E3E6D">
        <w:rPr>
          <w:szCs w:val="20"/>
        </w:rPr>
        <w:tab/>
        <w:t>Malta</w:t>
      </w:r>
    </w:p>
    <w:p w:rsidR="002E3E6D" w:rsidRPr="002E3E6D" w:rsidRDefault="002E3E6D" w:rsidP="00F2695A">
      <w:pPr>
        <w:pStyle w:val="ListParagraph"/>
        <w:numPr>
          <w:ilvl w:val="0"/>
          <w:numId w:val="51"/>
        </w:numPr>
        <w:spacing w:after="60" w:line="264" w:lineRule="auto"/>
        <w:rPr>
          <w:szCs w:val="20"/>
        </w:rPr>
      </w:pPr>
      <w:r w:rsidRPr="002E3E6D">
        <w:rPr>
          <w:szCs w:val="20"/>
        </w:rPr>
        <w:t>NL:</w:t>
      </w:r>
      <w:r w:rsidRPr="002E3E6D">
        <w:rPr>
          <w:szCs w:val="20"/>
        </w:rPr>
        <w:tab/>
      </w:r>
      <w:r w:rsidRPr="002E3E6D">
        <w:rPr>
          <w:szCs w:val="20"/>
        </w:rPr>
        <w:tab/>
        <w:t>Netherlands</w:t>
      </w:r>
    </w:p>
    <w:p w:rsidR="002E3E6D" w:rsidRPr="002E3E6D" w:rsidRDefault="002E3E6D" w:rsidP="00F2695A">
      <w:pPr>
        <w:pStyle w:val="ListParagraph"/>
        <w:numPr>
          <w:ilvl w:val="0"/>
          <w:numId w:val="51"/>
        </w:numPr>
        <w:spacing w:after="60" w:line="264" w:lineRule="auto"/>
        <w:rPr>
          <w:szCs w:val="20"/>
        </w:rPr>
      </w:pPr>
      <w:r w:rsidRPr="002E3E6D">
        <w:rPr>
          <w:szCs w:val="20"/>
        </w:rPr>
        <w:t>NO:</w:t>
      </w:r>
      <w:r w:rsidRPr="002E3E6D">
        <w:rPr>
          <w:szCs w:val="20"/>
        </w:rPr>
        <w:tab/>
        <w:t>Norway</w:t>
      </w:r>
    </w:p>
    <w:p w:rsidR="002E3E6D" w:rsidRPr="002E3E6D" w:rsidRDefault="002E3E6D" w:rsidP="00F2695A">
      <w:pPr>
        <w:pStyle w:val="ListParagraph"/>
        <w:numPr>
          <w:ilvl w:val="0"/>
          <w:numId w:val="51"/>
        </w:numPr>
        <w:spacing w:after="60" w:line="264" w:lineRule="auto"/>
        <w:rPr>
          <w:szCs w:val="20"/>
        </w:rPr>
      </w:pPr>
      <w:r w:rsidRPr="002E3E6D">
        <w:rPr>
          <w:szCs w:val="20"/>
        </w:rPr>
        <w:t>PL:</w:t>
      </w:r>
      <w:r w:rsidRPr="002E3E6D">
        <w:rPr>
          <w:szCs w:val="20"/>
        </w:rPr>
        <w:tab/>
      </w:r>
      <w:r w:rsidRPr="002E3E6D">
        <w:rPr>
          <w:szCs w:val="20"/>
        </w:rPr>
        <w:tab/>
        <w:t>Poland</w:t>
      </w:r>
    </w:p>
    <w:p w:rsidR="002E3E6D" w:rsidRPr="002E3E6D" w:rsidRDefault="002E3E6D" w:rsidP="00F2695A">
      <w:pPr>
        <w:pStyle w:val="ListParagraph"/>
        <w:numPr>
          <w:ilvl w:val="0"/>
          <w:numId w:val="51"/>
        </w:numPr>
        <w:spacing w:after="60" w:line="264" w:lineRule="auto"/>
        <w:rPr>
          <w:szCs w:val="20"/>
        </w:rPr>
      </w:pPr>
      <w:r w:rsidRPr="002E3E6D">
        <w:rPr>
          <w:szCs w:val="20"/>
        </w:rPr>
        <w:t>PT:</w:t>
      </w:r>
      <w:r w:rsidRPr="002E3E6D">
        <w:rPr>
          <w:szCs w:val="20"/>
        </w:rPr>
        <w:tab/>
      </w:r>
      <w:r w:rsidRPr="002E3E6D">
        <w:rPr>
          <w:szCs w:val="20"/>
        </w:rPr>
        <w:tab/>
        <w:t>Portugal</w:t>
      </w:r>
    </w:p>
    <w:p w:rsidR="002E3E6D" w:rsidRPr="002E3E6D" w:rsidRDefault="002E3E6D" w:rsidP="00F2695A">
      <w:pPr>
        <w:pStyle w:val="ListParagraph"/>
        <w:numPr>
          <w:ilvl w:val="0"/>
          <w:numId w:val="51"/>
        </w:numPr>
        <w:spacing w:after="60" w:line="264" w:lineRule="auto"/>
        <w:rPr>
          <w:szCs w:val="20"/>
        </w:rPr>
      </w:pPr>
      <w:r w:rsidRPr="002E3E6D">
        <w:rPr>
          <w:szCs w:val="20"/>
        </w:rPr>
        <w:t>RO:</w:t>
      </w:r>
      <w:r w:rsidRPr="002E3E6D">
        <w:rPr>
          <w:szCs w:val="20"/>
        </w:rPr>
        <w:tab/>
        <w:t>Romania</w:t>
      </w:r>
    </w:p>
    <w:p w:rsidR="002E3E6D" w:rsidRPr="002E3E6D" w:rsidRDefault="002E3E6D" w:rsidP="00F2695A">
      <w:pPr>
        <w:pStyle w:val="ListParagraph"/>
        <w:numPr>
          <w:ilvl w:val="0"/>
          <w:numId w:val="51"/>
        </w:numPr>
        <w:spacing w:after="60" w:line="264" w:lineRule="auto"/>
        <w:rPr>
          <w:szCs w:val="20"/>
        </w:rPr>
      </w:pPr>
      <w:r w:rsidRPr="002E3E6D">
        <w:rPr>
          <w:szCs w:val="20"/>
        </w:rPr>
        <w:t>SE:</w:t>
      </w:r>
      <w:r w:rsidRPr="002E3E6D">
        <w:rPr>
          <w:szCs w:val="20"/>
        </w:rPr>
        <w:tab/>
      </w:r>
      <w:r w:rsidRPr="002E3E6D">
        <w:rPr>
          <w:szCs w:val="20"/>
        </w:rPr>
        <w:tab/>
        <w:t>Sweden</w:t>
      </w:r>
    </w:p>
    <w:p w:rsidR="002E3E6D" w:rsidRPr="002E3E6D" w:rsidRDefault="002E3E6D" w:rsidP="00F2695A">
      <w:pPr>
        <w:pStyle w:val="ListParagraph"/>
        <w:numPr>
          <w:ilvl w:val="0"/>
          <w:numId w:val="51"/>
        </w:numPr>
        <w:spacing w:after="60" w:line="264" w:lineRule="auto"/>
        <w:rPr>
          <w:szCs w:val="20"/>
        </w:rPr>
      </w:pPr>
      <w:r w:rsidRPr="002E3E6D">
        <w:rPr>
          <w:szCs w:val="20"/>
        </w:rPr>
        <w:t>SI:</w:t>
      </w:r>
      <w:r w:rsidRPr="002E3E6D">
        <w:rPr>
          <w:szCs w:val="20"/>
        </w:rPr>
        <w:tab/>
      </w:r>
      <w:r w:rsidRPr="002E3E6D">
        <w:rPr>
          <w:szCs w:val="20"/>
        </w:rPr>
        <w:tab/>
        <w:t>Slovenia</w:t>
      </w:r>
    </w:p>
    <w:p w:rsidR="002E3E6D" w:rsidRPr="002E3E6D" w:rsidRDefault="002E3E6D" w:rsidP="00F2695A">
      <w:pPr>
        <w:pStyle w:val="ListParagraph"/>
        <w:numPr>
          <w:ilvl w:val="0"/>
          <w:numId w:val="51"/>
        </w:numPr>
        <w:spacing w:after="60" w:line="264" w:lineRule="auto"/>
        <w:rPr>
          <w:szCs w:val="20"/>
        </w:rPr>
      </w:pPr>
      <w:r>
        <w:rPr>
          <w:szCs w:val="20"/>
        </w:rPr>
        <w:t>SK:</w:t>
      </w:r>
      <w:r>
        <w:rPr>
          <w:szCs w:val="20"/>
        </w:rPr>
        <w:tab/>
      </w:r>
      <w:r w:rsidRPr="002E3E6D">
        <w:rPr>
          <w:szCs w:val="20"/>
        </w:rPr>
        <w:t>Slovak Republic</w:t>
      </w:r>
    </w:p>
    <w:p w:rsidR="002E3E6D" w:rsidRPr="002E3E6D" w:rsidRDefault="002E3E6D" w:rsidP="00F2695A">
      <w:pPr>
        <w:pStyle w:val="ListParagraph"/>
        <w:numPr>
          <w:ilvl w:val="0"/>
          <w:numId w:val="51"/>
        </w:numPr>
        <w:spacing w:after="60" w:line="264" w:lineRule="auto"/>
        <w:rPr>
          <w:szCs w:val="20"/>
        </w:rPr>
      </w:pPr>
      <w:r>
        <w:rPr>
          <w:szCs w:val="20"/>
        </w:rPr>
        <w:t>UK:</w:t>
      </w:r>
      <w:r>
        <w:rPr>
          <w:szCs w:val="20"/>
        </w:rPr>
        <w:tab/>
      </w:r>
      <w:r w:rsidRPr="002E3E6D">
        <w:rPr>
          <w:szCs w:val="20"/>
        </w:rPr>
        <w:t>United Kingdom</w:t>
      </w:r>
    </w:p>
    <w:p w:rsidR="002E3E6D" w:rsidRPr="002E3E6D" w:rsidRDefault="002E3E6D" w:rsidP="00F2695A">
      <w:pPr>
        <w:pStyle w:val="ListParagraph"/>
        <w:numPr>
          <w:ilvl w:val="0"/>
          <w:numId w:val="51"/>
        </w:numPr>
        <w:spacing w:after="60" w:line="264" w:lineRule="auto"/>
        <w:rPr>
          <w:szCs w:val="20"/>
        </w:rPr>
      </w:pPr>
      <w:r w:rsidRPr="002E3E6D">
        <w:rPr>
          <w:szCs w:val="20"/>
        </w:rPr>
        <w:t>UK (EN):</w:t>
      </w:r>
      <w:r w:rsidRPr="002E3E6D">
        <w:rPr>
          <w:szCs w:val="20"/>
        </w:rPr>
        <w:tab/>
        <w:t>United Kingdom (England)</w:t>
      </w:r>
    </w:p>
    <w:p w:rsidR="002E3E6D" w:rsidRPr="002E3E6D" w:rsidRDefault="002E3E6D" w:rsidP="00F2695A">
      <w:pPr>
        <w:pStyle w:val="ListParagraph"/>
        <w:numPr>
          <w:ilvl w:val="0"/>
          <w:numId w:val="51"/>
        </w:numPr>
        <w:spacing w:after="60" w:line="264" w:lineRule="auto"/>
        <w:rPr>
          <w:szCs w:val="20"/>
        </w:rPr>
      </w:pPr>
      <w:r w:rsidRPr="002E3E6D">
        <w:rPr>
          <w:szCs w:val="20"/>
        </w:rPr>
        <w:t xml:space="preserve">UK (NI): </w:t>
      </w:r>
      <w:r w:rsidRPr="002E3E6D">
        <w:rPr>
          <w:szCs w:val="20"/>
        </w:rPr>
        <w:tab/>
        <w:t>United Kingdom (Northern Ireland)</w:t>
      </w:r>
    </w:p>
    <w:p w:rsidR="002E3E6D" w:rsidRPr="002E3E6D" w:rsidRDefault="002E3E6D" w:rsidP="00F2695A">
      <w:pPr>
        <w:pStyle w:val="ListParagraph"/>
        <w:numPr>
          <w:ilvl w:val="0"/>
          <w:numId w:val="51"/>
        </w:numPr>
        <w:spacing w:after="60" w:line="264" w:lineRule="auto"/>
        <w:rPr>
          <w:szCs w:val="20"/>
        </w:rPr>
      </w:pPr>
      <w:r w:rsidRPr="002E3E6D">
        <w:rPr>
          <w:szCs w:val="20"/>
        </w:rPr>
        <w:t>US/USA:</w:t>
      </w:r>
      <w:r w:rsidRPr="002E3E6D">
        <w:rPr>
          <w:szCs w:val="20"/>
        </w:rPr>
        <w:tab/>
        <w:t>United States of America</w:t>
      </w:r>
    </w:p>
    <w:p w:rsidR="00E274BE" w:rsidRDefault="00E274BE">
      <w:pPr>
        <w:pStyle w:val="Heading1"/>
      </w:pPr>
      <w:bookmarkStart w:id="10" w:name="_Toc435802050"/>
    </w:p>
    <w:p w:rsidR="00545F64" w:rsidRDefault="00545F64" w:rsidP="00545F64">
      <w:pPr>
        <w:sectPr w:rsidR="00545F64" w:rsidSect="00E274BE">
          <w:footerReference w:type="even" r:id="rId24"/>
          <w:pgSz w:w="11906" w:h="16838" w:code="9"/>
          <w:pgMar w:top="1985" w:right="1418" w:bottom="1418" w:left="1701" w:header="567" w:footer="567" w:gutter="0"/>
          <w:pgNumType w:start="1" w:chapStyle="1"/>
          <w:cols w:space="708"/>
          <w:docGrid w:linePitch="360"/>
        </w:sectPr>
      </w:pPr>
    </w:p>
    <w:p w:rsidR="00322524" w:rsidRPr="000F5DA3" w:rsidRDefault="00322524">
      <w:pPr>
        <w:pStyle w:val="Heading1"/>
      </w:pPr>
      <w:bookmarkStart w:id="11" w:name="_Toc435802051"/>
      <w:bookmarkEnd w:id="5"/>
      <w:bookmarkEnd w:id="10"/>
      <w:r w:rsidRPr="000F5DA3">
        <w:t>1. Introduction</w:t>
      </w:r>
      <w:bookmarkEnd w:id="11"/>
    </w:p>
    <w:p w:rsidR="00322524" w:rsidRPr="000F5DA3" w:rsidRDefault="00322524" w:rsidP="00322524">
      <w:pPr>
        <w:pStyle w:val="BodyText"/>
        <w:spacing w:line="288" w:lineRule="auto"/>
        <w:rPr>
          <w:lang w:eastAsia="en-US"/>
        </w:rPr>
      </w:pPr>
      <w:r w:rsidRPr="000F5DA3">
        <w:t>Qualifications have long been considered the core outcome of formal education. Policy-makers have worked under the assumption that completing a specific stage or spending a specific time in formal education equips young people with the skills</w:t>
      </w:r>
      <w:r w:rsidR="003C2FF8">
        <w:t xml:space="preserve"> and competences</w:t>
      </w:r>
      <w:r w:rsidRPr="000F5DA3">
        <w:t xml:space="preserve"> needed for economic and social participation. Academics typically use qualifications as proxies for skills in the absence of a direct measurement. More recently, results from international large scale skills assessment </w:t>
      </w:r>
      <w:r w:rsidR="002B27CB">
        <w:t>surveys</w:t>
      </w:r>
      <w:r w:rsidR="002B27CB" w:rsidRPr="000F5DA3">
        <w:t xml:space="preserve"> </w:t>
      </w:r>
      <w:r w:rsidRPr="000F5DA3">
        <w:t>have provided a comparative assessment of skills proficiency across a large number of countries and suggested that the qualifications and skills of an individual do not relate as closely to each other as assumed to date</w:t>
      </w:r>
      <w:r w:rsidRPr="000F5DA3">
        <w:rPr>
          <w:lang w:eastAsia="en-US"/>
        </w:rPr>
        <w:t>.</w:t>
      </w:r>
    </w:p>
    <w:p w:rsidR="00322524" w:rsidRPr="000F5DA3" w:rsidRDefault="00322524" w:rsidP="00322524">
      <w:pPr>
        <w:pStyle w:val="BodyText"/>
        <w:spacing w:line="288" w:lineRule="auto"/>
        <w:rPr>
          <w:lang w:eastAsia="en-US"/>
        </w:rPr>
      </w:pPr>
      <w:r w:rsidRPr="000F5DA3">
        <w:rPr>
          <w:lang w:eastAsia="en-US"/>
        </w:rPr>
        <w:t xml:space="preserve">Data from the Organisation for Economic Cooperation and Development (OECD) Programme for International Student Assessment (PISA) for example shows that there are significant differences </w:t>
      </w:r>
      <w:r w:rsidR="002B27CB">
        <w:rPr>
          <w:lang w:eastAsia="en-US"/>
        </w:rPr>
        <w:t>in</w:t>
      </w:r>
      <w:r w:rsidRPr="000F5DA3">
        <w:rPr>
          <w:lang w:eastAsia="en-US"/>
        </w:rPr>
        <w:t xml:space="preserve"> skill</w:t>
      </w:r>
      <w:r w:rsidR="002B27CB">
        <w:rPr>
          <w:lang w:eastAsia="en-US"/>
        </w:rPr>
        <w:t>s</w:t>
      </w:r>
      <w:r w:rsidRPr="000F5DA3">
        <w:rPr>
          <w:lang w:eastAsia="en-US"/>
        </w:rPr>
        <w:t xml:space="preserve"> proficiency at similar levels of educational attainment both within and between countries. Cross-country differences may imply that certain education systems are more effective in equipping young people with skills than others (see e.g. OECD 2014). This is of interest for policy-making, as research increasingly suggests that skills</w:t>
      </w:r>
      <w:r w:rsidR="002B27CB">
        <w:rPr>
          <w:lang w:eastAsia="en-US"/>
        </w:rPr>
        <w:t xml:space="preserve">, </w:t>
      </w:r>
      <w:r w:rsidRPr="000F5DA3">
        <w:rPr>
          <w:lang w:eastAsia="en-US"/>
        </w:rPr>
        <w:t>not merely formal educational attainment, are predictors of individual life-chances, such as life-time earnings (Woessmann 2014, Hanushek et al 2015) and social outcomes such as political trust or volunteering (Da Costa et al 2014).</w:t>
      </w:r>
    </w:p>
    <w:p w:rsidR="00322524" w:rsidRDefault="00322524" w:rsidP="00322524">
      <w:pPr>
        <w:pStyle w:val="BodyText"/>
        <w:spacing w:line="288" w:lineRule="auto"/>
        <w:rPr>
          <w:lang w:eastAsia="en-US"/>
        </w:rPr>
      </w:pPr>
      <w:r w:rsidRPr="000F5DA3">
        <w:rPr>
          <w:lang w:eastAsia="en-US"/>
        </w:rPr>
        <w:t>To date, this research has focused on</w:t>
      </w:r>
      <w:r w:rsidR="00E17139">
        <w:rPr>
          <w:lang w:eastAsia="en-US"/>
        </w:rPr>
        <w:t xml:space="preserve"> the</w:t>
      </w:r>
      <w:r w:rsidRPr="000F5DA3">
        <w:rPr>
          <w:lang w:eastAsia="en-US"/>
        </w:rPr>
        <w:t xml:space="preserve"> skills</w:t>
      </w:r>
      <w:r w:rsidR="003C2FF8">
        <w:rPr>
          <w:lang w:eastAsia="en-US"/>
        </w:rPr>
        <w:t xml:space="preserve"> and competences</w:t>
      </w:r>
      <w:r w:rsidRPr="000F5DA3">
        <w:rPr>
          <w:lang w:eastAsia="en-US"/>
        </w:rPr>
        <w:t xml:space="preserve"> of school children up to lower secondary level, but little is known about the relationship between educational attainment and skills for subsequent stages of formal education, i.e. at upper secondary and tertiary level. New data </w:t>
      </w:r>
      <w:r w:rsidR="00E17139">
        <w:rPr>
          <w:lang w:eastAsia="en-US"/>
        </w:rPr>
        <w:t>from</w:t>
      </w:r>
      <w:r w:rsidRPr="000F5DA3">
        <w:rPr>
          <w:lang w:eastAsia="en-US"/>
        </w:rPr>
        <w:t xml:space="preserve"> the OECD’s Survey of Adult Skills (SAS), produced within the context of the OECD Programme for the International Assessment of Adult Competencies (PIAAC), now facilitates such analysis by providing an assessment of the proficiency of 160,000 adults (age 16-65) across 24 countries in a number of information processing contexts – namely literacy, numeracy and problem</w:t>
      </w:r>
      <w:r w:rsidR="00E17139">
        <w:rPr>
          <w:lang w:eastAsia="en-US"/>
        </w:rPr>
        <w:t>-</w:t>
      </w:r>
      <w:r w:rsidRPr="000F5DA3">
        <w:rPr>
          <w:lang w:eastAsia="en-US"/>
        </w:rPr>
        <w:t>solving in technology-rich environments (OECD 2013a). 17 European Member States took part in PIAAC.</w:t>
      </w:r>
    </w:p>
    <w:p w:rsidR="00322524" w:rsidRPr="000F5DA3" w:rsidRDefault="00322524" w:rsidP="00322524">
      <w:pPr>
        <w:pStyle w:val="Heading2"/>
      </w:pPr>
      <w:bookmarkStart w:id="12" w:name="_Toc435802052"/>
      <w:r>
        <w:t>1.1 Aims and objective of this study</w:t>
      </w:r>
      <w:bookmarkEnd w:id="12"/>
    </w:p>
    <w:p w:rsidR="00322524" w:rsidRPr="00C337EC" w:rsidRDefault="00322524" w:rsidP="00322524">
      <w:pPr>
        <w:pStyle w:val="BodyText"/>
        <w:spacing w:line="288" w:lineRule="auto"/>
        <w:rPr>
          <w:highlight w:val="yellow"/>
          <w:lang w:eastAsia="en-US"/>
        </w:rPr>
      </w:pPr>
      <w:r>
        <w:rPr>
          <w:lang w:eastAsia="en-US"/>
        </w:rPr>
        <w:t>This study aims to close this</w:t>
      </w:r>
      <w:r w:rsidR="00D31B8E">
        <w:rPr>
          <w:lang w:eastAsia="en-US"/>
        </w:rPr>
        <w:t xml:space="preserve"> research</w:t>
      </w:r>
      <w:r>
        <w:rPr>
          <w:lang w:eastAsia="en-US"/>
        </w:rPr>
        <w:t xml:space="preserve"> gap by investigating the link between educational attainment</w:t>
      </w:r>
      <w:r w:rsidR="003C2FF8">
        <w:rPr>
          <w:lang w:eastAsia="en-US"/>
        </w:rPr>
        <w:t xml:space="preserve"> at upper secondary</w:t>
      </w:r>
      <w:r w:rsidR="00286E0E">
        <w:rPr>
          <w:rStyle w:val="FootnoteReference"/>
          <w:lang w:eastAsia="en-US"/>
        </w:rPr>
        <w:footnoteReference w:id="1"/>
      </w:r>
      <w:r w:rsidR="003C2FF8">
        <w:rPr>
          <w:lang w:eastAsia="en-US"/>
        </w:rPr>
        <w:t xml:space="preserve"> and tertiary level</w:t>
      </w:r>
      <w:r>
        <w:rPr>
          <w:lang w:eastAsia="en-US"/>
        </w:rPr>
        <w:t xml:space="preserve"> and basic competences</w:t>
      </w:r>
      <w:r w:rsidR="003C2FF8">
        <w:rPr>
          <w:lang w:eastAsia="en-US"/>
        </w:rPr>
        <w:t xml:space="preserve"> </w:t>
      </w:r>
      <w:r>
        <w:rPr>
          <w:lang w:eastAsia="en-US"/>
        </w:rPr>
        <w:t>from a cross-country and within</w:t>
      </w:r>
      <w:r w:rsidR="00E17139">
        <w:rPr>
          <w:lang w:eastAsia="en-US"/>
        </w:rPr>
        <w:t>-</w:t>
      </w:r>
      <w:r>
        <w:rPr>
          <w:lang w:eastAsia="en-US"/>
        </w:rPr>
        <w:t xml:space="preserve">country perspective. It further explores the potential reasons underlying the observed patterns. </w:t>
      </w:r>
      <w:r w:rsidRPr="000F5DA3">
        <w:rPr>
          <w:lang w:eastAsia="en-US"/>
        </w:rPr>
        <w:t>Using PIAAC data, this study makes four contribu</w:t>
      </w:r>
      <w:r>
        <w:rPr>
          <w:lang w:eastAsia="en-US"/>
        </w:rPr>
        <w:t>tions to the policy debate</w:t>
      </w:r>
      <w:r w:rsidR="00E17139">
        <w:rPr>
          <w:lang w:eastAsia="en-US"/>
        </w:rPr>
        <w:t xml:space="preserve">. </w:t>
      </w:r>
      <w:r w:rsidRPr="000F5DA3">
        <w:rPr>
          <w:lang w:eastAsia="en-US"/>
        </w:rPr>
        <w:t>First, it provides an overview of young people’s literacy and numeracy proficiency in Europe and highlights groups of countries with similar results. Second, it shows that</w:t>
      </w:r>
      <w:r w:rsidR="00E17139">
        <w:rPr>
          <w:lang w:eastAsia="en-US"/>
        </w:rPr>
        <w:t>,</w:t>
      </w:r>
      <w:r w:rsidRPr="000F5DA3">
        <w:rPr>
          <w:lang w:eastAsia="en-US"/>
        </w:rPr>
        <w:t xml:space="preserve"> while educational attainment </w:t>
      </w:r>
      <w:r w:rsidRPr="00C337EC">
        <w:rPr>
          <w:lang w:eastAsia="en-US"/>
        </w:rPr>
        <w:t>across Europe has clearly increased in the last decades, this expansion has not always been accompanied by a similar increase in basic competences of young people. Third, it estimates the partial effect</w:t>
      </w:r>
      <w:r w:rsidRPr="00C337EC">
        <w:rPr>
          <w:rStyle w:val="FootnoteReference"/>
          <w:rFonts w:cs="Arial"/>
          <w:szCs w:val="20"/>
          <w:lang w:eastAsia="en-US"/>
        </w:rPr>
        <w:footnoteReference w:id="2"/>
      </w:r>
      <w:r w:rsidRPr="00C337EC">
        <w:rPr>
          <w:lang w:eastAsia="en-US"/>
        </w:rPr>
        <w:t xml:space="preserve"> of different levels of educational attainment on </w:t>
      </w:r>
      <w:r w:rsidR="00E17139">
        <w:rPr>
          <w:lang w:eastAsia="en-US"/>
        </w:rPr>
        <w:t>competence</w:t>
      </w:r>
      <w:r w:rsidR="00E17139" w:rsidRPr="00C337EC">
        <w:rPr>
          <w:lang w:eastAsia="en-US"/>
        </w:rPr>
        <w:t xml:space="preserve"> </w:t>
      </w:r>
      <w:r w:rsidRPr="00C337EC">
        <w:rPr>
          <w:lang w:eastAsia="en-US"/>
        </w:rPr>
        <w:t xml:space="preserve">levels and shows </w:t>
      </w:r>
      <w:r w:rsidR="00E17139">
        <w:rPr>
          <w:lang w:eastAsia="en-US"/>
        </w:rPr>
        <w:t xml:space="preserve">that </w:t>
      </w:r>
      <w:r w:rsidRPr="00C337EC">
        <w:rPr>
          <w:lang w:eastAsia="en-US"/>
        </w:rPr>
        <w:t xml:space="preserve">those with higher educational attainment also achieve higher numeracy and literacy proficiency. Fourth, it shows that there is significant variation </w:t>
      </w:r>
      <w:r w:rsidR="00E17139">
        <w:rPr>
          <w:lang w:eastAsia="en-US"/>
        </w:rPr>
        <w:t>in</w:t>
      </w:r>
      <w:r w:rsidRPr="00C337EC">
        <w:rPr>
          <w:lang w:eastAsia="en-US"/>
        </w:rPr>
        <w:t xml:space="preserve"> the relationship between educational attainment and basic competences across countries, and explores which education systems and education system features are successful in supporting young people to gain and maintain competences at upper secondary and tertiary level.</w:t>
      </w:r>
    </w:p>
    <w:p w:rsidR="00322524" w:rsidRPr="00C337EC" w:rsidRDefault="00322524" w:rsidP="00322524">
      <w:pPr>
        <w:pStyle w:val="Heading2"/>
      </w:pPr>
      <w:bookmarkStart w:id="13" w:name="_Toc435802053"/>
      <w:r>
        <w:t>1.2</w:t>
      </w:r>
      <w:r w:rsidRPr="00C337EC">
        <w:t xml:space="preserve"> Defining</w:t>
      </w:r>
      <w:r>
        <w:t xml:space="preserve"> skills and competences</w:t>
      </w:r>
      <w:bookmarkEnd w:id="13"/>
    </w:p>
    <w:p w:rsidR="00322524" w:rsidRPr="008D6B28" w:rsidRDefault="00322524" w:rsidP="00322524">
      <w:pPr>
        <w:autoSpaceDE w:val="0"/>
        <w:autoSpaceDN w:val="0"/>
        <w:adjustRightInd w:val="0"/>
        <w:spacing w:after="120" w:line="288" w:lineRule="auto"/>
        <w:rPr>
          <w:rFonts w:cs="TimesNewRoman,Italic"/>
          <w:iCs/>
          <w:szCs w:val="20"/>
        </w:rPr>
      </w:pPr>
      <w:r w:rsidRPr="008D6B28">
        <w:rPr>
          <w:rFonts w:cs="TimesNewRoman,Italic"/>
          <w:iCs/>
          <w:szCs w:val="20"/>
        </w:rPr>
        <w:t>In line with the OECD PIAAC definition (2013c: 94) competences in the context of this study are understood “as the application and use of knowledge and skills in common life situation</w:t>
      </w:r>
      <w:r w:rsidR="00E17139">
        <w:rPr>
          <w:rFonts w:cs="TimesNewRoman,Italic"/>
          <w:iCs/>
          <w:szCs w:val="20"/>
        </w:rPr>
        <w:t>s</w:t>
      </w:r>
      <w:r w:rsidRPr="008D6B28">
        <w:rPr>
          <w:rFonts w:cs="TimesNewRoman,Italic"/>
          <w:iCs/>
          <w:szCs w:val="20"/>
        </w:rPr>
        <w:t xml:space="preserve"> as opposed to the mastery of a body of knowledge or a repertoire of techniques”. </w:t>
      </w:r>
      <w:r w:rsidR="00E17139">
        <w:rPr>
          <w:rFonts w:cs="TimesNewRoman,Italic"/>
          <w:iCs/>
          <w:szCs w:val="20"/>
        </w:rPr>
        <w:t>Compared</w:t>
      </w:r>
      <w:r w:rsidRPr="008D6B28">
        <w:rPr>
          <w:rFonts w:cs="TimesNewRoman,Italic"/>
          <w:iCs/>
          <w:szCs w:val="20"/>
        </w:rPr>
        <w:t xml:space="preserve"> to skills, competences are understood to encompass a broader concept, which includes the application of knowledge, skills and attitudes in real life contexts. However, it should be noted that in many cases – in particular in the EU policy literature – skills and competences are used interchangeably. For the purpose of this study, we define basic competences operationally, i.e. the numeracy and literacy competence as assessed through PIAAC. In this context, skills and competences are used interchangeably throughout the</w:t>
      </w:r>
      <w:r w:rsidR="00086C05">
        <w:rPr>
          <w:rFonts w:cs="TimesNewRoman,Italic"/>
          <w:iCs/>
          <w:szCs w:val="20"/>
        </w:rPr>
        <w:t xml:space="preserve"> report</w:t>
      </w:r>
      <w:r w:rsidRPr="008D6B28">
        <w:rPr>
          <w:rFonts w:cs="TimesNewRoman,Italic"/>
          <w:iCs/>
          <w:szCs w:val="20"/>
        </w:rPr>
        <w:t>.</w:t>
      </w:r>
    </w:p>
    <w:p w:rsidR="00322524" w:rsidRPr="00C337EC" w:rsidRDefault="00322524" w:rsidP="00322524">
      <w:pPr>
        <w:pStyle w:val="Heading2"/>
      </w:pPr>
      <w:bookmarkStart w:id="14" w:name="_Toc435802054"/>
      <w:r>
        <w:t>1.3</w:t>
      </w:r>
      <w:r w:rsidRPr="00C337EC">
        <w:t xml:space="preserve"> Methodology for this study</w:t>
      </w:r>
      <w:bookmarkEnd w:id="14"/>
    </w:p>
    <w:p w:rsidR="00322524" w:rsidRPr="003F4687" w:rsidRDefault="00322524" w:rsidP="00322524">
      <w:pPr>
        <w:pStyle w:val="BodyText"/>
        <w:spacing w:line="288" w:lineRule="auto"/>
      </w:pPr>
      <w:r w:rsidRPr="00C337EC">
        <w:t>The results of this study were produced using a range of quantitative data sources and methodologies, a multi-level/panel data analysis using PIAAC micro-data and a difference-in-difference analysis using PIAAC data aggregated at country level. The detailed methodology</w:t>
      </w:r>
      <w:r>
        <w:t xml:space="preserve"> and data sources</w:t>
      </w:r>
      <w:r w:rsidRPr="003F4687">
        <w:t xml:space="preserve"> used are described in each subchapter.</w:t>
      </w:r>
      <w:r>
        <w:t xml:space="preserve"> Additionally, three qualitative country case studies on Denmark, France and Spain were conducted and included a review of the relevant literature and key informant interviews. Evidence from the case studies is presented throughout the report to contextualise the quantitative findings.</w:t>
      </w:r>
      <w:r w:rsidR="001C3DCB">
        <w:t xml:space="preserve"> The study was carried out with the support of a Scientific Committee composed of </w:t>
      </w:r>
      <w:r w:rsidR="001C3DCB" w:rsidRPr="005936AE">
        <w:t>Prof. Richard Desjardins, Prof. Beatrice Rammstedt</w:t>
      </w:r>
      <w:r w:rsidR="001C3DCB">
        <w:t>, Dr. Silke Schneider</w:t>
      </w:r>
      <w:r w:rsidR="001C3DCB" w:rsidRPr="005936AE">
        <w:t xml:space="preserve"> and Prof. Patrick Werquin</w:t>
      </w:r>
      <w:r w:rsidR="001C3DCB">
        <w:t xml:space="preserve">. </w:t>
      </w:r>
      <w:r>
        <w:t xml:space="preserve">A full description of the methodology for this study can be consulted </w:t>
      </w:r>
      <w:r w:rsidRPr="00086C05">
        <w:t>in Annex II.</w:t>
      </w:r>
    </w:p>
    <w:p w:rsidR="00322524" w:rsidRPr="00607484" w:rsidRDefault="00322524" w:rsidP="00322524">
      <w:pPr>
        <w:pStyle w:val="Heading2"/>
      </w:pPr>
      <w:bookmarkStart w:id="15" w:name="_Toc435802055"/>
      <w:r>
        <w:t>1.4</w:t>
      </w:r>
      <w:r w:rsidRPr="003F4687">
        <w:t xml:space="preserve"> Structure of this report</w:t>
      </w:r>
      <w:bookmarkEnd w:id="15"/>
    </w:p>
    <w:p w:rsidR="00322524" w:rsidRPr="000F5DA3" w:rsidRDefault="00322524" w:rsidP="00322524">
      <w:pPr>
        <w:pStyle w:val="BodyText"/>
        <w:spacing w:line="288" w:lineRule="auto"/>
      </w:pPr>
      <w:r w:rsidRPr="000F5DA3">
        <w:t>This report is structured as follows:</w:t>
      </w:r>
    </w:p>
    <w:p w:rsidR="00322524" w:rsidRPr="000F5DA3" w:rsidRDefault="00322524" w:rsidP="00322524">
      <w:pPr>
        <w:pStyle w:val="BodyText"/>
        <w:spacing w:line="288" w:lineRule="auto"/>
      </w:pPr>
      <w:r w:rsidRPr="000F5DA3">
        <w:t xml:space="preserve">The current </w:t>
      </w:r>
      <w:r w:rsidRPr="00322524">
        <w:rPr>
          <w:b/>
          <w:color w:val="1F497D" w:themeColor="text2"/>
        </w:rPr>
        <w:t>Chapter One</w:t>
      </w:r>
      <w:r w:rsidRPr="00322524">
        <w:rPr>
          <w:color w:val="1F497D" w:themeColor="text2"/>
        </w:rPr>
        <w:t xml:space="preserve"> </w:t>
      </w:r>
      <w:r w:rsidRPr="000F5DA3">
        <w:t>provides an introduction to the report, including the main aims of the study and methodology used;</w:t>
      </w:r>
    </w:p>
    <w:p w:rsidR="00322524" w:rsidRPr="000F5DA3" w:rsidRDefault="00322524" w:rsidP="00322524">
      <w:pPr>
        <w:pStyle w:val="BodyText"/>
        <w:spacing w:line="288" w:lineRule="auto"/>
      </w:pPr>
      <w:r w:rsidRPr="00322524">
        <w:rPr>
          <w:b/>
          <w:color w:val="1F497D" w:themeColor="text2"/>
        </w:rPr>
        <w:t>Chapter Two</w:t>
      </w:r>
      <w:r w:rsidRPr="00322524">
        <w:rPr>
          <w:color w:val="1F497D" w:themeColor="text2"/>
        </w:rPr>
        <w:t xml:space="preserve"> </w:t>
      </w:r>
      <w:r w:rsidRPr="000F5DA3">
        <w:t xml:space="preserve">provides an introduction to the key data source for this study – the OECD’s </w:t>
      </w:r>
      <w:r w:rsidR="00FE2D45">
        <w:t>S</w:t>
      </w:r>
      <w:r w:rsidRPr="000F5DA3">
        <w:t xml:space="preserve">urvey of </w:t>
      </w:r>
      <w:r w:rsidR="00FE2D45">
        <w:t>A</w:t>
      </w:r>
      <w:r w:rsidRPr="000F5DA3">
        <w:t xml:space="preserve">dult </w:t>
      </w:r>
      <w:r w:rsidR="00FE2D45">
        <w:t>S</w:t>
      </w:r>
      <w:r w:rsidRPr="000F5DA3">
        <w:t>kills;</w:t>
      </w:r>
    </w:p>
    <w:p w:rsidR="00322524" w:rsidRPr="000F5DA3" w:rsidRDefault="00322524" w:rsidP="00322524">
      <w:pPr>
        <w:pStyle w:val="BodyText"/>
        <w:spacing w:line="288" w:lineRule="auto"/>
      </w:pPr>
      <w:r w:rsidRPr="00322524">
        <w:rPr>
          <w:b/>
          <w:color w:val="1F497D" w:themeColor="text2"/>
        </w:rPr>
        <w:t>Chapter Three</w:t>
      </w:r>
      <w:r w:rsidRPr="00322524">
        <w:rPr>
          <w:color w:val="1F497D" w:themeColor="text2"/>
        </w:rPr>
        <w:t xml:space="preserve"> </w:t>
      </w:r>
      <w:r w:rsidR="00FE2D45">
        <w:t>sets out</w:t>
      </w:r>
      <w:r w:rsidR="00FE2D45" w:rsidRPr="000F5DA3">
        <w:t xml:space="preserve"> </w:t>
      </w:r>
      <w:r w:rsidRPr="000F5DA3">
        <w:t>an overview of the competences of young adults in Europe, making reference to both average competence levels and their distribution, and presents a typology of countries with similar results across the two dimensions of average proficiency and dispersion;</w:t>
      </w:r>
    </w:p>
    <w:p w:rsidR="00322524" w:rsidRPr="000F5DA3" w:rsidRDefault="00322524" w:rsidP="00322524">
      <w:pPr>
        <w:pStyle w:val="BodyText"/>
        <w:spacing w:line="288" w:lineRule="auto"/>
      </w:pPr>
      <w:r w:rsidRPr="00322524">
        <w:rPr>
          <w:b/>
          <w:color w:val="1F497D" w:themeColor="text2"/>
        </w:rPr>
        <w:t>Chapter Four</w:t>
      </w:r>
      <w:r w:rsidRPr="00322524">
        <w:rPr>
          <w:color w:val="1F497D" w:themeColor="text2"/>
        </w:rPr>
        <w:t xml:space="preserve"> </w:t>
      </w:r>
      <w:r>
        <w:t xml:space="preserve">discusses the </w:t>
      </w:r>
      <w:r w:rsidRPr="000F5DA3">
        <w:t>evidence for educational expansion in Europe using Eurostat data and investigates, using PIAAC and IALS data, if this expansion has been accompanied by an equal expansion of competences of young people;</w:t>
      </w:r>
    </w:p>
    <w:p w:rsidR="00322524" w:rsidRPr="00607484" w:rsidRDefault="00322524" w:rsidP="00322524">
      <w:pPr>
        <w:pStyle w:val="BodyText"/>
        <w:spacing w:line="288" w:lineRule="auto"/>
      </w:pPr>
      <w:r w:rsidRPr="00322524">
        <w:rPr>
          <w:b/>
          <w:color w:val="1F497D" w:themeColor="text2"/>
        </w:rPr>
        <w:t>Chapter Five</w:t>
      </w:r>
      <w:r w:rsidRPr="00322524">
        <w:rPr>
          <w:color w:val="1F497D" w:themeColor="text2"/>
        </w:rPr>
        <w:t xml:space="preserve"> </w:t>
      </w:r>
      <w:r w:rsidRPr="000F5DA3">
        <w:t xml:space="preserve">investigates the link between educational attainment and competences. It gives a brief review of the literature before analysing the link </w:t>
      </w:r>
      <w:r w:rsidRPr="00607484">
        <w:t>between competences and educational attainment and its variation across countries;</w:t>
      </w:r>
    </w:p>
    <w:p w:rsidR="00322524" w:rsidRPr="00607484" w:rsidRDefault="00322524" w:rsidP="00322524">
      <w:pPr>
        <w:pStyle w:val="BodyText"/>
        <w:spacing w:line="288" w:lineRule="auto"/>
      </w:pPr>
      <w:r w:rsidRPr="00322524">
        <w:rPr>
          <w:b/>
          <w:color w:val="1F497D" w:themeColor="text2"/>
        </w:rPr>
        <w:t>Chapter Six</w:t>
      </w:r>
      <w:r w:rsidRPr="00322524">
        <w:rPr>
          <w:color w:val="1F497D" w:themeColor="text2"/>
        </w:rPr>
        <w:t xml:space="preserve"> </w:t>
      </w:r>
      <w:r w:rsidR="00FE2D45">
        <w:t>explores</w:t>
      </w:r>
      <w:r w:rsidR="00FE2D45" w:rsidRPr="00607484">
        <w:t xml:space="preserve"> </w:t>
      </w:r>
      <w:r w:rsidRPr="00607484">
        <w:t>which types of education systems or specific features of education systems enable young people to gain and maintain competences at upper secondary and tertiary level</w:t>
      </w:r>
      <w:r w:rsidR="00FE2D45">
        <w:t>;</w:t>
      </w:r>
    </w:p>
    <w:p w:rsidR="00322524" w:rsidRPr="00607484" w:rsidRDefault="00322524" w:rsidP="00322524">
      <w:pPr>
        <w:pStyle w:val="BodyText"/>
        <w:spacing w:line="288" w:lineRule="auto"/>
        <w:rPr>
          <w:rFonts w:cstheme="minorBidi"/>
          <w:szCs w:val="22"/>
        </w:rPr>
      </w:pPr>
      <w:r w:rsidRPr="00322524">
        <w:rPr>
          <w:b/>
          <w:color w:val="1F497D" w:themeColor="text2"/>
        </w:rPr>
        <w:t>Chapter Seven</w:t>
      </w:r>
      <w:r w:rsidRPr="00322524">
        <w:rPr>
          <w:color w:val="1F497D" w:themeColor="text2"/>
        </w:rPr>
        <w:t xml:space="preserve"> </w:t>
      </w:r>
      <w:r w:rsidRPr="00607484">
        <w:t xml:space="preserve">provides a concluding discussion of the key findings and </w:t>
      </w:r>
      <w:r w:rsidR="00FE2D45">
        <w:t>sets out</w:t>
      </w:r>
      <w:r w:rsidR="00FE2D45" w:rsidRPr="00607484">
        <w:t xml:space="preserve"> </w:t>
      </w:r>
      <w:r w:rsidRPr="00607484">
        <w:t xml:space="preserve">policy recommendations in three areas: </w:t>
      </w:r>
      <w:r w:rsidRPr="00607484">
        <w:rPr>
          <w:rFonts w:cs="Arial"/>
          <w:szCs w:val="20"/>
        </w:rPr>
        <w:t>1) improvement of the quality and effectiveness of formal education; 2) improving or adjusting the comparability of formal educational qualification and their classification;</w:t>
      </w:r>
      <w:r w:rsidR="00FE2D45">
        <w:rPr>
          <w:rFonts w:cs="Arial"/>
          <w:szCs w:val="20"/>
        </w:rPr>
        <w:t xml:space="preserve"> and,</w:t>
      </w:r>
      <w:r w:rsidRPr="00607484">
        <w:rPr>
          <w:rFonts w:cs="Arial"/>
          <w:szCs w:val="20"/>
        </w:rPr>
        <w:t xml:space="preserve"> 3) improving and further developing international assessment of competences. </w:t>
      </w:r>
    </w:p>
    <w:p w:rsidR="00F2695A" w:rsidRDefault="00F2695A">
      <w:pPr>
        <w:jc w:val="left"/>
        <w:rPr>
          <w:rFonts w:cs="Arial"/>
          <w:b/>
          <w:bCs/>
          <w:color w:val="263673"/>
          <w:kern w:val="32"/>
          <w:sz w:val="28"/>
          <w:szCs w:val="32"/>
        </w:rPr>
      </w:pPr>
      <w:bookmarkStart w:id="16" w:name="_Toc435802056"/>
      <w:r>
        <w:br w:type="page"/>
      </w:r>
    </w:p>
    <w:p w:rsidR="00D9745B" w:rsidRDefault="003A6B85" w:rsidP="00322524">
      <w:pPr>
        <w:pStyle w:val="Heading1"/>
      </w:pPr>
      <w:r>
        <w:t>2</w:t>
      </w:r>
      <w:r w:rsidR="00363088">
        <w:t xml:space="preserve">. </w:t>
      </w:r>
      <w:r w:rsidR="00D9745B">
        <w:t>PIAAC - Assessing adult competences</w:t>
      </w:r>
      <w:r w:rsidR="00FB68D8">
        <w:t xml:space="preserve"> and educational attainment</w:t>
      </w:r>
      <w:bookmarkEnd w:id="16"/>
    </w:p>
    <w:p w:rsidR="00463FA9" w:rsidRDefault="000D6AD8" w:rsidP="000E4E30">
      <w:pPr>
        <w:pStyle w:val="BodyText"/>
        <w:spacing w:line="288" w:lineRule="auto"/>
        <w:rPr>
          <w:lang w:eastAsia="en-US"/>
        </w:rPr>
      </w:pPr>
      <w:r>
        <w:rPr>
          <w:lang w:eastAsia="en-US"/>
        </w:rPr>
        <w:t>The</w:t>
      </w:r>
      <w:r w:rsidR="00463FA9">
        <w:rPr>
          <w:lang w:eastAsia="en-US"/>
        </w:rPr>
        <w:t xml:space="preserve"> focus of policy-making has traditionally been on enhancing educational attainment levels,</w:t>
      </w:r>
      <w:r>
        <w:rPr>
          <w:lang w:eastAsia="en-US"/>
        </w:rPr>
        <w:t xml:space="preserve"> however</w:t>
      </w:r>
      <w:r w:rsidR="00463FA9">
        <w:rPr>
          <w:lang w:eastAsia="en-US"/>
        </w:rPr>
        <w:t xml:space="preserve"> r</w:t>
      </w:r>
      <w:r w:rsidR="00463FA9" w:rsidRPr="005936AE">
        <w:rPr>
          <w:lang w:eastAsia="en-US"/>
        </w:rPr>
        <w:t>esearch increasingly suggests that skills</w:t>
      </w:r>
      <w:r w:rsidR="00DD68FA">
        <w:rPr>
          <w:lang w:eastAsia="en-US"/>
        </w:rPr>
        <w:t xml:space="preserve"> and competences, rather than</w:t>
      </w:r>
      <w:r w:rsidR="00463FA9" w:rsidRPr="005936AE">
        <w:rPr>
          <w:lang w:eastAsia="en-US"/>
        </w:rPr>
        <w:t xml:space="preserve"> merely formal educational attainment, are </w:t>
      </w:r>
      <w:r w:rsidR="00DD68FA">
        <w:rPr>
          <w:lang w:eastAsia="en-US"/>
        </w:rPr>
        <w:t xml:space="preserve">better </w:t>
      </w:r>
      <w:r w:rsidR="00463FA9" w:rsidRPr="005936AE">
        <w:rPr>
          <w:lang w:eastAsia="en-US"/>
        </w:rPr>
        <w:t>predictors of individual life-chances</w:t>
      </w:r>
      <w:r w:rsidR="00463FA9">
        <w:rPr>
          <w:lang w:eastAsia="en-US"/>
        </w:rPr>
        <w:t xml:space="preserve">, such as life-time </w:t>
      </w:r>
      <w:r w:rsidR="00463FA9" w:rsidRPr="005936AE">
        <w:rPr>
          <w:lang w:eastAsia="en-US"/>
        </w:rPr>
        <w:t>earnings (Woessmann 2014, Hanushek et al 2015) and social outcomes such as political trust or volunteering (Da Costa et al 2014).</w:t>
      </w:r>
      <w:r w:rsidR="00463FA9">
        <w:rPr>
          <w:lang w:eastAsia="en-US"/>
        </w:rPr>
        <w:t xml:space="preserve"> Accordingly, policy-makers are </w:t>
      </w:r>
      <w:r w:rsidR="00DD68FA">
        <w:rPr>
          <w:lang w:eastAsia="en-US"/>
        </w:rPr>
        <w:t xml:space="preserve">increasingly </w:t>
      </w:r>
      <w:r w:rsidR="00463FA9">
        <w:rPr>
          <w:lang w:eastAsia="en-US"/>
        </w:rPr>
        <w:t xml:space="preserve">interested </w:t>
      </w:r>
      <w:r w:rsidR="00FB68D8">
        <w:rPr>
          <w:lang w:eastAsia="en-US"/>
        </w:rPr>
        <w:t xml:space="preserve">in </w:t>
      </w:r>
      <w:r w:rsidR="00DD68FA">
        <w:rPr>
          <w:lang w:eastAsia="en-US"/>
        </w:rPr>
        <w:t xml:space="preserve">understanding and developing </w:t>
      </w:r>
      <w:r w:rsidR="00463FA9">
        <w:rPr>
          <w:lang w:eastAsia="en-US"/>
        </w:rPr>
        <w:t xml:space="preserve">their populations’ competences and skills, rather than </w:t>
      </w:r>
      <w:r w:rsidR="00DD68FA">
        <w:rPr>
          <w:lang w:eastAsia="en-US"/>
        </w:rPr>
        <w:t xml:space="preserve">only </w:t>
      </w:r>
      <w:r w:rsidR="00463FA9">
        <w:rPr>
          <w:lang w:eastAsia="en-US"/>
        </w:rPr>
        <w:t>their educational attainment.</w:t>
      </w:r>
    </w:p>
    <w:p w:rsidR="00C84FC3" w:rsidRDefault="00463FA9" w:rsidP="000E4E30">
      <w:pPr>
        <w:autoSpaceDE w:val="0"/>
        <w:autoSpaceDN w:val="0"/>
        <w:adjustRightInd w:val="0"/>
        <w:spacing w:after="120" w:line="288" w:lineRule="auto"/>
        <w:rPr>
          <w:lang w:eastAsia="en-US"/>
        </w:rPr>
      </w:pPr>
      <w:r>
        <w:rPr>
          <w:lang w:eastAsia="en-US"/>
        </w:rPr>
        <w:t xml:space="preserve">However, conceptualising and assessing competences </w:t>
      </w:r>
      <w:r w:rsidR="00FB68D8">
        <w:rPr>
          <w:lang w:eastAsia="en-US"/>
        </w:rPr>
        <w:t>is</w:t>
      </w:r>
      <w:r>
        <w:rPr>
          <w:lang w:eastAsia="en-US"/>
        </w:rPr>
        <w:t xml:space="preserve"> </w:t>
      </w:r>
      <w:r w:rsidR="00DD68FA">
        <w:rPr>
          <w:lang w:eastAsia="en-US"/>
        </w:rPr>
        <w:t xml:space="preserve">a </w:t>
      </w:r>
      <w:r>
        <w:rPr>
          <w:lang w:eastAsia="en-US"/>
        </w:rPr>
        <w:t>challenging task, in particular from a</w:t>
      </w:r>
      <w:r w:rsidR="000D6AD8">
        <w:rPr>
          <w:lang w:eastAsia="en-US"/>
        </w:rPr>
        <w:t xml:space="preserve"> </w:t>
      </w:r>
      <w:r w:rsidR="00DD68FA">
        <w:rPr>
          <w:lang w:eastAsia="en-US"/>
        </w:rPr>
        <w:t xml:space="preserve">comparative </w:t>
      </w:r>
      <w:r w:rsidR="00713D80">
        <w:rPr>
          <w:lang w:eastAsia="en-US"/>
        </w:rPr>
        <w:t xml:space="preserve">cross-country </w:t>
      </w:r>
      <w:r>
        <w:rPr>
          <w:lang w:eastAsia="en-US"/>
        </w:rPr>
        <w:t>perspective.</w:t>
      </w:r>
      <w:r w:rsidR="00FB68D8">
        <w:rPr>
          <w:lang w:eastAsia="en-US"/>
        </w:rPr>
        <w:t xml:space="preserve"> Since 2013, n</w:t>
      </w:r>
      <w:r w:rsidRPr="005936AE">
        <w:rPr>
          <w:lang w:eastAsia="en-US"/>
        </w:rPr>
        <w:t xml:space="preserve">ew data </w:t>
      </w:r>
      <w:r w:rsidR="00DD68FA">
        <w:rPr>
          <w:lang w:eastAsia="en-US"/>
        </w:rPr>
        <w:t>from</w:t>
      </w:r>
      <w:r w:rsidRPr="005936AE">
        <w:rPr>
          <w:lang w:eastAsia="en-US"/>
        </w:rPr>
        <w:t xml:space="preserve"> the OECD’s Survey of Adult Skills (SAS), produced within the context of the OECD Programme for the International Assessment of Adult Competencies (PIAAC), </w:t>
      </w:r>
      <w:r w:rsidR="000D6AD8">
        <w:rPr>
          <w:lang w:eastAsia="en-US"/>
        </w:rPr>
        <w:t>provides</w:t>
      </w:r>
      <w:r w:rsidR="00FB68D8">
        <w:rPr>
          <w:lang w:eastAsia="en-US"/>
        </w:rPr>
        <w:t xml:space="preserve"> empirical evidence on the competences of </w:t>
      </w:r>
      <w:r w:rsidRPr="005936AE">
        <w:rPr>
          <w:lang w:eastAsia="en-US"/>
        </w:rPr>
        <w:t>160,000 adults (age 16-65) across 24 countries in a number of information processing contexts – namely literacy, numeracy and problem solving in technology-rich environments (OECD 2013a). 17 European Member States took part in PIAAC.</w:t>
      </w:r>
      <w:r w:rsidR="00FB68D8">
        <w:rPr>
          <w:lang w:eastAsia="en-US"/>
        </w:rPr>
        <w:t xml:space="preserve"> Using PIAAC data, this</w:t>
      </w:r>
      <w:r w:rsidR="000D6AD8">
        <w:rPr>
          <w:lang w:eastAsia="en-US"/>
        </w:rPr>
        <w:t xml:space="preserve"> report</w:t>
      </w:r>
      <w:r w:rsidRPr="00FB68D8">
        <w:rPr>
          <w:lang w:eastAsia="en-US"/>
        </w:rPr>
        <w:t xml:space="preserve"> defines competences operationally, i.e. numeracy and literacy competences </w:t>
      </w:r>
      <w:r w:rsidR="00DD68FA" w:rsidRPr="00FB68D8">
        <w:rPr>
          <w:lang w:eastAsia="en-US"/>
        </w:rPr>
        <w:t xml:space="preserve">as measured </w:t>
      </w:r>
      <w:r w:rsidR="00DD68FA">
        <w:rPr>
          <w:lang w:eastAsia="en-US"/>
        </w:rPr>
        <w:t>in</w:t>
      </w:r>
      <w:r w:rsidR="00DD68FA" w:rsidRPr="00FB68D8">
        <w:rPr>
          <w:lang w:eastAsia="en-US"/>
        </w:rPr>
        <w:t xml:space="preserve"> PIAAC </w:t>
      </w:r>
      <w:r w:rsidR="00DD68FA">
        <w:rPr>
          <w:lang w:eastAsia="en-US"/>
        </w:rPr>
        <w:t>which</w:t>
      </w:r>
      <w:r w:rsidRPr="00FB68D8">
        <w:rPr>
          <w:lang w:eastAsia="en-US"/>
        </w:rPr>
        <w:t xml:space="preserve"> young people possess.</w:t>
      </w:r>
    </w:p>
    <w:p w:rsidR="00363088" w:rsidRDefault="008C375C" w:rsidP="000E4E30">
      <w:pPr>
        <w:autoSpaceDE w:val="0"/>
        <w:autoSpaceDN w:val="0"/>
        <w:adjustRightInd w:val="0"/>
        <w:spacing w:after="120" w:line="288" w:lineRule="auto"/>
        <w:rPr>
          <w:rFonts w:cs="Arial"/>
          <w:szCs w:val="20"/>
        </w:rPr>
      </w:pPr>
      <w:r w:rsidRPr="005B7890">
        <w:rPr>
          <w:rFonts w:cs="Arial"/>
          <w:noProof/>
          <w:szCs w:val="20"/>
          <w:lang w:val="en-US" w:eastAsia="en-US"/>
        </w:rPr>
        <mc:AlternateContent>
          <mc:Choice Requires="wps">
            <w:drawing>
              <wp:inline distT="0" distB="0" distL="0" distR="0" wp14:anchorId="4109799B" wp14:editId="238B045B">
                <wp:extent cx="5580000" cy="3941380"/>
                <wp:effectExtent l="38100" t="38100" r="135255" b="135890"/>
                <wp:docPr id="12"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3941380"/>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F20283">
                            <w:pPr>
                              <w:spacing w:after="120" w:line="288" w:lineRule="auto"/>
                              <w:jc w:val="center"/>
                              <w:rPr>
                                <w:b/>
                              </w:rPr>
                            </w:pPr>
                            <w:r w:rsidRPr="00EB1A32">
                              <w:rPr>
                                <w:b/>
                              </w:rPr>
                              <w:t>Key findings</w:t>
                            </w:r>
                          </w:p>
                          <w:p w:rsidR="00394EBA" w:rsidRDefault="00394EBA" w:rsidP="00651009">
                            <w:pPr>
                              <w:pStyle w:val="ListParagraph"/>
                              <w:numPr>
                                <w:ilvl w:val="0"/>
                                <w:numId w:val="53"/>
                              </w:numPr>
                              <w:spacing w:after="120" w:line="288" w:lineRule="auto"/>
                            </w:pPr>
                            <w:r w:rsidRPr="00F20283">
                              <w:t>PIAAC assesses three domains of cognitive skills: literacy, numeracy and problem solving in technology-rich environments (ICT)</w:t>
                            </w:r>
                            <w:r>
                              <w:t>.</w:t>
                            </w:r>
                          </w:p>
                          <w:p w:rsidR="00394EBA" w:rsidRDefault="00394EBA" w:rsidP="00651009">
                            <w:pPr>
                              <w:pStyle w:val="ListParagraph"/>
                              <w:numPr>
                                <w:ilvl w:val="0"/>
                                <w:numId w:val="53"/>
                              </w:numPr>
                              <w:spacing w:after="120" w:line="288" w:lineRule="auto"/>
                            </w:pPr>
                            <w:r>
                              <w:t>It assesses basic and general skills, rather than advanced and specific skills.</w:t>
                            </w:r>
                          </w:p>
                          <w:p w:rsidR="00394EBA" w:rsidRDefault="00394EBA" w:rsidP="00651009">
                            <w:pPr>
                              <w:pStyle w:val="ListParagraph"/>
                              <w:numPr>
                                <w:ilvl w:val="0"/>
                                <w:numId w:val="53"/>
                              </w:numPr>
                              <w:spacing w:after="120" w:line="288" w:lineRule="auto"/>
                            </w:pPr>
                            <w:r>
                              <w:t>Results are measured on a 500 point scale. The scale has been divided into 6 proficiency levels.</w:t>
                            </w:r>
                          </w:p>
                          <w:p w:rsidR="00394EBA" w:rsidRDefault="00394EBA" w:rsidP="00651009">
                            <w:pPr>
                              <w:pStyle w:val="ListParagraph"/>
                              <w:numPr>
                                <w:ilvl w:val="0"/>
                                <w:numId w:val="53"/>
                              </w:numPr>
                              <w:spacing w:after="120" w:line="288" w:lineRule="auto"/>
                            </w:pPr>
                            <w:r>
                              <w:t>Data was collected using a computer-based assessment at the home of the respondents. An extensive background questionnaire was also completed.</w:t>
                            </w:r>
                          </w:p>
                          <w:p w:rsidR="00394EBA" w:rsidRDefault="00394EBA" w:rsidP="00651009">
                            <w:pPr>
                              <w:pStyle w:val="ListParagraph"/>
                              <w:numPr>
                                <w:ilvl w:val="0"/>
                                <w:numId w:val="53"/>
                              </w:numPr>
                              <w:spacing w:after="120" w:line="288" w:lineRule="auto"/>
                            </w:pPr>
                            <w:r>
                              <w:t>In PIAAC, educational attainment is captured using the International Standard Classification of Education (ISCED 1997).</w:t>
                            </w:r>
                          </w:p>
                          <w:p w:rsidR="00394EBA" w:rsidRPr="00F20283" w:rsidRDefault="00394EBA" w:rsidP="00651009">
                            <w:pPr>
                              <w:pStyle w:val="ListParagraph"/>
                              <w:numPr>
                                <w:ilvl w:val="0"/>
                                <w:numId w:val="53"/>
                              </w:numPr>
                              <w:spacing w:after="120" w:line="288" w:lineRule="auto"/>
                            </w:pPr>
                            <w:r>
                              <w:t xml:space="preserve">It is important to understand the limitations of both the assessment of competences using PIAAC, in particular what it does and does not measure, and the ISCED classification, in particular difficulties arising from the comparability of qualifications. </w:t>
                            </w:r>
                          </w:p>
                          <w:p w:rsidR="00394EBA" w:rsidRDefault="00394EBA" w:rsidP="008C375C">
                            <w:pPr>
                              <w:jc w:val="center"/>
                              <w:rPr>
                                <w:b/>
                              </w:rPr>
                            </w:pPr>
                          </w:p>
                          <w:p w:rsidR="00394EBA" w:rsidRDefault="00394EBA" w:rsidP="008C375C">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4109799B" id="Rectangle 396" o:spid="_x0000_s1033" style="width:439.35pt;height:310.3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" fillcolor="#c6d9f1 [671]" strokecolor="gray [1629]" strokeweight="1.5pt">
                <v:shadow on="t" type="perspective" color="black" opacity="26214f" origin="-.5,-.5" offset=".74836mm,.74836mm" matrix="65864f,,,65864f"/>
                <v:textbox inset="21.6pt,21.6pt,21.6pt,21.6pt">
                  <w:txbxContent>
                    <w:p w:rsidR="00394EBA" w:rsidRDefault="00394EBA" w:rsidP="00F20283">
                      <w:pPr>
                        <w:spacing w:after="120" w:line="288" w:lineRule="auto"/>
                        <w:jc w:val="center"/>
                        <w:rPr>
                          <w:b/>
                        </w:rPr>
                      </w:pPr>
                      <w:r w:rsidRPr="00EB1A32">
                        <w:rPr>
                          <w:b/>
                        </w:rPr>
                        <w:t>Key findings</w:t>
                      </w:r>
                    </w:p>
                    <w:p w:rsidR="00394EBA" w:rsidRDefault="00394EBA" w:rsidP="00651009">
                      <w:pPr>
                        <w:pStyle w:val="ListParagraph"/>
                        <w:numPr>
                          <w:ilvl w:val="0"/>
                          <w:numId w:val="53"/>
                        </w:numPr>
                        <w:spacing w:after="120" w:line="288" w:lineRule="auto"/>
                      </w:pPr>
                      <w:r w:rsidRPr="00F20283">
                        <w:t>PIAAC assesses three domains of cognitive skills: literacy, numeracy and problem solving in technology-rich environments (ICT)</w:t>
                      </w:r>
                      <w:r>
                        <w:t>.</w:t>
                      </w:r>
                    </w:p>
                    <w:p w:rsidR="00394EBA" w:rsidRDefault="00394EBA" w:rsidP="00651009">
                      <w:pPr>
                        <w:pStyle w:val="ListParagraph"/>
                        <w:numPr>
                          <w:ilvl w:val="0"/>
                          <w:numId w:val="53"/>
                        </w:numPr>
                        <w:spacing w:after="120" w:line="288" w:lineRule="auto"/>
                      </w:pPr>
                      <w:r>
                        <w:t>It assesses basic and general skills, rather than advanced and specific skills.</w:t>
                      </w:r>
                    </w:p>
                    <w:p w:rsidR="00394EBA" w:rsidRDefault="00394EBA" w:rsidP="00651009">
                      <w:pPr>
                        <w:pStyle w:val="ListParagraph"/>
                        <w:numPr>
                          <w:ilvl w:val="0"/>
                          <w:numId w:val="53"/>
                        </w:numPr>
                        <w:spacing w:after="120" w:line="288" w:lineRule="auto"/>
                      </w:pPr>
                      <w:r>
                        <w:t>Results are measured on a 500 point scale. The scale has been divided into 6 proficiency levels.</w:t>
                      </w:r>
                    </w:p>
                    <w:p w:rsidR="00394EBA" w:rsidRDefault="00394EBA" w:rsidP="00651009">
                      <w:pPr>
                        <w:pStyle w:val="ListParagraph"/>
                        <w:numPr>
                          <w:ilvl w:val="0"/>
                          <w:numId w:val="53"/>
                        </w:numPr>
                        <w:spacing w:after="120" w:line="288" w:lineRule="auto"/>
                      </w:pPr>
                      <w:r>
                        <w:t>Data was collected using a computer-based assessment at the home of the respondents. An extensive background questionnaire was also completed.</w:t>
                      </w:r>
                    </w:p>
                    <w:p w:rsidR="00394EBA" w:rsidRDefault="00394EBA" w:rsidP="00651009">
                      <w:pPr>
                        <w:pStyle w:val="ListParagraph"/>
                        <w:numPr>
                          <w:ilvl w:val="0"/>
                          <w:numId w:val="53"/>
                        </w:numPr>
                        <w:spacing w:after="120" w:line="288" w:lineRule="auto"/>
                      </w:pPr>
                      <w:r>
                        <w:t>In PIAAC, educational attainment is captured using the International Standard Classification of Education (ISCED 1997).</w:t>
                      </w:r>
                    </w:p>
                    <w:p w:rsidR="00394EBA" w:rsidRPr="00F20283" w:rsidRDefault="00394EBA" w:rsidP="00651009">
                      <w:pPr>
                        <w:pStyle w:val="ListParagraph"/>
                        <w:numPr>
                          <w:ilvl w:val="0"/>
                          <w:numId w:val="53"/>
                        </w:numPr>
                        <w:spacing w:after="120" w:line="288" w:lineRule="auto"/>
                      </w:pPr>
                      <w:r>
                        <w:t xml:space="preserve">It is important to understand the limitations of both the assessment of competences using PIAAC, in particular what it does and does not measure, and the ISCED classification, in particular difficulties arising from the comparability of qualifications. </w:t>
                      </w:r>
                    </w:p>
                    <w:p w:rsidR="00394EBA" w:rsidRDefault="00394EBA" w:rsidP="008C375C">
                      <w:pPr>
                        <w:jc w:val="center"/>
                        <w:rPr>
                          <w:b/>
                        </w:rPr>
                      </w:pPr>
                    </w:p>
                    <w:p w:rsidR="00394EBA" w:rsidRDefault="00394EBA" w:rsidP="008C375C">
                      <w:pPr>
                        <w:rPr>
                          <w:color w:val="4F81BD" w:themeColor="accent1"/>
                          <w:szCs w:val="20"/>
                        </w:rPr>
                      </w:pPr>
                    </w:p>
                  </w:txbxContent>
                </v:textbox>
                <w10:anchorlock/>
              </v:rect>
            </w:pict>
          </mc:Fallback>
        </mc:AlternateContent>
      </w:r>
      <w:r w:rsidRPr="004F7DD2">
        <w:rPr>
          <w:rFonts w:cs="Arial"/>
          <w:szCs w:val="20"/>
        </w:rPr>
        <w:t xml:space="preserve"> </w:t>
      </w:r>
    </w:p>
    <w:p w:rsidR="00376A75" w:rsidRDefault="00914531" w:rsidP="00376A75">
      <w:pPr>
        <w:pStyle w:val="Heading2"/>
      </w:pPr>
      <w:bookmarkStart w:id="17" w:name="_Toc427154742"/>
      <w:bookmarkStart w:id="18" w:name="_Toc427232469"/>
      <w:bookmarkStart w:id="19" w:name="_Toc435802057"/>
      <w:r>
        <w:t xml:space="preserve">2.1 </w:t>
      </w:r>
      <w:r w:rsidR="00D9745B" w:rsidRPr="002E793E">
        <w:t>How PIAAC assesses competences</w:t>
      </w:r>
      <w:bookmarkEnd w:id="17"/>
      <w:bookmarkEnd w:id="18"/>
      <w:bookmarkEnd w:id="19"/>
    </w:p>
    <w:p w:rsidR="00376A75" w:rsidRPr="00376A75" w:rsidRDefault="00376A75" w:rsidP="00376A75">
      <w:pPr>
        <w:pStyle w:val="BodyText"/>
        <w:spacing w:line="288" w:lineRule="auto"/>
        <w:rPr>
          <w:szCs w:val="20"/>
          <w:lang w:eastAsia="en-US"/>
        </w:rPr>
      </w:pPr>
      <w:r w:rsidRPr="00376A75">
        <w:rPr>
          <w:szCs w:val="20"/>
          <w:lang w:eastAsia="en-US"/>
        </w:rPr>
        <w:t>PIAAC is designed to increase the evidence base on the stock of competences in the population by providing a direct measurement of key cognitive skills and internationally comparable (OECD 2013b). It is the third of a series of international adult skills surveys which have been implemented since the mid-1990s by OECD countries and was preceded by the International Adult Literacy Survey (IALS) (1994-98) and the Adult Literacy and Lifeskills Survey (ALL) (2003-06). PIAAC has been designed so that data can be linked to IALS and ALL in the domain of literacy and ALL in numeracy (OECD 2013a).</w:t>
      </w:r>
    </w:p>
    <w:p w:rsidR="00D9745B" w:rsidRPr="00FB68D8" w:rsidRDefault="00D9745B" w:rsidP="000E4E30">
      <w:pPr>
        <w:autoSpaceDE w:val="0"/>
        <w:autoSpaceDN w:val="0"/>
        <w:adjustRightInd w:val="0"/>
        <w:spacing w:after="120" w:line="288" w:lineRule="auto"/>
        <w:rPr>
          <w:rFonts w:cs="Arial"/>
          <w:szCs w:val="20"/>
        </w:rPr>
      </w:pPr>
      <w:r w:rsidRPr="00FB68D8">
        <w:rPr>
          <w:szCs w:val="20"/>
        </w:rPr>
        <w:t>PIAAC assesses</w:t>
      </w:r>
      <w:r w:rsidR="00AF30EE">
        <w:rPr>
          <w:szCs w:val="20"/>
        </w:rPr>
        <w:t xml:space="preserve"> three ‘domains’</w:t>
      </w:r>
      <w:r w:rsidRPr="00FB68D8">
        <w:rPr>
          <w:szCs w:val="20"/>
        </w:rPr>
        <w:t xml:space="preserve"> of cognitive skills which, according to the OECD, represent “cross-cutting cognitive skills that provide a foundation for effective and successful participation in the social and economic life of advanced economies” (OECD 2012: p. 9). A comprehensive conceptualisation can be found in OECD (2012), but domains are in sum defined as</w:t>
      </w:r>
      <w:r w:rsidRPr="00FB68D8">
        <w:rPr>
          <w:rFonts w:cs="Arial"/>
          <w:szCs w:val="20"/>
        </w:rPr>
        <w:t>:</w:t>
      </w:r>
    </w:p>
    <w:p w:rsidR="00D9745B" w:rsidRPr="00FB68D8" w:rsidRDefault="00D9745B" w:rsidP="00A05A88">
      <w:pPr>
        <w:pStyle w:val="BodyText"/>
        <w:numPr>
          <w:ilvl w:val="0"/>
          <w:numId w:val="22"/>
        </w:numPr>
        <w:spacing w:line="288" w:lineRule="auto"/>
        <w:rPr>
          <w:rFonts w:cs="Arial"/>
          <w:szCs w:val="20"/>
          <w:lang w:eastAsia="en-US"/>
        </w:rPr>
      </w:pPr>
      <w:r w:rsidRPr="00FB68D8">
        <w:rPr>
          <w:rFonts w:cs="Arial"/>
          <w:szCs w:val="20"/>
          <w:lang w:eastAsia="en-US"/>
        </w:rPr>
        <w:t>Literacy: “understanding, evaluating, using and engaging with written texts to participate in society, to achieve one’s goals, and to develop one’s knowledge and potential.”</w:t>
      </w:r>
    </w:p>
    <w:p w:rsidR="00D9745B" w:rsidRPr="00FB68D8" w:rsidRDefault="00D9745B" w:rsidP="00A05A88">
      <w:pPr>
        <w:pStyle w:val="BodyText"/>
        <w:numPr>
          <w:ilvl w:val="0"/>
          <w:numId w:val="22"/>
        </w:numPr>
        <w:spacing w:line="288" w:lineRule="auto"/>
        <w:rPr>
          <w:rFonts w:cs="Arial"/>
          <w:szCs w:val="20"/>
          <w:lang w:eastAsia="en-US"/>
        </w:rPr>
      </w:pPr>
      <w:r w:rsidRPr="00FB68D8">
        <w:rPr>
          <w:rFonts w:cs="Arial"/>
          <w:szCs w:val="20"/>
          <w:lang w:eastAsia="en-US"/>
        </w:rPr>
        <w:t>Numeracy: “the ability to access, use, interpret and communicate mathematical information and ideas, in order to engage in and manage the mathematical demands of a range of situations in adult life.”</w:t>
      </w:r>
    </w:p>
    <w:p w:rsidR="00D9745B" w:rsidRPr="00FB68D8" w:rsidRDefault="00D9745B" w:rsidP="00A05A88">
      <w:pPr>
        <w:pStyle w:val="BodyText"/>
        <w:numPr>
          <w:ilvl w:val="0"/>
          <w:numId w:val="22"/>
        </w:numPr>
        <w:spacing w:line="288" w:lineRule="auto"/>
        <w:rPr>
          <w:rFonts w:cs="Arial"/>
          <w:szCs w:val="20"/>
          <w:lang w:eastAsia="en-US"/>
        </w:rPr>
      </w:pPr>
      <w:r w:rsidRPr="00FB68D8">
        <w:rPr>
          <w:rFonts w:cs="Arial"/>
          <w:szCs w:val="20"/>
          <w:lang w:eastAsia="en-US"/>
        </w:rPr>
        <w:t>Problem solving in technology-rich environments: “using digital technology, communication tools and networks to acquire and evaluate information, communicate with others and perform practical tasks.”</w:t>
      </w:r>
    </w:p>
    <w:p w:rsidR="000D6AD8" w:rsidRDefault="00D9745B" w:rsidP="000E4E30">
      <w:pPr>
        <w:spacing w:after="120" w:line="288" w:lineRule="auto"/>
        <w:rPr>
          <w:szCs w:val="20"/>
        </w:rPr>
      </w:pPr>
      <w:r w:rsidRPr="00FB68D8">
        <w:rPr>
          <w:szCs w:val="20"/>
        </w:rPr>
        <w:t>In each of the three domains, proficiency is conceptualised as a continuum of ability involving the mastery of information-processing tasks of increasing complexity. The results are measured on a 500-point scale and</w:t>
      </w:r>
      <w:r w:rsidR="00AF30EE">
        <w:rPr>
          <w:szCs w:val="20"/>
        </w:rPr>
        <w:t xml:space="preserve"> scales have been divided into ‘proficiency levels’</w:t>
      </w:r>
      <w:r w:rsidRPr="00FB68D8">
        <w:rPr>
          <w:szCs w:val="20"/>
        </w:rPr>
        <w:t xml:space="preserve"> (see also </w:t>
      </w:r>
      <w:r w:rsidR="00445957">
        <w:rPr>
          <w:szCs w:val="20"/>
        </w:rPr>
        <w:t>C</w:t>
      </w:r>
      <w:r w:rsidR="00F20283">
        <w:rPr>
          <w:szCs w:val="20"/>
        </w:rPr>
        <w:t>hapter</w:t>
      </w:r>
      <w:r w:rsidR="00445957">
        <w:rPr>
          <w:szCs w:val="20"/>
        </w:rPr>
        <w:t xml:space="preserve"> Three</w:t>
      </w:r>
      <w:r w:rsidRPr="00FB68D8">
        <w:rPr>
          <w:szCs w:val="20"/>
        </w:rPr>
        <w:t xml:space="preserve"> below). </w:t>
      </w:r>
    </w:p>
    <w:p w:rsidR="00D9745B" w:rsidRPr="00FB68D8" w:rsidRDefault="0013237D" w:rsidP="0013237D">
      <w:pPr>
        <w:autoSpaceDE w:val="0"/>
        <w:autoSpaceDN w:val="0"/>
        <w:adjustRightInd w:val="0"/>
        <w:spacing w:after="120" w:line="288" w:lineRule="auto"/>
        <w:rPr>
          <w:szCs w:val="20"/>
        </w:rPr>
      </w:pPr>
      <w:r w:rsidRPr="00FB68D8">
        <w:rPr>
          <w:szCs w:val="20"/>
          <w:lang w:eastAsia="en-US"/>
        </w:rPr>
        <w:t>Question items are designed to relate to real world</w:t>
      </w:r>
      <w:r w:rsidR="002F182B">
        <w:rPr>
          <w:szCs w:val="20"/>
          <w:lang w:eastAsia="en-US"/>
        </w:rPr>
        <w:t xml:space="preserve"> </w:t>
      </w:r>
      <w:r w:rsidRPr="00FB68D8">
        <w:rPr>
          <w:szCs w:val="20"/>
          <w:lang w:eastAsia="en-US"/>
        </w:rPr>
        <w:t xml:space="preserve">problems of the survey population, such as interpreting graphs (numeracy skills) or extracting information from a short pieces of text, such as a set of instructions (literacy skills). </w:t>
      </w:r>
      <w:r w:rsidR="00D9745B" w:rsidRPr="0013237D">
        <w:rPr>
          <w:szCs w:val="20"/>
        </w:rPr>
        <w:t xml:space="preserve">It should be noted that PIAAC assesses </w:t>
      </w:r>
      <w:r w:rsidR="00D9745B" w:rsidRPr="0013237D">
        <w:rPr>
          <w:b/>
          <w:color w:val="1F497D" w:themeColor="text2"/>
          <w:szCs w:val="20"/>
        </w:rPr>
        <w:t>basic and general skills</w:t>
      </w:r>
      <w:r>
        <w:rPr>
          <w:szCs w:val="20"/>
        </w:rPr>
        <w:t xml:space="preserve">, rather than skills that </w:t>
      </w:r>
      <w:r w:rsidR="00D9745B" w:rsidRPr="0013237D">
        <w:rPr>
          <w:szCs w:val="20"/>
        </w:rPr>
        <w:t>are advanced and specific (Heising/Solga 2014: p. 3).</w:t>
      </w:r>
      <w:r w:rsidR="000D6AD8" w:rsidRPr="0013237D">
        <w:rPr>
          <w:szCs w:val="20"/>
        </w:rPr>
        <w:t xml:space="preserve"> </w:t>
      </w:r>
      <w:r w:rsidRPr="0013237D">
        <w:rPr>
          <w:szCs w:val="20"/>
        </w:rPr>
        <w:t>More advanced competences were not tested in PIAAC. For example, in the numeracy domain, the focus was on everyday tasks involving numerical operations such as correctly interpreting bar charts that might appear in newspaper articles or government brochures. It was not on solving problems that require</w:t>
      </w:r>
      <w:r w:rsidR="002F182B">
        <w:rPr>
          <w:szCs w:val="20"/>
        </w:rPr>
        <w:t xml:space="preserve"> for example</w:t>
      </w:r>
      <w:r w:rsidRPr="0013237D">
        <w:rPr>
          <w:szCs w:val="20"/>
        </w:rPr>
        <w:t xml:space="preserve"> knowledge of inferential statistics or calculus. This may limit the ability to ascertain competence differentials in the upper part of the educational</w:t>
      </w:r>
      <w:r w:rsidR="00234B21">
        <w:rPr>
          <w:szCs w:val="20"/>
        </w:rPr>
        <w:t xml:space="preserve"> distribution (Heisig/Solga 2015</w:t>
      </w:r>
      <w:r w:rsidRPr="0013237D">
        <w:rPr>
          <w:szCs w:val="20"/>
        </w:rPr>
        <w:t>).</w:t>
      </w:r>
      <w:r w:rsidR="00445458">
        <w:rPr>
          <w:szCs w:val="20"/>
          <w:lang w:eastAsia="en-US"/>
        </w:rPr>
        <w:t xml:space="preserve"> </w:t>
      </w:r>
    </w:p>
    <w:p w:rsidR="00D9745B" w:rsidRDefault="00D9745B" w:rsidP="000E4E30">
      <w:pPr>
        <w:autoSpaceDE w:val="0"/>
        <w:autoSpaceDN w:val="0"/>
        <w:adjustRightInd w:val="0"/>
        <w:spacing w:after="120" w:line="288" w:lineRule="auto"/>
        <w:rPr>
          <w:rFonts w:cs="Arial"/>
          <w:szCs w:val="20"/>
        </w:rPr>
      </w:pPr>
      <w:r w:rsidRPr="00FB68D8">
        <w:rPr>
          <w:rFonts w:cs="Arial"/>
          <w:szCs w:val="20"/>
        </w:rPr>
        <w:t>PIAAC was implemented as a computer-based assessment at the homes of the respondents. This presented the opportunity to include</w:t>
      </w:r>
      <w:r w:rsidR="002F182B">
        <w:rPr>
          <w:rFonts w:cs="Arial"/>
          <w:szCs w:val="20"/>
        </w:rPr>
        <w:t>:</w:t>
      </w:r>
      <w:r w:rsidRPr="00FB68D8">
        <w:rPr>
          <w:rFonts w:cs="Arial"/>
          <w:szCs w:val="20"/>
          <w:lang w:eastAsia="en-US"/>
        </w:rPr>
        <w:t xml:space="preserve"> technology-based texts and environments, reflecting the range of materials that many adults encounter in their everyday lives; more reliable computer-based scoring; </w:t>
      </w:r>
      <w:r w:rsidR="002F182B">
        <w:rPr>
          <w:rFonts w:cs="Arial"/>
          <w:szCs w:val="20"/>
          <w:lang w:eastAsia="en-US"/>
        </w:rPr>
        <w:t xml:space="preserve">and, </w:t>
      </w:r>
      <w:r w:rsidRPr="00FB68D8">
        <w:rPr>
          <w:rFonts w:cs="Arial"/>
          <w:szCs w:val="20"/>
          <w:lang w:eastAsia="en-US"/>
        </w:rPr>
        <w:t xml:space="preserve">the use of adaptive algorithms to optimise the delivery of test items within a domain to estimate proficiency levels of individuals, thereby allowing PIAAC to provide more reliable information about skills in a relatively short period of time </w:t>
      </w:r>
      <w:r w:rsidRPr="00FB68D8">
        <w:rPr>
          <w:rFonts w:cs="Arial"/>
          <w:szCs w:val="20"/>
        </w:rPr>
        <w:t xml:space="preserve">(OECD 2013a). In addition to the skills assessments, survey participants </w:t>
      </w:r>
      <w:r w:rsidR="002F182B">
        <w:rPr>
          <w:rFonts w:cs="Arial"/>
          <w:szCs w:val="20"/>
        </w:rPr>
        <w:t>complet</w:t>
      </w:r>
      <w:r w:rsidR="002F182B" w:rsidRPr="00FB68D8">
        <w:rPr>
          <w:rFonts w:cs="Arial"/>
          <w:szCs w:val="20"/>
        </w:rPr>
        <w:t xml:space="preserve">ed </w:t>
      </w:r>
      <w:r w:rsidRPr="00FB68D8">
        <w:rPr>
          <w:rFonts w:cs="Arial"/>
          <w:szCs w:val="20"/>
        </w:rPr>
        <w:t>an extensive background questionnaire, including</w:t>
      </w:r>
      <w:r w:rsidR="00445458">
        <w:rPr>
          <w:rFonts w:cs="Arial"/>
          <w:szCs w:val="20"/>
        </w:rPr>
        <w:t xml:space="preserve"> the provision of</w:t>
      </w:r>
      <w:r w:rsidRPr="00FB68D8">
        <w:rPr>
          <w:rFonts w:cs="Arial"/>
          <w:szCs w:val="20"/>
        </w:rPr>
        <w:t xml:space="preserve"> </w:t>
      </w:r>
      <w:r w:rsidR="00D436F9">
        <w:rPr>
          <w:rFonts w:cs="Arial"/>
          <w:szCs w:val="20"/>
        </w:rPr>
        <w:t xml:space="preserve">some </w:t>
      </w:r>
      <w:r w:rsidRPr="00FB68D8">
        <w:rPr>
          <w:rFonts w:cs="Arial"/>
          <w:szCs w:val="20"/>
        </w:rPr>
        <w:t xml:space="preserve">information on educational background, current and past work experience, social and linguistic background, literacy and numeracy practices, as well as skill use at work and home. </w:t>
      </w:r>
    </w:p>
    <w:p w:rsidR="00945463" w:rsidRPr="00945463" w:rsidRDefault="00914531" w:rsidP="00363088">
      <w:pPr>
        <w:pStyle w:val="Heading3"/>
      </w:pPr>
      <w:bookmarkStart w:id="20" w:name="_Toc432873740"/>
      <w:bookmarkStart w:id="21" w:name="_Toc435620137"/>
      <w:bookmarkStart w:id="22" w:name="_Toc435802058"/>
      <w:r>
        <w:t xml:space="preserve">2.1.1 </w:t>
      </w:r>
      <w:r w:rsidR="008850AF">
        <w:t>Limitations</w:t>
      </w:r>
      <w:bookmarkEnd w:id="20"/>
      <w:bookmarkEnd w:id="21"/>
      <w:bookmarkEnd w:id="22"/>
    </w:p>
    <w:p w:rsidR="00945463" w:rsidRPr="00945463" w:rsidRDefault="00945463" w:rsidP="000E4E30">
      <w:pPr>
        <w:spacing w:after="120" w:line="288" w:lineRule="auto"/>
        <w:rPr>
          <w:rFonts w:cs="Arial"/>
          <w:szCs w:val="20"/>
          <w:lang w:eastAsia="en-US"/>
        </w:rPr>
      </w:pPr>
      <w:r w:rsidRPr="00945463">
        <w:rPr>
          <w:rFonts w:cs="Arial"/>
          <w:szCs w:val="20"/>
          <w:lang w:eastAsia="en-US"/>
        </w:rPr>
        <w:t>The design and implementation of PIAAC was guided by expert-developed technical standards and guidelines to ensure that the survey yielded high-quality and internationally comparable data. Compliance with the technical standards was mandatory and monitored throughout the process (OECD 2013a). This included for example the requirement for extensive analysis of non-responses in countries, where the response rate was below 70% (Rammstedt/Mahler 2014) and measurement equivalence across c</w:t>
      </w:r>
      <w:r w:rsidR="00445458">
        <w:rPr>
          <w:rFonts w:cs="Arial"/>
          <w:szCs w:val="20"/>
          <w:lang w:eastAsia="en-US"/>
        </w:rPr>
        <w:t>ultural and linguistic contexts, which is crucial for the comparability of results.</w:t>
      </w:r>
      <w:r w:rsidRPr="00945463">
        <w:rPr>
          <w:rFonts w:cs="Arial"/>
          <w:szCs w:val="20"/>
          <w:lang w:eastAsia="en-US"/>
        </w:rPr>
        <w:t xml:space="preserve"> Thorn (2009) argues that International Adult Literacy and Basic Skills Surveys in the OECD region were explicitly developed as international or cross-national assessments designed to provide valid and reliable measures of proficiency across different countries, languages and cultures. He described the efforts made in ensuring that the assessments are, as far as is possible, culturally and linguistically unbiased. Stimulus materials and ideas for tasks were solicited from a wide a range of contributors. Standards were established regarding the translation and adaptation of items. Translations and adaptations were centrally verified and item performance was rigorously tested.</w:t>
      </w:r>
    </w:p>
    <w:p w:rsidR="00945463" w:rsidRPr="00945463" w:rsidRDefault="00945463" w:rsidP="000E4E30">
      <w:pPr>
        <w:autoSpaceDE w:val="0"/>
        <w:autoSpaceDN w:val="0"/>
        <w:adjustRightInd w:val="0"/>
        <w:spacing w:after="120" w:line="288" w:lineRule="auto"/>
        <w:rPr>
          <w:rFonts w:cs="Arial"/>
          <w:szCs w:val="20"/>
          <w:lang w:eastAsia="en-US"/>
        </w:rPr>
      </w:pPr>
      <w:r w:rsidRPr="00945463">
        <w:rPr>
          <w:rFonts w:cs="Arial"/>
          <w:szCs w:val="20"/>
          <w:lang w:eastAsia="en-US"/>
        </w:rPr>
        <w:t>However, others have questioned the measurement equivalence across countries, in particular how well the definitions of competences fit adults’ lives in any particular country (Evans 2014) and the ability of the PISA and PIAAC surveys to measure people’s capacity to use skills and knowledge in real everyday challenges given the differences in culture, social activities and work methods between and within countries (Serentill and Palma 2014). Additionally, some have criticised errors found in questions and answers. Serentill and Palma (2014) found errors in the answers to calculation and reading understanding questions.</w:t>
      </w:r>
    </w:p>
    <w:p w:rsidR="00945463" w:rsidRPr="00945463" w:rsidRDefault="00945463" w:rsidP="000E4E30">
      <w:pPr>
        <w:autoSpaceDE w:val="0"/>
        <w:autoSpaceDN w:val="0"/>
        <w:adjustRightInd w:val="0"/>
        <w:spacing w:after="120" w:line="288" w:lineRule="auto"/>
        <w:rPr>
          <w:rFonts w:cs="Arial"/>
          <w:szCs w:val="20"/>
          <w:lang w:eastAsia="en-US"/>
        </w:rPr>
      </w:pPr>
      <w:r w:rsidRPr="00945463">
        <w:rPr>
          <w:rFonts w:cs="Arial"/>
          <w:szCs w:val="20"/>
          <w:lang w:eastAsia="en-US"/>
        </w:rPr>
        <w:t xml:space="preserve">As previously </w:t>
      </w:r>
      <w:r w:rsidR="00835171">
        <w:rPr>
          <w:rFonts w:cs="Arial"/>
          <w:szCs w:val="20"/>
          <w:lang w:eastAsia="en-US"/>
        </w:rPr>
        <w:t xml:space="preserve">for </w:t>
      </w:r>
      <w:r w:rsidRPr="00945463">
        <w:rPr>
          <w:rFonts w:cs="Arial"/>
          <w:szCs w:val="20"/>
          <w:lang w:eastAsia="en-US"/>
        </w:rPr>
        <w:t>PISA, PIAAC has also been criticised with regards to what it does and does not measure:</w:t>
      </w:r>
    </w:p>
    <w:p w:rsidR="00945463" w:rsidRPr="00945463" w:rsidRDefault="00945463" w:rsidP="00A05A88">
      <w:pPr>
        <w:pStyle w:val="ListParagraph"/>
        <w:numPr>
          <w:ilvl w:val="0"/>
          <w:numId w:val="26"/>
        </w:numPr>
        <w:autoSpaceDE w:val="0"/>
        <w:autoSpaceDN w:val="0"/>
        <w:adjustRightInd w:val="0"/>
        <w:spacing w:after="120" w:line="288" w:lineRule="auto"/>
        <w:rPr>
          <w:rFonts w:cs="Arial"/>
          <w:szCs w:val="20"/>
          <w:lang w:eastAsia="en-US"/>
        </w:rPr>
      </w:pPr>
      <w:r w:rsidRPr="00945463">
        <w:rPr>
          <w:rFonts w:cs="Arial"/>
          <w:szCs w:val="20"/>
          <w:lang w:eastAsia="en-US"/>
        </w:rPr>
        <w:t xml:space="preserve">The survey has been criticised for being limited in that it directly measures only part of the cognitive skills and not other abilities required for adults such as interpersonal skills and creativity (Palmen 2014). Indeed, Andreas Schleicher, Director for Education and Skills at the OECD, </w:t>
      </w:r>
      <w:r w:rsidR="00835171">
        <w:rPr>
          <w:rFonts w:cs="Arial"/>
          <w:szCs w:val="20"/>
          <w:lang w:eastAsia="en-US"/>
        </w:rPr>
        <w:t>has confirmed that</w:t>
      </w:r>
      <w:r w:rsidR="00835171" w:rsidRPr="00945463">
        <w:rPr>
          <w:rFonts w:cs="Arial"/>
          <w:szCs w:val="20"/>
          <w:lang w:eastAsia="en-US"/>
        </w:rPr>
        <w:t xml:space="preserve"> </w:t>
      </w:r>
      <w:r w:rsidRPr="00945463">
        <w:rPr>
          <w:rFonts w:cs="Arial"/>
          <w:szCs w:val="20"/>
          <w:lang w:eastAsia="en-US"/>
        </w:rPr>
        <w:t>work</w:t>
      </w:r>
      <w:r w:rsidR="00835171">
        <w:rPr>
          <w:rFonts w:cs="Arial"/>
          <w:szCs w:val="20"/>
          <w:lang w:eastAsia="en-US"/>
        </w:rPr>
        <w:t xml:space="preserve"> is</w:t>
      </w:r>
      <w:r w:rsidRPr="00945463">
        <w:rPr>
          <w:rFonts w:cs="Arial"/>
          <w:szCs w:val="20"/>
          <w:lang w:eastAsia="en-US"/>
        </w:rPr>
        <w:t xml:space="preserve"> underway to expand the framework of competences (Hackl 2014).</w:t>
      </w:r>
    </w:p>
    <w:p w:rsidR="00945463" w:rsidRPr="0013237D" w:rsidRDefault="00835171" w:rsidP="00A05A88">
      <w:pPr>
        <w:pStyle w:val="ListParagraph"/>
        <w:numPr>
          <w:ilvl w:val="0"/>
          <w:numId w:val="26"/>
        </w:numPr>
        <w:autoSpaceDE w:val="0"/>
        <w:autoSpaceDN w:val="0"/>
        <w:adjustRightInd w:val="0"/>
        <w:spacing w:after="120" w:line="288" w:lineRule="auto"/>
        <w:rPr>
          <w:rFonts w:cs="Arial"/>
          <w:szCs w:val="20"/>
          <w:lang w:eastAsia="en-US"/>
        </w:rPr>
      </w:pPr>
      <w:r>
        <w:rPr>
          <w:rFonts w:cs="Arial"/>
          <w:szCs w:val="20"/>
          <w:lang w:eastAsia="en-US"/>
        </w:rPr>
        <w:t xml:space="preserve">PIAAC measures </w:t>
      </w:r>
      <w:r w:rsidR="00445458">
        <w:rPr>
          <w:rFonts w:cs="Arial"/>
          <w:szCs w:val="20"/>
          <w:lang w:eastAsia="en-US"/>
        </w:rPr>
        <w:t xml:space="preserve">skills </w:t>
      </w:r>
      <w:r>
        <w:rPr>
          <w:rFonts w:cs="Arial"/>
          <w:szCs w:val="20"/>
          <w:lang w:eastAsia="en-US"/>
        </w:rPr>
        <w:t xml:space="preserve">which </w:t>
      </w:r>
      <w:r w:rsidR="00445458">
        <w:rPr>
          <w:rFonts w:cs="Arial"/>
          <w:szCs w:val="20"/>
          <w:lang w:eastAsia="en-US"/>
        </w:rPr>
        <w:t>are</w:t>
      </w:r>
      <w:r w:rsidR="00945463" w:rsidRPr="00945463">
        <w:rPr>
          <w:rFonts w:cs="Arial"/>
          <w:szCs w:val="20"/>
          <w:lang w:eastAsia="en-US"/>
        </w:rPr>
        <w:t xml:space="preserve"> reflective of the content of general education programmes, </w:t>
      </w:r>
      <w:r>
        <w:rPr>
          <w:rFonts w:cs="Arial"/>
          <w:szCs w:val="20"/>
          <w:lang w:eastAsia="en-US"/>
        </w:rPr>
        <w:t>rather than</w:t>
      </w:r>
      <w:r w:rsidR="00445458">
        <w:rPr>
          <w:rFonts w:cs="Arial"/>
          <w:szCs w:val="20"/>
          <w:lang w:eastAsia="en-US"/>
        </w:rPr>
        <w:t xml:space="preserve"> VET-specific skills. This may be one of the reasons behind the fact that</w:t>
      </w:r>
      <w:r w:rsidR="0013237D">
        <w:rPr>
          <w:rFonts w:cs="Arial"/>
          <w:szCs w:val="20"/>
          <w:lang w:eastAsia="en-US"/>
        </w:rPr>
        <w:t xml:space="preserve"> adults </w:t>
      </w:r>
      <w:r w:rsidR="00945463" w:rsidRPr="0013237D">
        <w:rPr>
          <w:rFonts w:cs="Arial"/>
          <w:szCs w:val="20"/>
          <w:lang w:eastAsia="en-US"/>
        </w:rPr>
        <w:t xml:space="preserve">with upper-secondary VET qualifications generally have lower levels of literacy and numeracy proficiency than people with general upper-secondary education, </w:t>
      </w:r>
      <w:r w:rsidR="0013237D">
        <w:rPr>
          <w:rFonts w:cs="Arial"/>
          <w:szCs w:val="20"/>
          <w:lang w:eastAsia="en-US"/>
        </w:rPr>
        <w:t>as has been found in previous research</w:t>
      </w:r>
      <w:r w:rsidR="00945463" w:rsidRPr="0013237D">
        <w:rPr>
          <w:rFonts w:cs="Arial"/>
          <w:szCs w:val="20"/>
          <w:lang w:eastAsia="en-US"/>
        </w:rPr>
        <w:t xml:space="preserve"> (</w:t>
      </w:r>
      <w:r w:rsidR="0013237D">
        <w:rPr>
          <w:rFonts w:cs="Arial"/>
          <w:szCs w:val="20"/>
          <w:lang w:eastAsia="en-US"/>
        </w:rPr>
        <w:t xml:space="preserve">see </w:t>
      </w:r>
      <w:r w:rsidR="00945463" w:rsidRPr="0013237D">
        <w:rPr>
          <w:rFonts w:cs="Arial"/>
          <w:szCs w:val="20"/>
          <w:lang w:eastAsia="en-US"/>
        </w:rPr>
        <w:t>Cedefop 2014).</w:t>
      </w:r>
    </w:p>
    <w:p w:rsidR="0013237D" w:rsidRDefault="00945463" w:rsidP="00A05A88">
      <w:pPr>
        <w:pStyle w:val="ListParagraph"/>
        <w:numPr>
          <w:ilvl w:val="0"/>
          <w:numId w:val="26"/>
        </w:numPr>
        <w:autoSpaceDE w:val="0"/>
        <w:autoSpaceDN w:val="0"/>
        <w:adjustRightInd w:val="0"/>
        <w:spacing w:after="120" w:line="288" w:lineRule="auto"/>
        <w:rPr>
          <w:rFonts w:cs="Arial"/>
          <w:szCs w:val="20"/>
          <w:lang w:eastAsia="en-US"/>
        </w:rPr>
      </w:pPr>
      <w:r w:rsidRPr="0013237D">
        <w:rPr>
          <w:rFonts w:cs="Arial"/>
          <w:szCs w:val="20"/>
          <w:lang w:eastAsia="en-US"/>
        </w:rPr>
        <w:t>The focus of PIAAC is</w:t>
      </w:r>
      <w:r w:rsidR="00835171">
        <w:rPr>
          <w:rFonts w:cs="Arial"/>
          <w:szCs w:val="20"/>
          <w:lang w:eastAsia="en-US"/>
        </w:rPr>
        <w:t xml:space="preserve"> only</w:t>
      </w:r>
      <w:r w:rsidRPr="0013237D">
        <w:rPr>
          <w:rFonts w:cs="Arial"/>
          <w:szCs w:val="20"/>
          <w:lang w:eastAsia="en-US"/>
        </w:rPr>
        <w:t xml:space="preserve"> on </w:t>
      </w:r>
      <w:r w:rsidR="00835171">
        <w:rPr>
          <w:rFonts w:cs="Arial"/>
          <w:szCs w:val="20"/>
          <w:lang w:eastAsia="en-US"/>
        </w:rPr>
        <w:t>specific</w:t>
      </w:r>
      <w:r w:rsidR="00835171" w:rsidRPr="0013237D">
        <w:rPr>
          <w:rFonts w:cs="Arial"/>
          <w:szCs w:val="20"/>
          <w:lang w:eastAsia="en-US"/>
        </w:rPr>
        <w:t xml:space="preserve"> </w:t>
      </w:r>
      <w:r w:rsidRPr="0013237D">
        <w:rPr>
          <w:rFonts w:cs="Arial"/>
          <w:szCs w:val="20"/>
          <w:lang w:eastAsia="en-US"/>
        </w:rPr>
        <w:t>aspects of literacy</w:t>
      </w:r>
      <w:r w:rsidR="0013237D" w:rsidRPr="0013237D">
        <w:rPr>
          <w:rFonts w:cs="Arial"/>
          <w:szCs w:val="20"/>
          <w:lang w:eastAsia="en-US"/>
        </w:rPr>
        <w:t xml:space="preserve"> and numeracy. Regarding literacy for example, </w:t>
      </w:r>
      <w:r w:rsidRPr="0013237D">
        <w:rPr>
          <w:rFonts w:cs="Arial"/>
          <w:szCs w:val="20"/>
          <w:lang w:eastAsia="en-US"/>
        </w:rPr>
        <w:t>the</w:t>
      </w:r>
      <w:r w:rsidR="0013237D" w:rsidRPr="0013237D">
        <w:rPr>
          <w:rFonts w:cs="Arial"/>
          <w:szCs w:val="20"/>
          <w:lang w:eastAsia="en-US"/>
        </w:rPr>
        <w:t xml:space="preserve"> focus lies on the understanding and use of texts, while w</w:t>
      </w:r>
      <w:r w:rsidRPr="0013237D">
        <w:rPr>
          <w:rFonts w:cs="Arial"/>
          <w:szCs w:val="20"/>
          <w:lang w:eastAsia="en-US"/>
        </w:rPr>
        <w:t>riting skills and the ability to produce or format documents is not assessed</w:t>
      </w:r>
      <w:r w:rsidR="0013237D" w:rsidRPr="0013237D">
        <w:rPr>
          <w:rFonts w:cs="Arial"/>
          <w:szCs w:val="20"/>
          <w:lang w:eastAsia="en-US"/>
        </w:rPr>
        <w:t xml:space="preserve"> (St Clair 2012)</w:t>
      </w:r>
      <w:r w:rsidRPr="0013237D">
        <w:rPr>
          <w:rFonts w:cs="Arial"/>
          <w:szCs w:val="20"/>
          <w:lang w:eastAsia="en-US"/>
        </w:rPr>
        <w:t xml:space="preserve">. According to Thorn (2009), international adult skills surveys do not assess writing because of practical difficulties, not because these skills are not considered as important aspects of literacy (Thorn 2009). </w:t>
      </w:r>
    </w:p>
    <w:p w:rsidR="00945463" w:rsidRPr="0013237D" w:rsidRDefault="00945463" w:rsidP="00A05A88">
      <w:pPr>
        <w:pStyle w:val="ListParagraph"/>
        <w:numPr>
          <w:ilvl w:val="0"/>
          <w:numId w:val="26"/>
        </w:numPr>
        <w:autoSpaceDE w:val="0"/>
        <w:autoSpaceDN w:val="0"/>
        <w:adjustRightInd w:val="0"/>
        <w:spacing w:after="120" w:line="288" w:lineRule="auto"/>
        <w:rPr>
          <w:rFonts w:cs="Arial"/>
          <w:szCs w:val="20"/>
          <w:lang w:eastAsia="en-US"/>
        </w:rPr>
      </w:pPr>
      <w:r w:rsidRPr="0013237D">
        <w:rPr>
          <w:rFonts w:cs="Arial"/>
          <w:szCs w:val="20"/>
          <w:lang w:eastAsia="en-US"/>
        </w:rPr>
        <w:t>Others have criticised the narrow definition of literacy measured by PIAAC and other similar surveys, and how well these surveys represent the literacy abilities and practices of adults (Hamilton 2001, Sticht 2013). For example, Sticht (2013) compared the results of international assessments such as IALS with self-assessments of literacy, and found that most adults who are found to have inadequate literacy in these t</w:t>
      </w:r>
      <w:r w:rsidR="00AF30EE">
        <w:rPr>
          <w:rFonts w:cs="Arial"/>
          <w:szCs w:val="20"/>
          <w:lang w:eastAsia="en-US"/>
        </w:rPr>
        <w:t>ests do not think they have a ‘literacy problem’</w:t>
      </w:r>
      <w:r w:rsidRPr="0013237D">
        <w:rPr>
          <w:rFonts w:cs="Arial"/>
          <w:szCs w:val="20"/>
          <w:lang w:eastAsia="en-US"/>
        </w:rPr>
        <w:t>.</w:t>
      </w:r>
    </w:p>
    <w:p w:rsidR="00945463" w:rsidRPr="00FB68D8" w:rsidRDefault="00945463" w:rsidP="000E4E30">
      <w:pPr>
        <w:spacing w:after="120" w:line="288" w:lineRule="auto"/>
        <w:rPr>
          <w:rFonts w:cs="Arial"/>
          <w:szCs w:val="20"/>
          <w:lang w:eastAsia="en-US"/>
        </w:rPr>
      </w:pPr>
      <w:r w:rsidRPr="00945463">
        <w:rPr>
          <w:rFonts w:cs="Arial"/>
          <w:szCs w:val="20"/>
          <w:lang w:eastAsia="en-US"/>
        </w:rPr>
        <w:t>Nonetheless, the PIAAC survey constitutes an improvement from earlier comparative assessments of adult com</w:t>
      </w:r>
      <w:r w:rsidR="00234B21">
        <w:rPr>
          <w:rFonts w:cs="Arial"/>
          <w:szCs w:val="20"/>
          <w:lang w:eastAsia="en-US"/>
        </w:rPr>
        <w:t>petences. Heisig and Solga (2015</w:t>
      </w:r>
      <w:r w:rsidRPr="00945463">
        <w:rPr>
          <w:rFonts w:cs="Arial"/>
          <w:szCs w:val="20"/>
          <w:lang w:eastAsia="en-US"/>
        </w:rPr>
        <w:t xml:space="preserve">) assert that the PIAAC data </w:t>
      </w:r>
      <w:r w:rsidR="00835171">
        <w:rPr>
          <w:rFonts w:cs="Arial"/>
          <w:szCs w:val="20"/>
          <w:lang w:eastAsia="en-US"/>
        </w:rPr>
        <w:t>is</w:t>
      </w:r>
      <w:r w:rsidR="00835171" w:rsidRPr="00945463">
        <w:rPr>
          <w:rFonts w:cs="Arial"/>
          <w:szCs w:val="20"/>
          <w:lang w:eastAsia="en-US"/>
        </w:rPr>
        <w:t xml:space="preserve"> </w:t>
      </w:r>
      <w:r w:rsidRPr="00945463">
        <w:rPr>
          <w:rFonts w:cs="Arial"/>
          <w:szCs w:val="20"/>
          <w:lang w:eastAsia="en-US"/>
        </w:rPr>
        <w:t>of much higher quality than IALS data. They state that the quality of competence measurements has advanced considerably since the mid-1990s, partly due to the advances spawned by the Programme for International Student Assessment (PISA).</w:t>
      </w:r>
    </w:p>
    <w:p w:rsidR="00D9745B" w:rsidRPr="00FB68D8" w:rsidRDefault="00DC200A" w:rsidP="00363088">
      <w:pPr>
        <w:pStyle w:val="Heading2"/>
      </w:pPr>
      <w:bookmarkStart w:id="23" w:name="_Toc427232470"/>
      <w:bookmarkStart w:id="24" w:name="_Toc435802059"/>
      <w:r>
        <w:t>2.</w:t>
      </w:r>
      <w:r w:rsidR="00914531">
        <w:t xml:space="preserve">2 </w:t>
      </w:r>
      <w:r w:rsidR="00D9745B" w:rsidRPr="00FB68D8">
        <w:t>How PIAAC captures educational attainment</w:t>
      </w:r>
      <w:bookmarkEnd w:id="23"/>
      <w:bookmarkEnd w:id="24"/>
    </w:p>
    <w:p w:rsidR="00D9745B" w:rsidRPr="00FB68D8" w:rsidRDefault="00D9745B" w:rsidP="000E4E30">
      <w:pPr>
        <w:pStyle w:val="BodyText"/>
        <w:spacing w:line="288" w:lineRule="auto"/>
        <w:rPr>
          <w:szCs w:val="20"/>
        </w:rPr>
      </w:pPr>
      <w:r w:rsidRPr="00FB68D8">
        <w:rPr>
          <w:szCs w:val="20"/>
        </w:rPr>
        <w:t>In PIAAC, educational attainment, defined as formal qualification levels, was captured using the International Standard Classification of Education (ISCED 1997) and assigned to 13 groups designed to be internationally comparable (Allen et al 2013: p.33)</w:t>
      </w:r>
      <w:r w:rsidR="002C6C4B" w:rsidRPr="00FB68D8">
        <w:rPr>
          <w:szCs w:val="20"/>
          <w:vertAlign w:val="superscript"/>
        </w:rPr>
        <w:footnoteRef/>
      </w:r>
      <w:r w:rsidRPr="00FB68D8">
        <w:rPr>
          <w:szCs w:val="20"/>
        </w:rPr>
        <w:t xml:space="preserve">. To be easily understood by PIAAC respondents, all questions pertaining to level of education were framed in terms of the qualifications currently or formerly available in the country concerned. </w:t>
      </w:r>
    </w:p>
    <w:p w:rsidR="00D9745B" w:rsidRPr="00945463" w:rsidRDefault="00D9745B" w:rsidP="000E4E30">
      <w:pPr>
        <w:pStyle w:val="Heading3"/>
        <w:spacing w:before="0" w:after="120" w:line="288" w:lineRule="auto"/>
        <w:rPr>
          <w:rFonts w:cs="Times New Roman"/>
          <w:b w:val="0"/>
          <w:bCs w:val="0"/>
          <w:color w:val="333333"/>
          <w:szCs w:val="20"/>
        </w:rPr>
      </w:pPr>
      <w:bookmarkStart w:id="25" w:name="_Toc432865477"/>
      <w:bookmarkStart w:id="26" w:name="_Toc432873742"/>
      <w:bookmarkStart w:id="27" w:name="_Toc435620139"/>
      <w:bookmarkStart w:id="28" w:name="_Toc435802060"/>
      <w:r w:rsidRPr="00945463">
        <w:rPr>
          <w:rFonts w:cs="Times New Roman"/>
          <w:b w:val="0"/>
          <w:bCs w:val="0"/>
          <w:color w:val="333333"/>
          <w:szCs w:val="20"/>
        </w:rPr>
        <w:t>The International Standard Classification of Education (ISCED) was developed by UNESCO to facilitate comparisons of education indicators and statistics across countries on the basis of uniform and internationally</w:t>
      </w:r>
      <w:r w:rsidR="00835171">
        <w:rPr>
          <w:rFonts w:cs="Times New Roman"/>
          <w:b w:val="0"/>
          <w:bCs w:val="0"/>
          <w:color w:val="333333"/>
          <w:szCs w:val="20"/>
        </w:rPr>
        <w:t>-</w:t>
      </w:r>
      <w:r w:rsidRPr="00945463">
        <w:rPr>
          <w:rFonts w:cs="Times New Roman"/>
          <w:b w:val="0"/>
          <w:bCs w:val="0"/>
          <w:color w:val="333333"/>
          <w:szCs w:val="20"/>
        </w:rPr>
        <w:t xml:space="preserve">agreed definitions. ISCED maps country-level qualifications onto ISCED levels based on information such as entry requirements, entry age and duration of the course in consultation with experts. For PIAAC, countries were required to develop an individual list of qualifications that could be directly matched to the ISCED categories and to supply a full conversion scheme from their national levels to the international ISCED levels, including a specification of nominal years of schooling corresponding to each level and orientation and, where relevant, the vocational or academic </w:t>
      </w:r>
      <w:r w:rsidR="00D436F9">
        <w:rPr>
          <w:rFonts w:cs="Times New Roman"/>
          <w:b w:val="0"/>
          <w:bCs w:val="0"/>
          <w:color w:val="333333"/>
          <w:szCs w:val="20"/>
        </w:rPr>
        <w:t>nature of the program</w:t>
      </w:r>
      <w:r w:rsidR="00835171">
        <w:rPr>
          <w:rFonts w:cs="Times New Roman"/>
          <w:b w:val="0"/>
          <w:bCs w:val="0"/>
          <w:color w:val="333333"/>
          <w:szCs w:val="20"/>
        </w:rPr>
        <w:t>me</w:t>
      </w:r>
      <w:r w:rsidR="00D436F9">
        <w:rPr>
          <w:rFonts w:cs="Times New Roman"/>
          <w:b w:val="0"/>
          <w:bCs w:val="0"/>
          <w:color w:val="333333"/>
          <w:szCs w:val="20"/>
        </w:rPr>
        <w:t xml:space="preserve"> (OECD 2013</w:t>
      </w:r>
      <w:r w:rsidRPr="00945463">
        <w:rPr>
          <w:rFonts w:cs="Times New Roman"/>
          <w:b w:val="0"/>
          <w:bCs w:val="0"/>
          <w:color w:val="333333"/>
          <w:szCs w:val="20"/>
        </w:rPr>
        <w:t>a).</w:t>
      </w:r>
      <w:bookmarkEnd w:id="25"/>
      <w:bookmarkEnd w:id="26"/>
      <w:bookmarkEnd w:id="27"/>
      <w:bookmarkEnd w:id="28"/>
      <w:r w:rsidRPr="00945463">
        <w:rPr>
          <w:rFonts w:cs="Times New Roman"/>
          <w:b w:val="0"/>
          <w:bCs w:val="0"/>
          <w:color w:val="333333"/>
          <w:szCs w:val="20"/>
        </w:rPr>
        <w:t xml:space="preserve"> </w:t>
      </w:r>
    </w:p>
    <w:p w:rsidR="00463FA9" w:rsidRPr="00FB68D8" w:rsidRDefault="00DC200A" w:rsidP="00363088">
      <w:pPr>
        <w:pStyle w:val="Heading3"/>
      </w:pPr>
      <w:bookmarkStart w:id="29" w:name="_Toc432865478"/>
      <w:bookmarkStart w:id="30" w:name="_Toc432873743"/>
      <w:bookmarkStart w:id="31" w:name="_Toc435620140"/>
      <w:bookmarkStart w:id="32" w:name="_Toc435802061"/>
      <w:r>
        <w:t xml:space="preserve">2.2.1 </w:t>
      </w:r>
      <w:r w:rsidR="008850AF">
        <w:t>Limitations</w:t>
      </w:r>
      <w:bookmarkEnd w:id="29"/>
      <w:bookmarkEnd w:id="30"/>
      <w:bookmarkEnd w:id="31"/>
      <w:bookmarkEnd w:id="32"/>
    </w:p>
    <w:p w:rsidR="00DD4F6E" w:rsidRPr="00086C05" w:rsidRDefault="00463FA9" w:rsidP="000E4E30">
      <w:pPr>
        <w:autoSpaceDE w:val="0"/>
        <w:autoSpaceDN w:val="0"/>
        <w:adjustRightInd w:val="0"/>
        <w:spacing w:after="120" w:line="288" w:lineRule="auto"/>
        <w:rPr>
          <w:szCs w:val="20"/>
        </w:rPr>
      </w:pPr>
      <w:r w:rsidRPr="00086C05">
        <w:rPr>
          <w:szCs w:val="20"/>
        </w:rPr>
        <w:t xml:space="preserve">While ISCED is the only classification system that supplies regular, worldwide and publicly available data on education systems of such breadth, detail and acceptance </w:t>
      </w:r>
      <w:r w:rsidR="00DD4F6E" w:rsidRPr="00086C05">
        <w:rPr>
          <w:szCs w:val="20"/>
        </w:rPr>
        <w:t>(Bohlinger 2013), there are a number of important caveats to be kept in mind throughout this report relating to the use of ISCED as a framework for categorising educational attainment:</w:t>
      </w:r>
    </w:p>
    <w:p w:rsidR="00DD4F6E" w:rsidRPr="00086C05" w:rsidRDefault="00DD4F6E" w:rsidP="000E4E30">
      <w:pPr>
        <w:autoSpaceDE w:val="0"/>
        <w:autoSpaceDN w:val="0"/>
        <w:adjustRightInd w:val="0"/>
        <w:spacing w:after="120" w:line="288" w:lineRule="auto"/>
        <w:rPr>
          <w:szCs w:val="20"/>
        </w:rPr>
      </w:pPr>
      <w:r w:rsidRPr="00086C05">
        <w:rPr>
          <w:b/>
          <w:color w:val="1F497D" w:themeColor="text2"/>
          <w:szCs w:val="20"/>
        </w:rPr>
        <w:t>E</w:t>
      </w:r>
      <w:r w:rsidR="00463FA9" w:rsidRPr="00086C05">
        <w:rPr>
          <w:b/>
          <w:color w:val="1F497D" w:themeColor="text2"/>
          <w:szCs w:val="20"/>
        </w:rPr>
        <w:t xml:space="preserve">ducation </w:t>
      </w:r>
      <w:r w:rsidRPr="00086C05">
        <w:rPr>
          <w:b/>
          <w:color w:val="1F497D" w:themeColor="text2"/>
          <w:szCs w:val="20"/>
        </w:rPr>
        <w:t>systems are constantly evolving</w:t>
      </w:r>
      <w:r w:rsidRPr="00086C05">
        <w:rPr>
          <w:szCs w:val="20"/>
        </w:rPr>
        <w:t>:</w:t>
      </w:r>
      <w:r w:rsidR="00463FA9" w:rsidRPr="00086C05">
        <w:rPr>
          <w:szCs w:val="20"/>
        </w:rPr>
        <w:t xml:space="preserve"> the framework needs to be updated periodically to ensure that it reflects current structures. The classification was first developed by UNESCO in 1976 and was then revised in 1997. In 2011, a revision to ISCED was formally adopted by UNESCO Member States (UNESCO 2012). </w:t>
      </w:r>
      <w:bookmarkStart w:id="33" w:name="_Toc427154798"/>
      <w:bookmarkStart w:id="34" w:name="_Toc427232525"/>
      <w:r w:rsidR="00F20283" w:rsidRPr="00086C05">
        <w:rPr>
          <w:szCs w:val="20"/>
        </w:rPr>
        <w:t>PIAAC uses ISCED 1997.</w:t>
      </w:r>
      <w:r w:rsidRPr="00086C05">
        <w:rPr>
          <w:szCs w:val="20"/>
        </w:rPr>
        <w:t xml:space="preserve"> </w:t>
      </w:r>
    </w:p>
    <w:p w:rsidR="00463FA9" w:rsidRPr="00086C05" w:rsidRDefault="00463FA9" w:rsidP="000E4E30">
      <w:pPr>
        <w:autoSpaceDE w:val="0"/>
        <w:autoSpaceDN w:val="0"/>
        <w:adjustRightInd w:val="0"/>
        <w:spacing w:after="120" w:line="288" w:lineRule="auto"/>
        <w:rPr>
          <w:rFonts w:cs="Arial"/>
          <w:szCs w:val="20"/>
        </w:rPr>
      </w:pPr>
      <w:r w:rsidRPr="00086C05">
        <w:rPr>
          <w:b/>
          <w:color w:val="1F497D" w:themeColor="text2"/>
          <w:szCs w:val="20"/>
        </w:rPr>
        <w:t xml:space="preserve">The mapping of qualifications to ISCED levels </w:t>
      </w:r>
      <w:bookmarkEnd w:id="33"/>
      <w:bookmarkEnd w:id="34"/>
      <w:r w:rsidR="00D436F9" w:rsidRPr="00086C05">
        <w:rPr>
          <w:b/>
          <w:color w:val="1F497D" w:themeColor="text2"/>
          <w:szCs w:val="20"/>
        </w:rPr>
        <w:t>is political</w:t>
      </w:r>
      <w:r w:rsidR="00F20283" w:rsidRPr="00086C05">
        <w:rPr>
          <w:szCs w:val="20"/>
        </w:rPr>
        <w:t>: t</w:t>
      </w:r>
      <w:r w:rsidRPr="00086C05">
        <w:rPr>
          <w:rFonts w:cs="Arial"/>
          <w:szCs w:val="20"/>
        </w:rPr>
        <w:t>he central criterion for the mapping of a qualification to an ISCED level is the complexity of its content. However, it is a challenge to directly assess and compare the content of programmes across education systems in a consistent way. Therefore ISCED</w:t>
      </w:r>
      <w:r w:rsidR="00CB0FED" w:rsidRPr="00086C05">
        <w:rPr>
          <w:rFonts w:ascii="Cambria Math" w:hAnsi="Cambria Math" w:cs="Cambria Math"/>
          <w:szCs w:val="20"/>
        </w:rPr>
        <w:t xml:space="preserve"> </w:t>
      </w:r>
      <w:r w:rsidRPr="00086C05">
        <w:rPr>
          <w:rFonts w:cs="Arial"/>
          <w:szCs w:val="20"/>
        </w:rPr>
        <w:t xml:space="preserve">97 uses a number of auxiliary criteria as proxies. These criteria include: the typical starting age of participants, </w:t>
      </w:r>
      <w:r w:rsidR="00835171" w:rsidRPr="00086C05">
        <w:rPr>
          <w:rFonts w:cs="Arial"/>
          <w:szCs w:val="20"/>
        </w:rPr>
        <w:t xml:space="preserve">the </w:t>
      </w:r>
      <w:r w:rsidRPr="00086C05">
        <w:rPr>
          <w:rFonts w:cs="Arial"/>
          <w:szCs w:val="20"/>
        </w:rPr>
        <w:t xml:space="preserve">theoretical and typical duration of a programme, </w:t>
      </w:r>
      <w:r w:rsidR="00835171" w:rsidRPr="00086C05">
        <w:rPr>
          <w:rFonts w:cs="Arial"/>
          <w:szCs w:val="20"/>
        </w:rPr>
        <w:t xml:space="preserve">the </w:t>
      </w:r>
      <w:r w:rsidRPr="00086C05">
        <w:rPr>
          <w:rFonts w:cs="Arial"/>
          <w:szCs w:val="20"/>
        </w:rPr>
        <w:t>typical and minimum entrance requirement</w:t>
      </w:r>
      <w:r w:rsidR="00835171" w:rsidRPr="00086C05">
        <w:rPr>
          <w:rFonts w:cs="Arial"/>
          <w:szCs w:val="20"/>
        </w:rPr>
        <w:t>s</w:t>
      </w:r>
      <w:r w:rsidRPr="00086C05">
        <w:rPr>
          <w:rFonts w:cs="Arial"/>
          <w:szCs w:val="20"/>
        </w:rPr>
        <w:t>,</w:t>
      </w:r>
      <w:r w:rsidR="00CB0FED" w:rsidRPr="00086C05">
        <w:rPr>
          <w:rFonts w:cs="Arial"/>
          <w:szCs w:val="20"/>
        </w:rPr>
        <w:t xml:space="preserve"> and</w:t>
      </w:r>
      <w:r w:rsidRPr="00086C05">
        <w:rPr>
          <w:rFonts w:cs="Arial"/>
          <w:szCs w:val="20"/>
        </w:rPr>
        <w:t xml:space="preserve"> </w:t>
      </w:r>
      <w:r w:rsidR="00835171" w:rsidRPr="00086C05">
        <w:rPr>
          <w:rFonts w:cs="Arial"/>
          <w:szCs w:val="20"/>
        </w:rPr>
        <w:t xml:space="preserve">the </w:t>
      </w:r>
      <w:r w:rsidRPr="00086C05">
        <w:rPr>
          <w:rFonts w:cs="Arial"/>
          <w:szCs w:val="20"/>
        </w:rPr>
        <w:t>type of certificate or diploma awarded upon successful completion of the programme (Schneider/Kogan 2008). Using these proxies, the responsibility of defining the complexity of content</w:t>
      </w:r>
      <w:r w:rsidR="00D436F9" w:rsidRPr="00086C05">
        <w:rPr>
          <w:rFonts w:cs="Arial"/>
          <w:szCs w:val="20"/>
        </w:rPr>
        <w:t xml:space="preserve"> </w:t>
      </w:r>
      <w:r w:rsidRPr="00086C05">
        <w:rPr>
          <w:rFonts w:cs="Arial"/>
          <w:szCs w:val="20"/>
        </w:rPr>
        <w:t xml:space="preserve">is handed over to the individual countries. The mapping is implemented following a process of negotiation, and is carried out by the involved actors from policy, practice and academic research. Integral to this process is a certain conception of the value of learning processes and qualifications (Bohlinger 2013). </w:t>
      </w:r>
    </w:p>
    <w:p w:rsidR="00463FA9" w:rsidRPr="00086C05" w:rsidRDefault="00463FA9" w:rsidP="000E4E30">
      <w:pPr>
        <w:autoSpaceDE w:val="0"/>
        <w:autoSpaceDN w:val="0"/>
        <w:adjustRightInd w:val="0"/>
        <w:spacing w:after="120" w:line="288" w:lineRule="auto"/>
        <w:rPr>
          <w:rFonts w:cs="Arial"/>
          <w:szCs w:val="20"/>
        </w:rPr>
      </w:pPr>
      <w:r w:rsidRPr="00086C05">
        <w:rPr>
          <w:rFonts w:cs="Arial"/>
          <w:szCs w:val="20"/>
        </w:rPr>
        <w:t>Schneider (2009) finds that, in some cases, assignments of educational qualifications to ISCED categories seem to deviate from the ISCED 97 definitions, possibly for political reasons. Along the same lines, Steedman and McIntosh (2001) describe how political considerations influence the allocation of different education and training outcomes to the categories of the ISCED scale. Even its application, i.e. when ISCED levels have already been defined, inconsistencies remain: Ortmanns and Schneider (2014)</w:t>
      </w:r>
      <w:r w:rsidR="00D436F9" w:rsidRPr="00086C05">
        <w:rPr>
          <w:rFonts w:cs="Arial"/>
          <w:szCs w:val="20"/>
        </w:rPr>
        <w:t xml:space="preserve"> and Schneider (2009)</w:t>
      </w:r>
      <w:r w:rsidRPr="00086C05">
        <w:rPr>
          <w:rFonts w:cs="Arial"/>
          <w:szCs w:val="20"/>
        </w:rPr>
        <w:t xml:space="preserve"> find that ISCED is not applied consistently across different surveys, with important implications for inconsistencies of what is measured when assessing educational attainment.</w:t>
      </w:r>
    </w:p>
    <w:p w:rsidR="00463FA9" w:rsidRPr="00086C05" w:rsidRDefault="00463FA9" w:rsidP="000E4E30">
      <w:pPr>
        <w:pStyle w:val="Heading4"/>
        <w:tabs>
          <w:tab w:val="clear" w:pos="0"/>
        </w:tabs>
        <w:spacing w:before="0" w:after="120"/>
        <w:ind w:left="0" w:firstLine="0"/>
        <w:rPr>
          <w:rFonts w:ascii="Verdana" w:hAnsi="Verdana"/>
          <w:i w:val="0"/>
          <w:color w:val="333333"/>
          <w:sz w:val="20"/>
          <w:szCs w:val="20"/>
        </w:rPr>
      </w:pPr>
      <w:bookmarkStart w:id="35" w:name="_Toc427154799"/>
      <w:bookmarkStart w:id="36" w:name="_Toc427232526"/>
      <w:r w:rsidRPr="00086C05">
        <w:rPr>
          <w:rFonts w:ascii="Verdana" w:hAnsi="Verdana"/>
          <w:b/>
          <w:i w:val="0"/>
          <w:color w:val="1F497D" w:themeColor="text2"/>
          <w:sz w:val="20"/>
          <w:szCs w:val="20"/>
        </w:rPr>
        <w:t>ISCED does not capture certain information</w:t>
      </w:r>
      <w:bookmarkEnd w:id="35"/>
      <w:bookmarkEnd w:id="36"/>
      <w:r w:rsidR="00F20283" w:rsidRPr="00086C05">
        <w:rPr>
          <w:rFonts w:ascii="Verdana" w:hAnsi="Verdana"/>
          <w:i w:val="0"/>
          <w:color w:val="333333"/>
          <w:sz w:val="20"/>
          <w:szCs w:val="20"/>
        </w:rPr>
        <w:t xml:space="preserve">: </w:t>
      </w:r>
      <w:r w:rsidRPr="00086C05">
        <w:rPr>
          <w:rFonts w:ascii="Verdana" w:hAnsi="Verdana"/>
          <w:i w:val="0"/>
          <w:color w:val="333333"/>
          <w:sz w:val="20"/>
          <w:szCs w:val="20"/>
        </w:rPr>
        <w:t>As any standardised classification, ISCED only approximates educational attainment. There are a number of important aspects of educational attainment which ISCED cannot capture:</w:t>
      </w:r>
    </w:p>
    <w:p w:rsidR="00463FA9" w:rsidRPr="00086C05" w:rsidRDefault="00CB0FED" w:rsidP="00A05A88">
      <w:pPr>
        <w:pStyle w:val="ListParagraph"/>
        <w:numPr>
          <w:ilvl w:val="0"/>
          <w:numId w:val="25"/>
        </w:numPr>
        <w:autoSpaceDE w:val="0"/>
        <w:autoSpaceDN w:val="0"/>
        <w:adjustRightInd w:val="0"/>
        <w:spacing w:after="120" w:line="288" w:lineRule="auto"/>
        <w:rPr>
          <w:rFonts w:cs="Arial"/>
          <w:szCs w:val="20"/>
        </w:rPr>
      </w:pPr>
      <w:r w:rsidRPr="00086C05">
        <w:rPr>
          <w:rFonts w:cs="Arial"/>
          <w:szCs w:val="20"/>
        </w:rPr>
        <w:t>Educational attainment</w:t>
      </w:r>
      <w:r w:rsidR="00463FA9" w:rsidRPr="00086C05">
        <w:rPr>
          <w:rFonts w:cs="Arial"/>
          <w:szCs w:val="20"/>
        </w:rPr>
        <w:t xml:space="preserve"> encompasses not only formal learning but also non-formal and informal learning, provided that this is recognised for the purposes of a formal qualification. ISCED</w:t>
      </w:r>
      <w:r w:rsidRPr="00086C05">
        <w:rPr>
          <w:rFonts w:cs="Arial"/>
          <w:szCs w:val="20"/>
        </w:rPr>
        <w:t xml:space="preserve"> however</w:t>
      </w:r>
      <w:r w:rsidR="00463FA9" w:rsidRPr="00086C05">
        <w:rPr>
          <w:rFonts w:cs="Arial"/>
          <w:szCs w:val="20"/>
        </w:rPr>
        <w:t xml:space="preserve"> makes no provision for learning that does not lead to a recognised qualification, or for non-accredited qualifications (Bohliner 2013). </w:t>
      </w:r>
    </w:p>
    <w:p w:rsidR="00463FA9" w:rsidRPr="00086C05" w:rsidRDefault="00CB0FED" w:rsidP="00A05A88">
      <w:pPr>
        <w:pStyle w:val="ListParagraph"/>
        <w:numPr>
          <w:ilvl w:val="0"/>
          <w:numId w:val="25"/>
        </w:numPr>
        <w:autoSpaceDE w:val="0"/>
        <w:autoSpaceDN w:val="0"/>
        <w:adjustRightInd w:val="0"/>
        <w:spacing w:after="120" w:line="288" w:lineRule="auto"/>
        <w:rPr>
          <w:rFonts w:cs="Arial"/>
          <w:szCs w:val="20"/>
        </w:rPr>
      </w:pPr>
      <w:r w:rsidRPr="00086C05">
        <w:rPr>
          <w:rFonts w:cs="Arial"/>
          <w:szCs w:val="20"/>
        </w:rPr>
        <w:t>ISCED</w:t>
      </w:r>
      <w:r w:rsidR="00463FA9" w:rsidRPr="00086C05">
        <w:rPr>
          <w:rFonts w:cs="Arial"/>
          <w:szCs w:val="20"/>
        </w:rPr>
        <w:t xml:space="preserve"> does not allow any distinction between elitist, highly selective and prestigious types of higher education (e.g. Russell Group universities in the UK) and mainstream universities (Schneider/Kogan 2008).</w:t>
      </w:r>
    </w:p>
    <w:p w:rsidR="00463FA9" w:rsidRPr="00086C05" w:rsidRDefault="00463FA9" w:rsidP="00A05A88">
      <w:pPr>
        <w:pStyle w:val="ListParagraph"/>
        <w:numPr>
          <w:ilvl w:val="0"/>
          <w:numId w:val="25"/>
        </w:numPr>
        <w:autoSpaceDE w:val="0"/>
        <w:autoSpaceDN w:val="0"/>
        <w:adjustRightInd w:val="0"/>
        <w:spacing w:after="120" w:line="288" w:lineRule="auto"/>
        <w:rPr>
          <w:rFonts w:cs="Arial"/>
          <w:szCs w:val="20"/>
        </w:rPr>
      </w:pPr>
      <w:r w:rsidRPr="00086C05">
        <w:rPr>
          <w:rFonts w:cs="Arial"/>
          <w:szCs w:val="20"/>
        </w:rPr>
        <w:t>I</w:t>
      </w:r>
      <w:r w:rsidR="00CB0FED" w:rsidRPr="00086C05">
        <w:rPr>
          <w:rFonts w:cs="Arial"/>
          <w:szCs w:val="20"/>
        </w:rPr>
        <w:t>SCED</w:t>
      </w:r>
      <w:r w:rsidRPr="00086C05">
        <w:rPr>
          <w:rFonts w:cs="Arial"/>
          <w:szCs w:val="20"/>
        </w:rPr>
        <w:t xml:space="preserve"> does not capture changes in standards of specific educational qualifications over time. Unless changing standards are accompanied by corresponding changes in the ISCED criteria (typical entry age, entry requirements etc.), there is no change in the classification of such qualifications over time, and the change remains hidden. This is due to the use of auxiliary criteria as proxies for educational content, which are necessarily imperfect. For example, it is widely recognised by sociologists in the UK that standards for educational certificates typically awarded around age 16 and giving access to upper secondary general education have decreased over the last century whenever the respective examinations were reformed (Schneider/Kogan 2008).</w:t>
      </w:r>
    </w:p>
    <w:p w:rsidR="00463FA9" w:rsidRPr="00086C05" w:rsidRDefault="00463FA9" w:rsidP="000E4E30">
      <w:pPr>
        <w:autoSpaceDE w:val="0"/>
        <w:autoSpaceDN w:val="0"/>
        <w:adjustRightInd w:val="0"/>
        <w:spacing w:after="120" w:line="288" w:lineRule="auto"/>
        <w:rPr>
          <w:rFonts w:cs="Arial"/>
          <w:szCs w:val="20"/>
        </w:rPr>
      </w:pPr>
      <w:r w:rsidRPr="00086C05">
        <w:rPr>
          <w:rFonts w:cs="Arial"/>
          <w:szCs w:val="20"/>
        </w:rPr>
        <w:t xml:space="preserve">Consequently, when using the ISCED framework, an accurate understanding of data requires knowledge of national mappings and the national context (Bohlinger 2013). </w:t>
      </w:r>
    </w:p>
    <w:p w:rsidR="00463FA9" w:rsidRPr="00944C85" w:rsidRDefault="00463FA9" w:rsidP="000E4E30">
      <w:pPr>
        <w:pStyle w:val="Heading2"/>
        <w:spacing w:before="0" w:after="120" w:line="288" w:lineRule="auto"/>
      </w:pPr>
    </w:p>
    <w:p w:rsidR="00463FA9" w:rsidRPr="002E793E" w:rsidRDefault="00463FA9" w:rsidP="000E4E30">
      <w:pPr>
        <w:autoSpaceDE w:val="0"/>
        <w:autoSpaceDN w:val="0"/>
        <w:adjustRightInd w:val="0"/>
        <w:spacing w:after="120" w:line="288" w:lineRule="auto"/>
        <w:rPr>
          <w:rFonts w:cs="Arial"/>
          <w:szCs w:val="20"/>
        </w:rPr>
      </w:pPr>
    </w:p>
    <w:p w:rsidR="002E793E" w:rsidRPr="002E793E" w:rsidRDefault="002505F3" w:rsidP="000E4E30">
      <w:pPr>
        <w:pStyle w:val="Heading1"/>
        <w:spacing w:after="120" w:line="288" w:lineRule="auto"/>
        <w:rPr>
          <w:b w:val="0"/>
          <w:bCs w:val="0"/>
          <w:sz w:val="20"/>
          <w:szCs w:val="20"/>
        </w:rPr>
      </w:pPr>
      <w:r>
        <w:br w:type="page"/>
      </w:r>
    </w:p>
    <w:p w:rsidR="00B013ED" w:rsidRDefault="00DC200A" w:rsidP="00363088">
      <w:pPr>
        <w:pStyle w:val="Heading1"/>
      </w:pPr>
      <w:bookmarkStart w:id="37" w:name="_Toc435802062"/>
      <w:r w:rsidRPr="00DC200A">
        <w:t>3.</w:t>
      </w:r>
      <w:r>
        <w:t xml:space="preserve"> </w:t>
      </w:r>
      <w:r w:rsidR="00B013ED">
        <w:t>Competences of young adults in Europe</w:t>
      </w:r>
      <w:bookmarkEnd w:id="37"/>
    </w:p>
    <w:p w:rsidR="00F2695A" w:rsidRDefault="00A628F7" w:rsidP="00086C05">
      <w:pPr>
        <w:pStyle w:val="BodyText"/>
        <w:spacing w:line="288" w:lineRule="auto"/>
        <w:rPr>
          <w:szCs w:val="20"/>
          <w:lang w:eastAsia="en-US"/>
        </w:rPr>
      </w:pPr>
      <w:r>
        <w:rPr>
          <w:szCs w:val="20"/>
          <w:lang w:eastAsia="en-US"/>
        </w:rPr>
        <w:t>Proficiency in basic competences such as numeracy, literacy and ICT are key to a young person’s individual life-chances, but also for the economic competitiveness and innovativeness of European economies more widely (EC 2014: 46).</w:t>
      </w:r>
      <w:r w:rsidR="00540C21">
        <w:rPr>
          <w:szCs w:val="20"/>
          <w:lang w:eastAsia="en-US"/>
        </w:rPr>
        <w:t xml:space="preserve"> Hence, it is one important aim of education systems to equip their population with these </w:t>
      </w:r>
      <w:r w:rsidR="001C5E35">
        <w:rPr>
          <w:szCs w:val="20"/>
          <w:lang w:eastAsia="en-US"/>
        </w:rPr>
        <w:t>competences</w:t>
      </w:r>
      <w:r w:rsidR="00540C21">
        <w:rPr>
          <w:szCs w:val="20"/>
          <w:lang w:eastAsia="en-US"/>
        </w:rPr>
        <w:t>.</w:t>
      </w:r>
      <w:r w:rsidR="00F2695A">
        <w:rPr>
          <w:szCs w:val="20"/>
          <w:lang w:eastAsia="en-US"/>
        </w:rPr>
        <w:t xml:space="preserve"> </w:t>
      </w:r>
    </w:p>
    <w:p w:rsidR="00540C21" w:rsidRDefault="00F2695A" w:rsidP="00086C05">
      <w:pPr>
        <w:pStyle w:val="BodyText"/>
        <w:spacing w:line="288" w:lineRule="auto"/>
        <w:rPr>
          <w:szCs w:val="20"/>
          <w:lang w:eastAsia="en-US"/>
        </w:rPr>
      </w:pPr>
      <w:r>
        <w:rPr>
          <w:szCs w:val="20"/>
          <w:lang w:eastAsia="en-US"/>
        </w:rPr>
        <w:t>R</w:t>
      </w:r>
      <w:r w:rsidR="00A628F7">
        <w:rPr>
          <w:szCs w:val="20"/>
          <w:lang w:eastAsia="en-US"/>
        </w:rPr>
        <w:t xml:space="preserve">esearch </w:t>
      </w:r>
      <w:r>
        <w:rPr>
          <w:szCs w:val="20"/>
          <w:lang w:eastAsia="en-US"/>
        </w:rPr>
        <w:t xml:space="preserve">to date </w:t>
      </w:r>
      <w:r w:rsidR="00A628F7">
        <w:rPr>
          <w:szCs w:val="20"/>
          <w:lang w:eastAsia="en-US"/>
        </w:rPr>
        <w:t xml:space="preserve">focused on cross-country differences of competence </w:t>
      </w:r>
      <w:r w:rsidR="00540C21">
        <w:rPr>
          <w:szCs w:val="20"/>
          <w:lang w:eastAsia="en-US"/>
        </w:rPr>
        <w:t>levels of the entire adult population. More recently, further analysis</w:t>
      </w:r>
      <w:r w:rsidR="00AF4D45">
        <w:rPr>
          <w:szCs w:val="20"/>
          <w:lang w:eastAsia="en-US"/>
        </w:rPr>
        <w:t xml:space="preserve"> has been conducted on young people </w:t>
      </w:r>
      <w:r w:rsidR="00540C21">
        <w:rPr>
          <w:szCs w:val="20"/>
          <w:lang w:eastAsia="en-US"/>
        </w:rPr>
        <w:t>(see e.g. OECD 2015)</w:t>
      </w:r>
      <w:r w:rsidR="00AF4D45">
        <w:rPr>
          <w:szCs w:val="20"/>
          <w:lang w:eastAsia="en-US"/>
        </w:rPr>
        <w:t>, which</w:t>
      </w:r>
      <w:r w:rsidR="00540C21">
        <w:rPr>
          <w:szCs w:val="20"/>
          <w:lang w:eastAsia="en-US"/>
        </w:rPr>
        <w:t xml:space="preserve"> shows that there are considerable cross-country differences in average levels of basic competences and their distribution. These c</w:t>
      </w:r>
      <w:r w:rsidR="00A628F7" w:rsidRPr="005B3B0F">
        <w:rPr>
          <w:szCs w:val="20"/>
          <w:lang w:eastAsia="en-US"/>
        </w:rPr>
        <w:t xml:space="preserve">ross-country differences may imply that certain education systems are more effective in equipping young people with skills than others (see e.g. OECD 2014). </w:t>
      </w:r>
    </w:p>
    <w:p w:rsidR="005B3B0F" w:rsidRDefault="005B3B0F" w:rsidP="00086C05">
      <w:pPr>
        <w:pStyle w:val="BodyText"/>
        <w:spacing w:line="288" w:lineRule="auto"/>
        <w:rPr>
          <w:szCs w:val="20"/>
          <w:lang w:eastAsia="en-US"/>
        </w:rPr>
      </w:pPr>
      <w:r>
        <w:rPr>
          <w:szCs w:val="20"/>
          <w:lang w:eastAsia="en-US"/>
        </w:rPr>
        <w:t>This chapter provides an overview of numeracy and literacy competences of young adults</w:t>
      </w:r>
      <w:r w:rsidR="00376A75">
        <w:rPr>
          <w:szCs w:val="20"/>
          <w:lang w:eastAsia="en-US"/>
        </w:rPr>
        <w:t xml:space="preserve"> aged 20-34</w:t>
      </w:r>
      <w:r>
        <w:rPr>
          <w:szCs w:val="20"/>
          <w:lang w:eastAsia="en-US"/>
        </w:rPr>
        <w:t xml:space="preserve"> in Europe. It first highlights the </w:t>
      </w:r>
      <w:r w:rsidR="00AF4D45">
        <w:rPr>
          <w:szCs w:val="20"/>
          <w:lang w:eastAsia="en-US"/>
        </w:rPr>
        <w:t>shares achieving</w:t>
      </w:r>
      <w:r>
        <w:rPr>
          <w:szCs w:val="20"/>
          <w:lang w:eastAsia="en-US"/>
        </w:rPr>
        <w:t xml:space="preserve"> at</w:t>
      </w:r>
      <w:r w:rsidR="00B013ED" w:rsidRPr="005B3B0F">
        <w:rPr>
          <w:szCs w:val="20"/>
          <w:lang w:eastAsia="en-US"/>
        </w:rPr>
        <w:t xml:space="preserve"> different proficiency levels of numeracy and literacy</w:t>
      </w:r>
      <w:r w:rsidR="00AF4D45">
        <w:rPr>
          <w:szCs w:val="20"/>
          <w:lang w:eastAsia="en-US"/>
        </w:rPr>
        <w:t xml:space="preserve"> by country</w:t>
      </w:r>
      <w:r w:rsidR="00B013ED" w:rsidRPr="005B3B0F">
        <w:rPr>
          <w:szCs w:val="20"/>
          <w:lang w:eastAsia="en-US"/>
        </w:rPr>
        <w:t xml:space="preserve">. </w:t>
      </w:r>
      <w:r>
        <w:rPr>
          <w:szCs w:val="20"/>
          <w:lang w:eastAsia="en-US"/>
        </w:rPr>
        <w:t>It then present</w:t>
      </w:r>
      <w:r w:rsidR="001C5E35">
        <w:rPr>
          <w:szCs w:val="20"/>
          <w:lang w:eastAsia="en-US"/>
        </w:rPr>
        <w:t>s</w:t>
      </w:r>
      <w:r>
        <w:rPr>
          <w:szCs w:val="20"/>
          <w:lang w:eastAsia="en-US"/>
        </w:rPr>
        <w:t xml:space="preserve"> estimates of </w:t>
      </w:r>
      <w:r w:rsidR="00B013ED" w:rsidRPr="005B3B0F">
        <w:rPr>
          <w:szCs w:val="20"/>
          <w:lang w:eastAsia="en-US"/>
        </w:rPr>
        <w:t>average numeracy and literacy proficiency of young peo</w:t>
      </w:r>
      <w:r>
        <w:rPr>
          <w:szCs w:val="20"/>
          <w:lang w:eastAsia="en-US"/>
        </w:rPr>
        <w:t>ple and shows which</w:t>
      </w:r>
      <w:r w:rsidR="00B013ED" w:rsidRPr="005B3B0F">
        <w:rPr>
          <w:szCs w:val="20"/>
          <w:lang w:eastAsia="en-US"/>
        </w:rPr>
        <w:t xml:space="preserve"> Member States </w:t>
      </w:r>
      <w:r>
        <w:rPr>
          <w:szCs w:val="20"/>
          <w:lang w:eastAsia="en-US"/>
        </w:rPr>
        <w:t>are</w:t>
      </w:r>
      <w:r w:rsidR="00B013ED" w:rsidRPr="005B3B0F">
        <w:rPr>
          <w:szCs w:val="20"/>
          <w:lang w:eastAsia="en-US"/>
        </w:rPr>
        <w:t xml:space="preserve"> performing significantly different from each o</w:t>
      </w:r>
      <w:r>
        <w:rPr>
          <w:szCs w:val="20"/>
          <w:lang w:eastAsia="en-US"/>
        </w:rPr>
        <w:t>ther. Further, it examines</w:t>
      </w:r>
      <w:r w:rsidR="00B013ED" w:rsidRPr="005B3B0F">
        <w:rPr>
          <w:szCs w:val="20"/>
          <w:lang w:eastAsia="en-US"/>
        </w:rPr>
        <w:t xml:space="preserve"> the distribution of competences</w:t>
      </w:r>
      <w:r>
        <w:rPr>
          <w:szCs w:val="20"/>
          <w:lang w:eastAsia="en-US"/>
        </w:rPr>
        <w:t>.</w:t>
      </w:r>
      <w:r w:rsidR="00B013ED" w:rsidRPr="005B3B0F">
        <w:rPr>
          <w:szCs w:val="20"/>
          <w:lang w:eastAsia="en-US"/>
        </w:rPr>
        <w:t xml:space="preserve"> It closes with </w:t>
      </w:r>
      <w:r w:rsidR="001C5E35">
        <w:rPr>
          <w:szCs w:val="20"/>
          <w:lang w:eastAsia="en-US"/>
        </w:rPr>
        <w:t xml:space="preserve">a </w:t>
      </w:r>
      <w:r w:rsidR="00B013ED" w:rsidRPr="005B3B0F">
        <w:rPr>
          <w:szCs w:val="20"/>
          <w:lang w:eastAsia="en-US"/>
        </w:rPr>
        <w:t>present</w:t>
      </w:r>
      <w:r w:rsidR="001C5E35">
        <w:rPr>
          <w:szCs w:val="20"/>
          <w:lang w:eastAsia="en-US"/>
        </w:rPr>
        <w:t>ation of</w:t>
      </w:r>
      <w:r w:rsidR="00B013ED" w:rsidRPr="005B3B0F">
        <w:rPr>
          <w:szCs w:val="20"/>
          <w:lang w:eastAsia="en-US"/>
        </w:rPr>
        <w:t xml:space="preserve"> a typology of countries</w:t>
      </w:r>
      <w:r>
        <w:rPr>
          <w:szCs w:val="20"/>
          <w:lang w:eastAsia="en-US"/>
        </w:rPr>
        <w:t>.</w:t>
      </w:r>
    </w:p>
    <w:p w:rsidR="00C61034" w:rsidRDefault="005B3B0F" w:rsidP="000E4E30">
      <w:pPr>
        <w:pStyle w:val="BodyText"/>
        <w:spacing w:line="288" w:lineRule="auto"/>
        <w:rPr>
          <w:szCs w:val="20"/>
          <w:highlight w:val="yellow"/>
          <w:lang w:eastAsia="en-US"/>
        </w:rPr>
      </w:pPr>
      <w:r w:rsidRPr="005B7890">
        <w:rPr>
          <w:rFonts w:cs="Arial"/>
          <w:noProof/>
          <w:szCs w:val="20"/>
          <w:lang w:val="en-US" w:eastAsia="en-US"/>
        </w:rPr>
        <mc:AlternateContent>
          <mc:Choice Requires="wps">
            <w:drawing>
              <wp:inline distT="0" distB="0" distL="0" distR="0" wp14:anchorId="2732D0C1" wp14:editId="637F50B5">
                <wp:extent cx="5580000" cy="4804012"/>
                <wp:effectExtent l="38100" t="38100" r="135255" b="130175"/>
                <wp:docPr id="22"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4804012"/>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884866" w:rsidRDefault="00394EBA" w:rsidP="005C383B">
                            <w:pPr>
                              <w:spacing w:after="120" w:line="288" w:lineRule="auto"/>
                              <w:jc w:val="center"/>
                              <w:rPr>
                                <w:b/>
                              </w:rPr>
                            </w:pPr>
                            <w:r w:rsidRPr="00EB1A32">
                              <w:rPr>
                                <w:b/>
                              </w:rPr>
                              <w:t>Key findings</w:t>
                            </w:r>
                          </w:p>
                          <w:p w:rsidR="00394EBA" w:rsidRDefault="00394EBA" w:rsidP="00A05A88">
                            <w:pPr>
                              <w:pStyle w:val="ListParagraph"/>
                              <w:numPr>
                                <w:ilvl w:val="0"/>
                                <w:numId w:val="27"/>
                              </w:numPr>
                              <w:spacing w:after="120" w:line="288" w:lineRule="auto"/>
                              <w:ind w:left="426"/>
                            </w:pPr>
                            <w:r>
                              <w:t>Across the EU, just over one in two (55.6%) young people have more complex numeracy skills and understanding (scoring at proficiency level 3 or above). This share is slightly higher for literacy (60%).</w:t>
                            </w:r>
                          </w:p>
                          <w:p w:rsidR="00394EBA" w:rsidRDefault="00394EBA" w:rsidP="00A05A88">
                            <w:pPr>
                              <w:pStyle w:val="ListParagraph"/>
                              <w:numPr>
                                <w:ilvl w:val="0"/>
                                <w:numId w:val="27"/>
                              </w:numPr>
                              <w:spacing w:after="120" w:line="288" w:lineRule="auto"/>
                              <w:ind w:left="426"/>
                            </w:pPr>
                            <w:r>
                              <w:t>14.3% of young people in the EU are lowest performers in numeracy (scoring at proficiency level 1 or below), and 11.5% in literacy. This means they are at most able to perform very simple tasks in familiar contexts.</w:t>
                            </w:r>
                          </w:p>
                          <w:p w:rsidR="00394EBA" w:rsidRDefault="00394EBA" w:rsidP="00A05A88">
                            <w:pPr>
                              <w:pStyle w:val="ListParagraph"/>
                              <w:numPr>
                                <w:ilvl w:val="0"/>
                                <w:numId w:val="27"/>
                              </w:numPr>
                              <w:spacing w:after="120" w:line="288" w:lineRule="auto"/>
                              <w:ind w:left="426"/>
                            </w:pPr>
                            <w:r>
                              <w:t>In both numeracy and literacy, BE (FL), FI and NL achieve the highest average proficiency scores in the EU. These Member States also achieve the largest shares of young people (at least two in three) with more complex skills and understanding.</w:t>
                            </w:r>
                          </w:p>
                          <w:p w:rsidR="00394EBA" w:rsidRDefault="00394EBA" w:rsidP="00A05A88">
                            <w:pPr>
                              <w:pStyle w:val="ListParagraph"/>
                              <w:numPr>
                                <w:ilvl w:val="0"/>
                                <w:numId w:val="27"/>
                              </w:numPr>
                              <w:spacing w:after="120" w:line="288" w:lineRule="auto"/>
                              <w:ind w:left="426"/>
                            </w:pPr>
                            <w:r>
                              <w:t>In contrast, ES and IT achieve the lowest average numeracy and literacy proficiency scores in the EU and also the smallest shares (two in five young people) of those achieving at proficiency levels 3 or above.</w:t>
                            </w:r>
                          </w:p>
                          <w:p w:rsidR="00394EBA" w:rsidRDefault="00394EBA" w:rsidP="00A05A88">
                            <w:pPr>
                              <w:pStyle w:val="ListParagraph"/>
                              <w:numPr>
                                <w:ilvl w:val="0"/>
                                <w:numId w:val="27"/>
                              </w:numPr>
                              <w:spacing w:after="120" w:line="288" w:lineRule="auto"/>
                              <w:ind w:left="426"/>
                            </w:pPr>
                            <w:r>
                              <w:t>In some countries competences are more equally distributed than in others. Differences between highest and lowest performers are largest in SE and the UK (EN/NI) and smallest in CZ in both literacy and numeracy.</w:t>
                            </w:r>
                          </w:p>
                          <w:p w:rsidR="00394EBA" w:rsidRPr="00AF4D45" w:rsidRDefault="00394EBA" w:rsidP="00A05A88">
                            <w:pPr>
                              <w:pStyle w:val="ListParagraph"/>
                              <w:numPr>
                                <w:ilvl w:val="0"/>
                                <w:numId w:val="27"/>
                              </w:numPr>
                              <w:spacing w:after="120" w:line="288" w:lineRule="auto"/>
                              <w:ind w:left="426"/>
                            </w:pPr>
                            <w:r>
                              <w:t xml:space="preserve">Average differences between countries are not always statistically significant. </w:t>
                            </w:r>
                          </w:p>
                          <w:p w:rsidR="00394EBA" w:rsidRDefault="00394EBA" w:rsidP="005C383B">
                            <w:pPr>
                              <w:rPr>
                                <w:b/>
                              </w:rPr>
                            </w:pPr>
                          </w:p>
                          <w:p w:rsidR="00394EBA" w:rsidRDefault="00394EBA" w:rsidP="005C383B">
                            <w:pPr>
                              <w:rPr>
                                <w:b/>
                              </w:rPr>
                            </w:pPr>
                          </w:p>
                          <w:p w:rsidR="00394EBA" w:rsidRDefault="00394EBA" w:rsidP="005C383B">
                            <w:pPr>
                              <w:rPr>
                                <w:b/>
                              </w:rPr>
                            </w:pPr>
                          </w:p>
                          <w:p w:rsidR="00394EBA" w:rsidRDefault="00394EBA" w:rsidP="005C383B">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2732D0C1" id="_x0000_s1034" style="width:439.35pt;height:378.2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" fillcolor="#c6d9f1 [671]" strokecolor="gray [1629]" strokeweight="1.5pt">
                <v:shadow on="t" type="perspective" color="black" opacity="26214f" origin="-.5,-.5" offset=".74836mm,.74836mm" matrix="65864f,,,65864f"/>
                <v:textbox inset="21.6pt,21.6pt,21.6pt,21.6pt">
                  <w:txbxContent>
                    <w:p w:rsidR="00394EBA" w:rsidRPr="00884866" w:rsidRDefault="00394EBA" w:rsidP="005C383B">
                      <w:pPr>
                        <w:spacing w:after="120" w:line="288" w:lineRule="auto"/>
                        <w:jc w:val="center"/>
                        <w:rPr>
                          <w:b/>
                        </w:rPr>
                      </w:pPr>
                      <w:r w:rsidRPr="00EB1A32">
                        <w:rPr>
                          <w:b/>
                        </w:rPr>
                        <w:t>Key findings</w:t>
                      </w:r>
                    </w:p>
                    <w:p w:rsidR="00394EBA" w:rsidRDefault="00394EBA" w:rsidP="00A05A88">
                      <w:pPr>
                        <w:pStyle w:val="ListParagraph"/>
                        <w:numPr>
                          <w:ilvl w:val="0"/>
                          <w:numId w:val="27"/>
                        </w:numPr>
                        <w:spacing w:after="120" w:line="288" w:lineRule="auto"/>
                        <w:ind w:left="426"/>
                      </w:pPr>
                      <w:r>
                        <w:t>Across the EU, just over one in two (55.6%) young people have more complex numeracy skills and understanding (scoring at proficiency level 3 or above). This share is slightly higher for literacy (60%).</w:t>
                      </w:r>
                    </w:p>
                    <w:p w:rsidR="00394EBA" w:rsidRDefault="00394EBA" w:rsidP="00A05A88">
                      <w:pPr>
                        <w:pStyle w:val="ListParagraph"/>
                        <w:numPr>
                          <w:ilvl w:val="0"/>
                          <w:numId w:val="27"/>
                        </w:numPr>
                        <w:spacing w:after="120" w:line="288" w:lineRule="auto"/>
                        <w:ind w:left="426"/>
                      </w:pPr>
                      <w:r>
                        <w:t>14.3% of young people in the EU are lowest performers in numeracy (scoring at proficiency level 1 or below), and 11.5% in literacy. This means they are at most able to perform very simple tasks in familiar contexts.</w:t>
                      </w:r>
                    </w:p>
                    <w:p w:rsidR="00394EBA" w:rsidRDefault="00394EBA" w:rsidP="00A05A88">
                      <w:pPr>
                        <w:pStyle w:val="ListParagraph"/>
                        <w:numPr>
                          <w:ilvl w:val="0"/>
                          <w:numId w:val="27"/>
                        </w:numPr>
                        <w:spacing w:after="120" w:line="288" w:lineRule="auto"/>
                        <w:ind w:left="426"/>
                      </w:pPr>
                      <w:r>
                        <w:t>In both numeracy and literacy, BE (FL), FI and NL achieve the highest average proficiency scores in the EU. These Member States also achieve the largest shares of young people (at least two in three) with more complex skills and understanding.</w:t>
                      </w:r>
                    </w:p>
                    <w:p w:rsidR="00394EBA" w:rsidRDefault="00394EBA" w:rsidP="00A05A88">
                      <w:pPr>
                        <w:pStyle w:val="ListParagraph"/>
                        <w:numPr>
                          <w:ilvl w:val="0"/>
                          <w:numId w:val="27"/>
                        </w:numPr>
                        <w:spacing w:after="120" w:line="288" w:lineRule="auto"/>
                        <w:ind w:left="426"/>
                      </w:pPr>
                      <w:r>
                        <w:t>In contrast, ES and IT achieve the lowest average numeracy and literacy proficiency scores in the EU and also the smallest shares (two in five young people) of those achieving at proficiency levels 3 or above.</w:t>
                      </w:r>
                    </w:p>
                    <w:p w:rsidR="00394EBA" w:rsidRDefault="00394EBA" w:rsidP="00A05A88">
                      <w:pPr>
                        <w:pStyle w:val="ListParagraph"/>
                        <w:numPr>
                          <w:ilvl w:val="0"/>
                          <w:numId w:val="27"/>
                        </w:numPr>
                        <w:spacing w:after="120" w:line="288" w:lineRule="auto"/>
                        <w:ind w:left="426"/>
                      </w:pPr>
                      <w:r>
                        <w:t>In some countries competences are more equally distributed than in others. Differences between highest and lowest performers are largest in SE and the UK (EN/NI) and smallest in CZ in both literacy and numeracy.</w:t>
                      </w:r>
                    </w:p>
                    <w:p w:rsidR="00394EBA" w:rsidRPr="00AF4D45" w:rsidRDefault="00394EBA" w:rsidP="00A05A88">
                      <w:pPr>
                        <w:pStyle w:val="ListParagraph"/>
                        <w:numPr>
                          <w:ilvl w:val="0"/>
                          <w:numId w:val="27"/>
                        </w:numPr>
                        <w:spacing w:after="120" w:line="288" w:lineRule="auto"/>
                        <w:ind w:left="426"/>
                      </w:pPr>
                      <w:r>
                        <w:t xml:space="preserve">Average differences between countries are not always statistically significant. </w:t>
                      </w:r>
                    </w:p>
                    <w:p w:rsidR="00394EBA" w:rsidRDefault="00394EBA" w:rsidP="005C383B">
                      <w:pPr>
                        <w:rPr>
                          <w:b/>
                        </w:rPr>
                      </w:pPr>
                    </w:p>
                    <w:p w:rsidR="00394EBA" w:rsidRDefault="00394EBA" w:rsidP="005C383B">
                      <w:pPr>
                        <w:rPr>
                          <w:b/>
                        </w:rPr>
                      </w:pPr>
                    </w:p>
                    <w:p w:rsidR="00394EBA" w:rsidRDefault="00394EBA" w:rsidP="005C383B">
                      <w:pPr>
                        <w:rPr>
                          <w:b/>
                        </w:rPr>
                      </w:pPr>
                    </w:p>
                    <w:p w:rsidR="00394EBA" w:rsidRDefault="00394EBA" w:rsidP="005C383B">
                      <w:pPr>
                        <w:rPr>
                          <w:color w:val="4F81BD" w:themeColor="accent1"/>
                          <w:szCs w:val="20"/>
                        </w:rPr>
                      </w:pPr>
                    </w:p>
                  </w:txbxContent>
                </v:textbox>
                <w10:anchorlock/>
              </v:rect>
            </w:pict>
          </mc:Fallback>
        </mc:AlternateContent>
      </w:r>
    </w:p>
    <w:p w:rsidR="00376A75" w:rsidRPr="00376A75" w:rsidRDefault="00363088" w:rsidP="00651009">
      <w:pPr>
        <w:pStyle w:val="Heading3"/>
      </w:pPr>
      <w:bookmarkStart w:id="38" w:name="_Toc435802063"/>
      <w:bookmarkStart w:id="39" w:name="_Toc427232475"/>
      <w:r w:rsidRPr="00376A75">
        <w:t>3.1</w:t>
      </w:r>
      <w:r w:rsidR="00376A75" w:rsidRPr="00376A75">
        <w:t xml:space="preserve"> </w:t>
      </w:r>
      <w:r w:rsidR="00376A75">
        <w:t xml:space="preserve">Focus on young people – definition </w:t>
      </w:r>
      <w:r w:rsidR="00E005E5">
        <w:t>of the</w:t>
      </w:r>
      <w:r w:rsidR="001B2231">
        <w:t xml:space="preserve"> </w:t>
      </w:r>
      <w:r w:rsidR="00376A75">
        <w:t>sample</w:t>
      </w:r>
      <w:bookmarkEnd w:id="38"/>
    </w:p>
    <w:p w:rsidR="00376A75" w:rsidRPr="00376A75" w:rsidRDefault="00376A75" w:rsidP="00376A75">
      <w:pPr>
        <w:pStyle w:val="BodyText"/>
        <w:spacing w:line="288" w:lineRule="auto"/>
        <w:rPr>
          <w:szCs w:val="20"/>
          <w:lang w:eastAsia="en-US"/>
        </w:rPr>
      </w:pPr>
      <w:r w:rsidRPr="00376A75">
        <w:rPr>
          <w:szCs w:val="20"/>
          <w:lang w:eastAsia="en-US"/>
        </w:rPr>
        <w:t>This report uses cross-sectional survey data collected between August 2011 and March 2012 through the OECD Programme for the International Assessment of Adult Competences (PIAAC). Data was collected in 24 countries</w:t>
      </w:r>
      <w:r w:rsidRPr="00376A75">
        <w:rPr>
          <w:vertAlign w:val="superscript"/>
        </w:rPr>
        <w:footnoteReference w:id="3"/>
      </w:r>
      <w:r w:rsidRPr="00376A75">
        <w:rPr>
          <w:szCs w:val="20"/>
          <w:lang w:eastAsia="en-US"/>
        </w:rPr>
        <w:t xml:space="preserve">, including 17 European Member States. The total sample size is approximately 160,000, with a minimum of 5,000 respondents surveyed in each country. Samples for each country are representative probability samples of the population of 16-65 year olds, </w:t>
      </w:r>
      <w:r w:rsidR="001C5E35">
        <w:rPr>
          <w:szCs w:val="20"/>
          <w:lang w:eastAsia="en-US"/>
        </w:rPr>
        <w:t>although</w:t>
      </w:r>
      <w:r w:rsidR="001C5E35" w:rsidRPr="00376A75">
        <w:rPr>
          <w:szCs w:val="20"/>
          <w:lang w:eastAsia="en-US"/>
        </w:rPr>
        <w:t xml:space="preserve"> </w:t>
      </w:r>
      <w:r w:rsidRPr="00376A75">
        <w:rPr>
          <w:szCs w:val="20"/>
          <w:lang w:eastAsia="en-US"/>
        </w:rPr>
        <w:t xml:space="preserve">sampling schemes varied. Post-sampling weights are applied throughout this report. </w:t>
      </w:r>
    </w:p>
    <w:p w:rsidR="00376A75" w:rsidRDefault="00376A75" w:rsidP="00376A75">
      <w:pPr>
        <w:pStyle w:val="BodyText"/>
        <w:spacing w:line="288" w:lineRule="auto"/>
        <w:rPr>
          <w:szCs w:val="20"/>
          <w:lang w:eastAsia="en-US"/>
        </w:rPr>
      </w:pPr>
      <w:r>
        <w:rPr>
          <w:szCs w:val="20"/>
          <w:lang w:eastAsia="en-US"/>
        </w:rPr>
        <w:t>Throughout this report, we use</w:t>
      </w:r>
      <w:r w:rsidRPr="00376A75">
        <w:rPr>
          <w:szCs w:val="20"/>
          <w:lang w:eastAsia="en-US"/>
        </w:rPr>
        <w:t xml:space="preserve"> the revised Public Use Files (PUF) of PIAAC, which were released on 10 March 2015, for 16 European countries</w:t>
      </w:r>
      <w:r w:rsidR="00CB476C">
        <w:rPr>
          <w:szCs w:val="20"/>
          <w:lang w:eastAsia="en-US"/>
        </w:rPr>
        <w:t xml:space="preserve"> (or sub regions, i.e. Flanders in the case of Belgium and England and Northern Ireland in the case of the United Kingdom)</w:t>
      </w:r>
      <w:r w:rsidRPr="00376A75">
        <w:rPr>
          <w:szCs w:val="20"/>
          <w:lang w:eastAsia="en-US"/>
        </w:rPr>
        <w:t>. This excludes Cyprus, for which public use files are not available</w:t>
      </w:r>
      <w:r>
        <w:rPr>
          <w:szCs w:val="20"/>
          <w:lang w:eastAsia="en-US"/>
        </w:rPr>
        <w:t xml:space="preserve"> and data quality is questionable</w:t>
      </w:r>
      <w:r w:rsidR="00CB476C">
        <w:rPr>
          <w:szCs w:val="20"/>
          <w:lang w:eastAsia="en-US"/>
        </w:rPr>
        <w:t xml:space="preserve"> (see e.g. Heisig/Solga 2015)</w:t>
      </w:r>
      <w:r w:rsidRPr="00376A75">
        <w:rPr>
          <w:szCs w:val="20"/>
          <w:lang w:eastAsia="en-US"/>
        </w:rPr>
        <w:t xml:space="preserve">. Further, the PIAAC sample in this report is restricted to young adults aged 20-34 years old. This is based on the assumption that the relationship between qualification levels and skill proficiency is more direct for this age group, while it weakens for older age groups due to non-formal learning (with a positive effect) and skill deterioration (with a negative effect) (see Desjardins/Warnke 2012). To account for varying patterns of graduation age from tertiary education in some countries, the upper age limit was chosen to be 34. The </w:t>
      </w:r>
      <w:r w:rsidR="00445957">
        <w:rPr>
          <w:szCs w:val="20"/>
          <w:lang w:eastAsia="en-US"/>
        </w:rPr>
        <w:t>likely</w:t>
      </w:r>
      <w:r w:rsidR="00445957" w:rsidRPr="00376A75">
        <w:rPr>
          <w:szCs w:val="20"/>
          <w:lang w:eastAsia="en-US"/>
        </w:rPr>
        <w:t xml:space="preserve"> </w:t>
      </w:r>
      <w:r w:rsidRPr="00376A75">
        <w:rPr>
          <w:szCs w:val="20"/>
          <w:lang w:eastAsia="en-US"/>
        </w:rPr>
        <w:t>longer work experience of this age group which may impact on skills proficiency is controlled for in the analysis</w:t>
      </w:r>
      <w:r>
        <w:rPr>
          <w:szCs w:val="20"/>
          <w:lang w:eastAsia="en-US"/>
        </w:rPr>
        <w:t xml:space="preserve"> in Chapter </w:t>
      </w:r>
      <w:r w:rsidR="00445957">
        <w:rPr>
          <w:szCs w:val="20"/>
          <w:lang w:eastAsia="en-US"/>
        </w:rPr>
        <w:t>Five</w:t>
      </w:r>
      <w:r w:rsidRPr="00376A75">
        <w:rPr>
          <w:szCs w:val="20"/>
          <w:lang w:eastAsia="en-US"/>
        </w:rPr>
        <w:t>.</w:t>
      </w:r>
    </w:p>
    <w:p w:rsidR="00376A75" w:rsidRDefault="00376A75" w:rsidP="00376A75">
      <w:pPr>
        <w:pStyle w:val="BodyText"/>
        <w:spacing w:line="288" w:lineRule="auto"/>
        <w:rPr>
          <w:szCs w:val="20"/>
          <w:lang w:eastAsia="en-US"/>
        </w:rPr>
      </w:pPr>
      <w:r>
        <w:rPr>
          <w:szCs w:val="20"/>
          <w:lang w:eastAsia="en-US"/>
        </w:rPr>
        <w:t xml:space="preserve">Throughout the report, we exclude those young people from the analysis who </w:t>
      </w:r>
      <w:r w:rsidR="00445957">
        <w:rPr>
          <w:szCs w:val="20"/>
          <w:lang w:eastAsia="en-US"/>
        </w:rPr>
        <w:t xml:space="preserve">did </w:t>
      </w:r>
      <w:r>
        <w:rPr>
          <w:szCs w:val="20"/>
          <w:lang w:eastAsia="en-US"/>
        </w:rPr>
        <w:t>not answered the survey due to language difficulties or learning disabilities. This is referred to as literacy</w:t>
      </w:r>
      <w:r w:rsidR="00445957">
        <w:rPr>
          <w:szCs w:val="20"/>
          <w:lang w:eastAsia="en-US"/>
        </w:rPr>
        <w:t>-</w:t>
      </w:r>
      <w:r>
        <w:rPr>
          <w:szCs w:val="20"/>
          <w:lang w:eastAsia="en-US"/>
        </w:rPr>
        <w:t xml:space="preserve">related non-response. </w:t>
      </w:r>
      <w:r w:rsidR="00B86BE0">
        <w:rPr>
          <w:szCs w:val="20"/>
          <w:lang w:eastAsia="en-US"/>
        </w:rPr>
        <w:t>It should be noted that in countries with high shares of literacy</w:t>
      </w:r>
      <w:r w:rsidR="00445957">
        <w:rPr>
          <w:szCs w:val="20"/>
          <w:lang w:eastAsia="en-US"/>
        </w:rPr>
        <w:t>-</w:t>
      </w:r>
      <w:r w:rsidR="00B86BE0">
        <w:rPr>
          <w:szCs w:val="20"/>
          <w:lang w:eastAsia="en-US"/>
        </w:rPr>
        <w:t>related non-response, this exclusion may lead to an overestimation of average competences, as those with language difficulties or learning disabilities are likely to display lower competence scores than the average population.</w:t>
      </w:r>
      <w:r w:rsidR="005E00BD">
        <w:rPr>
          <w:szCs w:val="20"/>
          <w:lang w:eastAsia="en-US"/>
        </w:rPr>
        <w:t xml:space="preserve"> In the sample of young people used for this report the share of literacy</w:t>
      </w:r>
      <w:r w:rsidR="00445957">
        <w:rPr>
          <w:szCs w:val="20"/>
          <w:lang w:eastAsia="en-US"/>
        </w:rPr>
        <w:t>-</w:t>
      </w:r>
      <w:r w:rsidR="005E00BD">
        <w:rPr>
          <w:szCs w:val="20"/>
          <w:lang w:eastAsia="en-US"/>
        </w:rPr>
        <w:t xml:space="preserve">related non-response is negligible with 1% overall and below 2% in all countries except for Belgium (FL). Belgium (FL) displays </w:t>
      </w:r>
      <w:r w:rsidR="00445957">
        <w:rPr>
          <w:szCs w:val="20"/>
          <w:lang w:eastAsia="en-US"/>
        </w:rPr>
        <w:t>(at</w:t>
      </w:r>
      <w:r w:rsidR="003D33E1">
        <w:rPr>
          <w:szCs w:val="20"/>
          <w:lang w:eastAsia="en-US"/>
        </w:rPr>
        <w:t xml:space="preserve"> 9%</w:t>
      </w:r>
      <w:r w:rsidR="00445957">
        <w:rPr>
          <w:szCs w:val="20"/>
          <w:lang w:eastAsia="en-US"/>
        </w:rPr>
        <w:t>)</w:t>
      </w:r>
      <w:r w:rsidR="003D33E1">
        <w:rPr>
          <w:szCs w:val="20"/>
          <w:lang w:eastAsia="en-US"/>
        </w:rPr>
        <w:t xml:space="preserve"> </w:t>
      </w:r>
      <w:r w:rsidR="005E00BD">
        <w:rPr>
          <w:szCs w:val="20"/>
          <w:lang w:eastAsia="en-US"/>
        </w:rPr>
        <w:t>a high</w:t>
      </w:r>
      <w:r w:rsidR="00445957">
        <w:rPr>
          <w:szCs w:val="20"/>
          <w:lang w:eastAsia="en-US"/>
        </w:rPr>
        <w:t xml:space="preserve"> </w:t>
      </w:r>
      <w:r w:rsidR="005E00BD">
        <w:rPr>
          <w:szCs w:val="20"/>
          <w:lang w:eastAsia="en-US"/>
        </w:rPr>
        <w:t>rate of literacy</w:t>
      </w:r>
      <w:r w:rsidR="00445957">
        <w:rPr>
          <w:szCs w:val="20"/>
          <w:lang w:eastAsia="en-US"/>
        </w:rPr>
        <w:t>-</w:t>
      </w:r>
      <w:r w:rsidR="005E00BD">
        <w:rPr>
          <w:szCs w:val="20"/>
          <w:lang w:eastAsia="en-US"/>
        </w:rPr>
        <w:t>related non-response</w:t>
      </w:r>
      <w:r w:rsidR="003D33E1">
        <w:rPr>
          <w:szCs w:val="20"/>
          <w:lang w:eastAsia="en-US"/>
        </w:rPr>
        <w:t xml:space="preserve"> in the age group of 20-34 year olds. This may primarily </w:t>
      </w:r>
      <w:r w:rsidR="00445957">
        <w:rPr>
          <w:szCs w:val="20"/>
          <w:lang w:eastAsia="en-US"/>
        </w:rPr>
        <w:t xml:space="preserve">be </w:t>
      </w:r>
      <w:r w:rsidR="003D33E1">
        <w:rPr>
          <w:szCs w:val="20"/>
          <w:lang w:eastAsia="en-US"/>
        </w:rPr>
        <w:t>due to the fact that the test was administered in Dutch</w:t>
      </w:r>
      <w:r w:rsidR="00445957">
        <w:rPr>
          <w:szCs w:val="20"/>
          <w:lang w:eastAsia="en-US"/>
        </w:rPr>
        <w:t>, while part of the population may be native French (or German) speakers</w:t>
      </w:r>
      <w:r w:rsidR="003D33E1">
        <w:rPr>
          <w:szCs w:val="20"/>
          <w:lang w:eastAsia="en-US"/>
        </w:rPr>
        <w:t>. However, it is difficult to quantify the effect of this high share of non-responses on the estimations in the subsequent analysis. Hence, t</w:t>
      </w:r>
      <w:r w:rsidR="00B86BE0">
        <w:rPr>
          <w:szCs w:val="20"/>
          <w:lang w:eastAsia="en-US"/>
        </w:rPr>
        <w:t>his caveat should be kept in mind in the interpreta</w:t>
      </w:r>
      <w:r w:rsidR="003D33E1">
        <w:rPr>
          <w:szCs w:val="20"/>
          <w:lang w:eastAsia="en-US"/>
        </w:rPr>
        <w:t>tion of the subsequent analysis for Belgium</w:t>
      </w:r>
      <w:r w:rsidR="00086C05">
        <w:rPr>
          <w:szCs w:val="20"/>
          <w:lang w:eastAsia="en-US"/>
        </w:rPr>
        <w:t xml:space="preserve"> (FL)</w:t>
      </w:r>
      <w:r w:rsidR="003D33E1">
        <w:rPr>
          <w:szCs w:val="20"/>
          <w:lang w:eastAsia="en-US"/>
        </w:rPr>
        <w:t>. A full overview of literacy</w:t>
      </w:r>
      <w:r w:rsidR="00445957">
        <w:rPr>
          <w:szCs w:val="20"/>
          <w:lang w:eastAsia="en-US"/>
        </w:rPr>
        <w:t>-</w:t>
      </w:r>
      <w:r w:rsidR="003D33E1">
        <w:rPr>
          <w:szCs w:val="20"/>
          <w:lang w:eastAsia="en-US"/>
        </w:rPr>
        <w:t xml:space="preserve">related non-response in the sample can be found in </w:t>
      </w:r>
      <w:r w:rsidR="00086C05" w:rsidRPr="00086C05">
        <w:rPr>
          <w:szCs w:val="20"/>
          <w:lang w:eastAsia="en-US"/>
        </w:rPr>
        <w:t>Annex III</w:t>
      </w:r>
      <w:r w:rsidR="003D33E1" w:rsidRPr="00086C05">
        <w:rPr>
          <w:szCs w:val="20"/>
          <w:lang w:eastAsia="en-US"/>
        </w:rPr>
        <w:t>.</w:t>
      </w:r>
    </w:p>
    <w:p w:rsidR="00F8381C" w:rsidRDefault="00B86BE0" w:rsidP="00086C05">
      <w:pPr>
        <w:pStyle w:val="BodyText"/>
        <w:spacing w:line="288" w:lineRule="auto"/>
        <w:rPr>
          <w:rFonts w:cs="Arial"/>
          <w:b/>
          <w:bCs/>
          <w:iCs/>
          <w:color w:val="263673"/>
          <w:sz w:val="22"/>
          <w:szCs w:val="28"/>
        </w:rPr>
      </w:pPr>
      <w:r>
        <w:rPr>
          <w:szCs w:val="20"/>
          <w:lang w:eastAsia="en-US"/>
        </w:rPr>
        <w:t xml:space="preserve">Moreover, in order to provide a comprehensive picture of </w:t>
      </w:r>
      <w:r w:rsidR="00445957">
        <w:rPr>
          <w:szCs w:val="20"/>
          <w:lang w:eastAsia="en-US"/>
        </w:rPr>
        <w:t xml:space="preserve">the </w:t>
      </w:r>
      <w:r>
        <w:rPr>
          <w:szCs w:val="20"/>
          <w:lang w:eastAsia="en-US"/>
        </w:rPr>
        <w:t xml:space="preserve">competences of all young people across Europe </w:t>
      </w:r>
      <w:r w:rsidR="00445957">
        <w:rPr>
          <w:szCs w:val="20"/>
          <w:lang w:eastAsia="en-US"/>
        </w:rPr>
        <w:t xml:space="preserve">as well as </w:t>
      </w:r>
      <w:r>
        <w:rPr>
          <w:szCs w:val="20"/>
          <w:lang w:eastAsia="en-US"/>
        </w:rPr>
        <w:t>in particular Member States, our analysis includes the competences of all young people aged 20-34 in the country independently of where the young person acquired his or her highest level of qualification.</w:t>
      </w:r>
      <w:r w:rsidR="00F8381C">
        <w:rPr>
          <w:szCs w:val="20"/>
          <w:lang w:eastAsia="en-US"/>
        </w:rPr>
        <w:t xml:space="preserve"> For the purpose</w:t>
      </w:r>
      <w:r w:rsidR="00086C05">
        <w:rPr>
          <w:szCs w:val="20"/>
          <w:lang w:eastAsia="en-US"/>
        </w:rPr>
        <w:t>s</w:t>
      </w:r>
      <w:r w:rsidR="00F8381C">
        <w:rPr>
          <w:szCs w:val="20"/>
          <w:lang w:eastAsia="en-US"/>
        </w:rPr>
        <w:t xml:space="preserve"> of interpretation of the data</w:t>
      </w:r>
      <w:r w:rsidR="00086C05">
        <w:rPr>
          <w:szCs w:val="20"/>
          <w:lang w:eastAsia="en-US"/>
        </w:rPr>
        <w:t>,</w:t>
      </w:r>
      <w:r w:rsidR="00F8381C">
        <w:rPr>
          <w:szCs w:val="20"/>
          <w:lang w:eastAsia="en-US"/>
        </w:rPr>
        <w:t xml:space="preserve"> it should be noted that while only 1% of young people in our sample have acquired their highest level of formal qualification outside of the education system of the country in which they took the PIAAC test, this share is higher in some countries. In Denmark 3% of young people </w:t>
      </w:r>
      <w:r w:rsidR="00086C05">
        <w:rPr>
          <w:szCs w:val="20"/>
          <w:lang w:eastAsia="en-US"/>
        </w:rPr>
        <w:t>did not acquire</w:t>
      </w:r>
      <w:r w:rsidR="00F8381C">
        <w:rPr>
          <w:szCs w:val="20"/>
          <w:lang w:eastAsia="en-US"/>
        </w:rPr>
        <w:t xml:space="preserve"> their highest degree within the Danish education system, while in Austria 9% of young people </w:t>
      </w:r>
      <w:r w:rsidR="00086C05">
        <w:rPr>
          <w:szCs w:val="20"/>
          <w:lang w:eastAsia="en-US"/>
        </w:rPr>
        <w:t>did not acquire</w:t>
      </w:r>
      <w:r w:rsidR="00F8381C">
        <w:rPr>
          <w:szCs w:val="20"/>
          <w:lang w:eastAsia="en-US"/>
        </w:rPr>
        <w:t xml:space="preserve"> their highest degree within the Austrian education system. Again, this is likely to influence the interpretation of the data, yet we cannot determine the direction of the impact.</w:t>
      </w:r>
    </w:p>
    <w:p w:rsidR="00713D80" w:rsidRDefault="00376A75" w:rsidP="00363088">
      <w:pPr>
        <w:pStyle w:val="Heading2"/>
      </w:pPr>
      <w:bookmarkStart w:id="40" w:name="_Toc435802064"/>
      <w:r>
        <w:t>3.2</w:t>
      </w:r>
      <w:r w:rsidR="00363088">
        <w:t xml:space="preserve"> </w:t>
      </w:r>
      <w:r w:rsidR="003B13B4">
        <w:t>Distribution of proficiency levels across</w:t>
      </w:r>
      <w:r w:rsidR="00DC200A">
        <w:t xml:space="preserve"> and within</w:t>
      </w:r>
      <w:r w:rsidR="003B13B4">
        <w:t xml:space="preserve"> </w:t>
      </w:r>
      <w:r w:rsidR="00DE6B9A">
        <w:t>Member States</w:t>
      </w:r>
      <w:bookmarkEnd w:id="40"/>
    </w:p>
    <w:p w:rsidR="003B13B4" w:rsidRPr="00AF30EE" w:rsidRDefault="003B13B4" w:rsidP="000E4E30">
      <w:pPr>
        <w:pStyle w:val="BodyText"/>
        <w:spacing w:line="288" w:lineRule="auto"/>
        <w:rPr>
          <w:szCs w:val="20"/>
        </w:rPr>
      </w:pPr>
      <w:r w:rsidRPr="00AF30EE">
        <w:rPr>
          <w:szCs w:val="20"/>
        </w:rPr>
        <w:t>To gain a first impression of the distribution of young people’s literacy and numeracy competences across Europe, this section presents data on the performance of young people at different proficiency levels across Member States. Proficiency in the numeracy and literacy dimension has been grouped at 6 levels by the OECD</w:t>
      </w:r>
      <w:r w:rsidR="00713D80" w:rsidRPr="00AF30EE">
        <w:rPr>
          <w:szCs w:val="20"/>
        </w:rPr>
        <w:t xml:space="preserve"> (2013b):</w:t>
      </w:r>
    </w:p>
    <w:p w:rsidR="00713D80" w:rsidRPr="00AF30EE" w:rsidRDefault="00713D80" w:rsidP="00A05A88">
      <w:pPr>
        <w:pStyle w:val="BodyText"/>
        <w:numPr>
          <w:ilvl w:val="0"/>
          <w:numId w:val="23"/>
        </w:numPr>
        <w:spacing w:line="288" w:lineRule="auto"/>
        <w:rPr>
          <w:rFonts w:cs="Arial"/>
          <w:szCs w:val="20"/>
        </w:rPr>
      </w:pPr>
      <w:r w:rsidRPr="00AF30EE">
        <w:rPr>
          <w:rFonts w:eastAsiaTheme="minorHAnsi" w:cs="Arial"/>
          <w:szCs w:val="20"/>
          <w:lang w:eastAsia="en-US"/>
        </w:rPr>
        <w:t>Below level 1 (below 176 points): adults can perform very simple tasks in familiar context</w:t>
      </w:r>
      <w:r w:rsidR="00445957" w:rsidRPr="00AF30EE">
        <w:rPr>
          <w:rFonts w:eastAsiaTheme="minorHAnsi" w:cs="Arial"/>
          <w:szCs w:val="20"/>
          <w:lang w:eastAsia="en-US"/>
        </w:rPr>
        <w:t>s</w:t>
      </w:r>
      <w:r w:rsidRPr="00AF30EE">
        <w:rPr>
          <w:rFonts w:eastAsiaTheme="minorHAnsi" w:cs="Arial"/>
          <w:szCs w:val="20"/>
          <w:lang w:eastAsia="en-US"/>
        </w:rPr>
        <w:t xml:space="preserve"> with simple process</w:t>
      </w:r>
      <w:r w:rsidR="00376A75" w:rsidRPr="00AF30EE">
        <w:rPr>
          <w:rFonts w:eastAsiaTheme="minorHAnsi" w:cs="Arial"/>
          <w:szCs w:val="20"/>
          <w:lang w:eastAsia="en-US"/>
        </w:rPr>
        <w:t>es</w:t>
      </w:r>
      <w:r w:rsidRPr="00AF30EE">
        <w:rPr>
          <w:rFonts w:eastAsiaTheme="minorHAnsi" w:cs="Arial"/>
          <w:szCs w:val="20"/>
          <w:lang w:eastAsia="en-US"/>
        </w:rPr>
        <w:t xml:space="preserve"> such as reading a text </w:t>
      </w:r>
      <w:r w:rsidR="00445957" w:rsidRPr="00AF30EE">
        <w:rPr>
          <w:rFonts w:eastAsiaTheme="minorHAnsi" w:cs="Arial"/>
          <w:szCs w:val="20"/>
          <w:lang w:eastAsia="en-US"/>
        </w:rPr>
        <w:t xml:space="preserve">or </w:t>
      </w:r>
      <w:r w:rsidRPr="00AF30EE">
        <w:rPr>
          <w:rFonts w:eastAsiaTheme="minorHAnsi" w:cs="Arial"/>
          <w:szCs w:val="20"/>
          <w:lang w:eastAsia="en-US"/>
        </w:rPr>
        <w:t>answering a</w:t>
      </w:r>
      <w:r w:rsidR="00445957" w:rsidRPr="00AF30EE">
        <w:rPr>
          <w:rFonts w:eastAsiaTheme="minorHAnsi" w:cs="Arial"/>
          <w:szCs w:val="20"/>
          <w:lang w:eastAsia="en-US"/>
        </w:rPr>
        <w:t xml:space="preserve"> simple</w:t>
      </w:r>
      <w:r w:rsidRPr="00AF30EE">
        <w:rPr>
          <w:rFonts w:eastAsiaTheme="minorHAnsi" w:cs="Arial"/>
          <w:szCs w:val="20"/>
          <w:lang w:eastAsia="en-US"/>
        </w:rPr>
        <w:t xml:space="preserve"> question for literacy, and basic arithmetic for numeracy</w:t>
      </w:r>
      <w:r w:rsidRPr="00AF30EE">
        <w:rPr>
          <w:rFonts w:cs="Arial"/>
          <w:szCs w:val="20"/>
        </w:rPr>
        <w:t xml:space="preserve">. </w:t>
      </w:r>
    </w:p>
    <w:p w:rsidR="00713D80" w:rsidRPr="00AF30EE" w:rsidRDefault="00713D80" w:rsidP="00A05A88">
      <w:pPr>
        <w:pStyle w:val="ListParagraph"/>
        <w:numPr>
          <w:ilvl w:val="0"/>
          <w:numId w:val="23"/>
        </w:numPr>
        <w:autoSpaceDE w:val="0"/>
        <w:autoSpaceDN w:val="0"/>
        <w:adjustRightInd w:val="0"/>
        <w:spacing w:after="120" w:line="288" w:lineRule="auto"/>
        <w:rPr>
          <w:rFonts w:cs="Arial"/>
          <w:szCs w:val="20"/>
        </w:rPr>
      </w:pPr>
      <w:r w:rsidRPr="00AF30EE">
        <w:rPr>
          <w:rFonts w:cs="Arial"/>
          <w:szCs w:val="20"/>
        </w:rPr>
        <w:t>Level 1 (from 176 to 225 points): adults at this level are expected to recognise basic vocabulary and determin</w:t>
      </w:r>
      <w:r w:rsidR="00445957" w:rsidRPr="00AF30EE">
        <w:rPr>
          <w:rFonts w:cs="Arial"/>
          <w:szCs w:val="20"/>
        </w:rPr>
        <w:t>e</w:t>
      </w:r>
      <w:r w:rsidRPr="00AF30EE">
        <w:rPr>
          <w:rFonts w:cs="Arial"/>
          <w:szCs w:val="20"/>
        </w:rPr>
        <w:t xml:space="preserve"> meaning in paragraphs for literacy; for numeracy, they are expected to complete tasks which demand a one-step process such as understanding percentages </w:t>
      </w:r>
      <w:r w:rsidR="00445957" w:rsidRPr="00AF30EE">
        <w:rPr>
          <w:rFonts w:cs="Arial"/>
          <w:szCs w:val="20"/>
        </w:rPr>
        <w:t xml:space="preserve">or </w:t>
      </w:r>
      <w:r w:rsidRPr="00AF30EE">
        <w:rPr>
          <w:rFonts w:cs="Arial"/>
          <w:szCs w:val="20"/>
        </w:rPr>
        <w:t>other</w:t>
      </w:r>
      <w:r w:rsidR="00445957" w:rsidRPr="00AF30EE">
        <w:rPr>
          <w:rFonts w:cs="Arial"/>
          <w:szCs w:val="20"/>
        </w:rPr>
        <w:t xml:space="preserve"> basic</w:t>
      </w:r>
      <w:r w:rsidRPr="00AF30EE">
        <w:rPr>
          <w:rFonts w:cs="Arial"/>
          <w:szCs w:val="20"/>
        </w:rPr>
        <w:t xml:space="preserve"> arithmetic operations. </w:t>
      </w:r>
    </w:p>
    <w:p w:rsidR="00713D80" w:rsidRPr="00AF30EE" w:rsidRDefault="00713D80" w:rsidP="00A05A88">
      <w:pPr>
        <w:pStyle w:val="ListParagraph"/>
        <w:numPr>
          <w:ilvl w:val="0"/>
          <w:numId w:val="23"/>
        </w:numPr>
        <w:autoSpaceDE w:val="0"/>
        <w:autoSpaceDN w:val="0"/>
        <w:adjustRightInd w:val="0"/>
        <w:spacing w:after="120" w:line="288" w:lineRule="auto"/>
        <w:rPr>
          <w:rFonts w:cs="Arial"/>
          <w:szCs w:val="20"/>
        </w:rPr>
      </w:pPr>
      <w:r w:rsidRPr="00AF30EE">
        <w:rPr>
          <w:rFonts w:cs="Arial"/>
          <w:szCs w:val="20"/>
        </w:rPr>
        <w:t xml:space="preserve">Level 2 (from 226 to 275 points): </w:t>
      </w:r>
      <w:r w:rsidR="00445957" w:rsidRPr="00AF30EE">
        <w:rPr>
          <w:rFonts w:cs="Arial"/>
          <w:szCs w:val="20"/>
        </w:rPr>
        <w:t xml:space="preserve">for literacy, </w:t>
      </w:r>
      <w:r w:rsidRPr="00AF30EE">
        <w:rPr>
          <w:rFonts w:cs="Arial"/>
          <w:szCs w:val="20"/>
        </w:rPr>
        <w:t xml:space="preserve">adults can accomplish two or more step processes and interpret relatively simple information </w:t>
      </w:r>
      <w:r w:rsidR="008B08FA" w:rsidRPr="00AF30EE">
        <w:rPr>
          <w:rFonts w:cs="Arial"/>
          <w:szCs w:val="20"/>
        </w:rPr>
        <w:t>through for example</w:t>
      </w:r>
      <w:r w:rsidRPr="00AF30EE">
        <w:rPr>
          <w:rFonts w:cs="Arial"/>
          <w:szCs w:val="20"/>
        </w:rPr>
        <w:t xml:space="preserve"> paraphrasing or </w:t>
      </w:r>
      <w:r w:rsidR="008B08FA" w:rsidRPr="00AF30EE">
        <w:rPr>
          <w:rFonts w:cs="Arial"/>
          <w:szCs w:val="20"/>
        </w:rPr>
        <w:t xml:space="preserve">using </w:t>
      </w:r>
      <w:r w:rsidRPr="00AF30EE">
        <w:rPr>
          <w:rFonts w:cs="Arial"/>
          <w:szCs w:val="20"/>
        </w:rPr>
        <w:t xml:space="preserve">some inference; for numeracy, they can complete tasks which demand some </w:t>
      </w:r>
      <w:r w:rsidR="008B08FA" w:rsidRPr="00AF30EE">
        <w:rPr>
          <w:rFonts w:cs="Arial"/>
          <w:szCs w:val="20"/>
        </w:rPr>
        <w:t>textual</w:t>
      </w:r>
      <w:r w:rsidRPr="00AF30EE">
        <w:rPr>
          <w:rFonts w:cs="Arial"/>
          <w:szCs w:val="20"/>
        </w:rPr>
        <w:t xml:space="preserve"> interpretation of graphs with explicit mathematical content.</w:t>
      </w:r>
    </w:p>
    <w:p w:rsidR="00713D80" w:rsidRPr="00AF30EE" w:rsidRDefault="00713D80" w:rsidP="00A05A88">
      <w:pPr>
        <w:pStyle w:val="ListParagraph"/>
        <w:numPr>
          <w:ilvl w:val="0"/>
          <w:numId w:val="23"/>
        </w:numPr>
        <w:autoSpaceDE w:val="0"/>
        <w:autoSpaceDN w:val="0"/>
        <w:adjustRightInd w:val="0"/>
        <w:spacing w:after="120" w:line="288" w:lineRule="auto"/>
        <w:rPr>
          <w:rFonts w:cs="Arial"/>
          <w:szCs w:val="20"/>
        </w:rPr>
      </w:pPr>
      <w:r w:rsidRPr="00AF30EE">
        <w:rPr>
          <w:rFonts w:cs="Arial"/>
          <w:szCs w:val="20"/>
        </w:rPr>
        <w:t xml:space="preserve">Level 3 (from 276 to 325): </w:t>
      </w:r>
      <w:r w:rsidR="008B08FA" w:rsidRPr="00AF30EE">
        <w:rPr>
          <w:rFonts w:cs="Arial"/>
          <w:szCs w:val="20"/>
        </w:rPr>
        <w:t xml:space="preserve">for literacy, </w:t>
      </w:r>
      <w:r w:rsidRPr="00AF30EE">
        <w:rPr>
          <w:rFonts w:cs="Arial"/>
          <w:szCs w:val="20"/>
        </w:rPr>
        <w:t>they can successfully perform tasks in an unfamiliar context where texts are more dense and carry out demanding interpretation or evaluation for the construction of meaning; for numeracy, they can perform tasks which demand dealing with patterns, mathematical relationships and basic statistical interpretation.</w:t>
      </w:r>
    </w:p>
    <w:p w:rsidR="00713D80" w:rsidRPr="00AF30EE" w:rsidRDefault="00713D80" w:rsidP="00A05A88">
      <w:pPr>
        <w:pStyle w:val="ListParagraph"/>
        <w:numPr>
          <w:ilvl w:val="0"/>
          <w:numId w:val="23"/>
        </w:numPr>
        <w:autoSpaceDE w:val="0"/>
        <w:autoSpaceDN w:val="0"/>
        <w:adjustRightInd w:val="0"/>
        <w:spacing w:after="120" w:line="288" w:lineRule="auto"/>
        <w:rPr>
          <w:rFonts w:cs="Arial"/>
          <w:szCs w:val="20"/>
        </w:rPr>
      </w:pPr>
      <w:r w:rsidRPr="00AF30EE">
        <w:rPr>
          <w:rFonts w:cs="Arial"/>
          <w:szCs w:val="20"/>
        </w:rPr>
        <w:t xml:space="preserve">Level 4 (from 326 to 375): </w:t>
      </w:r>
      <w:r w:rsidR="008B08FA" w:rsidRPr="00AF30EE">
        <w:rPr>
          <w:rFonts w:cs="Arial"/>
          <w:szCs w:val="20"/>
        </w:rPr>
        <w:t xml:space="preserve">for literacy, </w:t>
      </w:r>
      <w:r w:rsidRPr="00AF30EE">
        <w:rPr>
          <w:rFonts w:cs="Arial"/>
          <w:szCs w:val="20"/>
        </w:rPr>
        <w:t>adults at this level are expected to synthesise multiple types of texts using background knowledge and dealing with competing information; for numeracy, they are expected to be able to complete tasks demanding complex reasoning and analysis of abstract and unfamiliar data.</w:t>
      </w:r>
    </w:p>
    <w:p w:rsidR="00713D80" w:rsidRPr="00AF30EE" w:rsidRDefault="00713D80" w:rsidP="00A05A88">
      <w:pPr>
        <w:pStyle w:val="ListParagraph"/>
        <w:numPr>
          <w:ilvl w:val="0"/>
          <w:numId w:val="23"/>
        </w:numPr>
        <w:autoSpaceDE w:val="0"/>
        <w:autoSpaceDN w:val="0"/>
        <w:adjustRightInd w:val="0"/>
        <w:spacing w:after="120" w:line="288" w:lineRule="auto"/>
        <w:rPr>
          <w:rFonts w:cs="Arial"/>
          <w:szCs w:val="20"/>
        </w:rPr>
      </w:pPr>
      <w:r w:rsidRPr="00AF30EE">
        <w:rPr>
          <w:rFonts w:cs="Arial"/>
          <w:szCs w:val="20"/>
        </w:rPr>
        <w:t xml:space="preserve">Level 5 (from 376 to 500): </w:t>
      </w:r>
      <w:r w:rsidR="008B08FA" w:rsidRPr="00AF30EE">
        <w:rPr>
          <w:rFonts w:cs="Arial"/>
          <w:szCs w:val="20"/>
        </w:rPr>
        <w:t xml:space="preserve">for literacy, </w:t>
      </w:r>
      <w:r w:rsidRPr="00AF30EE">
        <w:rPr>
          <w:rFonts w:cs="Arial"/>
          <w:szCs w:val="20"/>
        </w:rPr>
        <w:t xml:space="preserve">adults </w:t>
      </w:r>
      <w:r w:rsidR="008B08FA" w:rsidRPr="00AF30EE">
        <w:rPr>
          <w:rFonts w:cs="Arial"/>
          <w:szCs w:val="20"/>
        </w:rPr>
        <w:t xml:space="preserve">at this level </w:t>
      </w:r>
      <w:r w:rsidRPr="00AF30EE">
        <w:rPr>
          <w:rFonts w:cs="Arial"/>
          <w:szCs w:val="20"/>
        </w:rPr>
        <w:t>are expected to deal with dense texts, search</w:t>
      </w:r>
      <w:r w:rsidR="008B08FA" w:rsidRPr="00AF30EE">
        <w:rPr>
          <w:rFonts w:cs="Arial"/>
          <w:szCs w:val="20"/>
        </w:rPr>
        <w:t xml:space="preserve"> for</w:t>
      </w:r>
      <w:r w:rsidRPr="00AF30EE">
        <w:rPr>
          <w:rFonts w:cs="Arial"/>
          <w:szCs w:val="20"/>
        </w:rPr>
        <w:t xml:space="preserve"> and interpret information and evaluate arguments based on the evidence; for numeracy, respondents </w:t>
      </w:r>
      <w:r w:rsidR="008B08FA" w:rsidRPr="00AF30EE">
        <w:rPr>
          <w:rFonts w:cs="Arial"/>
          <w:szCs w:val="20"/>
        </w:rPr>
        <w:t xml:space="preserve">must be able </w:t>
      </w:r>
      <w:r w:rsidRPr="00AF30EE">
        <w:rPr>
          <w:rFonts w:cs="Arial"/>
          <w:szCs w:val="20"/>
        </w:rPr>
        <w:t>to evaluate complex representations integrating multiple types of mathematical information and developing mathematical arguments.</w:t>
      </w:r>
    </w:p>
    <w:p w:rsidR="00442118" w:rsidRPr="00AF30EE" w:rsidRDefault="00442118" w:rsidP="000E4E30">
      <w:pPr>
        <w:pStyle w:val="BodyText"/>
        <w:spacing w:line="288" w:lineRule="auto"/>
        <w:rPr>
          <w:szCs w:val="20"/>
        </w:rPr>
      </w:pPr>
      <w:r w:rsidRPr="00AF30EE">
        <w:rPr>
          <w:szCs w:val="20"/>
        </w:rPr>
        <w:t>As has been noted by the OECD, level 3 does not constitute a b</w:t>
      </w:r>
      <w:r w:rsidR="00F94B4A">
        <w:rPr>
          <w:szCs w:val="20"/>
        </w:rPr>
        <w:t xml:space="preserve">enchmark as such (OECD 2013: </w:t>
      </w:r>
      <w:r w:rsidRPr="00AF30EE">
        <w:rPr>
          <w:szCs w:val="20"/>
        </w:rPr>
        <w:t>99). However, it may be seen as the step where respondents move from relatively basic competences to more complex skills and understanding.</w:t>
      </w:r>
    </w:p>
    <w:p w:rsidR="00C84FC3" w:rsidRDefault="003B13B4" w:rsidP="00651009">
      <w:pPr>
        <w:pStyle w:val="BodyText"/>
        <w:spacing w:line="288" w:lineRule="auto"/>
        <w:rPr>
          <w:rFonts w:cs="Arial"/>
          <w:szCs w:val="20"/>
          <w:lang w:eastAsia="en-US"/>
        </w:rPr>
      </w:pPr>
      <w:r w:rsidRPr="00AF30EE">
        <w:rPr>
          <w:szCs w:val="20"/>
        </w:rPr>
        <w:t>The following highlights the overall distribution of competences, as well as country’s shares of highest and lowest performers</w:t>
      </w:r>
      <w:r w:rsidRPr="00AF30EE">
        <w:rPr>
          <w:rFonts w:cs="Arial"/>
          <w:szCs w:val="20"/>
          <w:lang w:eastAsia="en-US"/>
        </w:rPr>
        <w:t>.</w:t>
      </w:r>
    </w:p>
    <w:p w:rsidR="00713D80" w:rsidRPr="00B26C5A" w:rsidRDefault="008D0022" w:rsidP="00363088">
      <w:pPr>
        <w:pStyle w:val="Heading3"/>
      </w:pPr>
      <w:bookmarkStart w:id="41" w:name="_Toc427154745"/>
      <w:bookmarkStart w:id="42" w:name="_Toc427232473"/>
      <w:bookmarkStart w:id="43" w:name="_Toc432865481"/>
      <w:bookmarkStart w:id="44" w:name="_Toc432873746"/>
      <w:bookmarkStart w:id="45" w:name="_Toc435620144"/>
      <w:bookmarkStart w:id="46" w:name="_Toc435802065"/>
      <w:r>
        <w:t>3.2</w:t>
      </w:r>
      <w:r w:rsidR="00DC200A">
        <w:t xml:space="preserve">.1 </w:t>
      </w:r>
      <w:r w:rsidR="00713D80" w:rsidRPr="00B26C5A">
        <w:t>Distribution of proficiency levels - numeracy</w:t>
      </w:r>
      <w:bookmarkEnd w:id="41"/>
      <w:bookmarkEnd w:id="42"/>
      <w:bookmarkEnd w:id="43"/>
      <w:bookmarkEnd w:id="44"/>
      <w:bookmarkEnd w:id="45"/>
      <w:bookmarkEnd w:id="46"/>
      <w:r w:rsidR="00713D80" w:rsidRPr="00B26C5A">
        <w:t xml:space="preserve"> </w:t>
      </w:r>
    </w:p>
    <w:p w:rsidR="003B13B4" w:rsidRPr="001E31D3" w:rsidRDefault="00713D80" w:rsidP="000E4E30">
      <w:pPr>
        <w:pStyle w:val="BodyText"/>
        <w:spacing w:line="288" w:lineRule="auto"/>
        <w:rPr>
          <w:szCs w:val="20"/>
        </w:rPr>
      </w:pPr>
      <w:r w:rsidRPr="001E31D3">
        <w:rPr>
          <w:szCs w:val="20"/>
        </w:rPr>
        <w:t>Figure 3.1 below displays the share of young people aged 20-34 scoring at each of the six proficiency levels (</w:t>
      </w:r>
      <w:r w:rsidR="008B08FA" w:rsidRPr="001E31D3">
        <w:rPr>
          <w:szCs w:val="20"/>
        </w:rPr>
        <w:t xml:space="preserve">from </w:t>
      </w:r>
      <w:r w:rsidRPr="001E31D3">
        <w:rPr>
          <w:szCs w:val="20"/>
        </w:rPr>
        <w:t xml:space="preserve">below level 1 to level 5) on the numeracy scale. Countries are ranked in decreasing order of the share of young people achieving level 3 and above.  </w:t>
      </w:r>
    </w:p>
    <w:p w:rsidR="00713D80" w:rsidRPr="002E793E" w:rsidRDefault="00713D80" w:rsidP="000E4E30">
      <w:pPr>
        <w:pStyle w:val="Caption"/>
        <w:spacing w:before="0" w:after="120" w:line="288" w:lineRule="auto"/>
        <w:jc w:val="left"/>
        <w:rPr>
          <w:rFonts w:ascii="Verdana" w:hAnsi="Verdana"/>
          <w:sz w:val="20"/>
        </w:rPr>
      </w:pPr>
      <w:r w:rsidRPr="00442118">
        <w:rPr>
          <w:rFonts w:ascii="Verdana" w:hAnsi="Verdana"/>
          <w:b w:val="0"/>
          <w:color w:val="1F497D" w:themeColor="text2"/>
          <w:sz w:val="20"/>
        </w:rPr>
        <w:t xml:space="preserve">Figure </w:t>
      </w:r>
      <w:r w:rsidR="00363088">
        <w:rPr>
          <w:rFonts w:ascii="Verdana" w:hAnsi="Verdana"/>
          <w:b w:val="0"/>
          <w:color w:val="1F497D" w:themeColor="text2"/>
          <w:sz w:val="20"/>
        </w:rPr>
        <w:t>3.1</w:t>
      </w:r>
      <w:r w:rsidR="00C84FC3">
        <w:rPr>
          <w:rFonts w:ascii="Verdana" w:hAnsi="Verdana"/>
          <w:b w:val="0"/>
          <w:color w:val="1F497D" w:themeColor="text2"/>
          <w:sz w:val="20"/>
        </w:rPr>
        <w:t xml:space="preserve"> </w:t>
      </w:r>
      <w:r w:rsidRPr="00442118">
        <w:rPr>
          <w:rFonts w:ascii="Verdana" w:hAnsi="Verdana"/>
          <w:b w:val="0"/>
          <w:color w:val="1F497D" w:themeColor="text2"/>
          <w:sz w:val="20"/>
        </w:rPr>
        <w:t>Percentage of young adults (20-34) scoring at each proficiency level in numeracy</w:t>
      </w:r>
      <w:r w:rsidRPr="002E793E">
        <w:rPr>
          <w:rFonts w:ascii="Verdana" w:hAnsi="Verdana"/>
          <w:noProof/>
          <w:color w:val="1F497D" w:themeColor="text2"/>
          <w:sz w:val="20"/>
        </w:rPr>
        <w:t xml:space="preserve"> </w:t>
      </w:r>
      <w:r w:rsidR="00F8381C">
        <w:rPr>
          <w:noProof/>
          <w:lang w:val="en-US"/>
        </w:rPr>
        <w:drawing>
          <wp:inline distT="0" distB="0" distL="0" distR="0" wp14:anchorId="26480C5E" wp14:editId="350F391B">
            <wp:extent cx="5580000" cy="5220000"/>
            <wp:effectExtent l="0" t="0" r="20955" b="0"/>
            <wp:docPr id="294" name="Chart 29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13D80" w:rsidRPr="009D0854" w:rsidRDefault="00713D80" w:rsidP="000E4E30">
      <w:pPr>
        <w:spacing w:after="120" w:line="288" w:lineRule="auto"/>
        <w:rPr>
          <w:rFonts w:cs="Arial"/>
          <w:i/>
          <w:sz w:val="16"/>
          <w:szCs w:val="16"/>
        </w:rPr>
      </w:pPr>
      <w:r w:rsidRPr="009D0854">
        <w:rPr>
          <w:rFonts w:cs="Arial"/>
          <w:i/>
          <w:sz w:val="16"/>
          <w:szCs w:val="16"/>
        </w:rPr>
        <w:t>Notes: Own calculations, presentation adapted from OECD (2013) Survey of Adult Skills, mean scores are shown with a .95 confidence interval. Literacy-related non-response (missing) is excluded from the calculation of mean scores.</w:t>
      </w:r>
    </w:p>
    <w:p w:rsidR="00713D80" w:rsidRPr="000E4E30" w:rsidRDefault="00713D80" w:rsidP="000E4E30">
      <w:pPr>
        <w:spacing w:after="120" w:line="288" w:lineRule="auto"/>
        <w:rPr>
          <w:szCs w:val="20"/>
        </w:rPr>
      </w:pPr>
      <w:r w:rsidRPr="000E4E30">
        <w:rPr>
          <w:szCs w:val="20"/>
        </w:rPr>
        <w:t xml:space="preserve">Across the EU-16, more than one in two young people display numeracy competences at </w:t>
      </w:r>
      <w:r w:rsidRPr="000E4E30">
        <w:rPr>
          <w:b/>
          <w:color w:val="1F497D" w:themeColor="text2"/>
          <w:szCs w:val="20"/>
        </w:rPr>
        <w:t>level 3 or above</w:t>
      </w:r>
      <w:r w:rsidRPr="000E4E30">
        <w:rPr>
          <w:color w:val="1F497D" w:themeColor="text2"/>
          <w:szCs w:val="20"/>
        </w:rPr>
        <w:t xml:space="preserve"> </w:t>
      </w:r>
      <w:r w:rsidRPr="000E4E30">
        <w:rPr>
          <w:szCs w:val="20"/>
        </w:rPr>
        <w:t xml:space="preserve">(55.6%), with the majority of countries scoring higher than this average. Only in France, Italy, Ireland, Poland, Spain and the </w:t>
      </w:r>
      <w:r w:rsidR="00B86BE0">
        <w:rPr>
          <w:szCs w:val="20"/>
        </w:rPr>
        <w:t>UK (EN/NI)</w:t>
      </w:r>
      <w:r w:rsidRPr="000E4E30">
        <w:rPr>
          <w:szCs w:val="20"/>
        </w:rPr>
        <w:t xml:space="preserve"> are there more young people scoring below level 3 than above, implying that the majority of young people in these Member States possess only basic mathematical skills. The smallest share of young people with relatively more complex numerical skills and understanding can be observed in Spain, where only 36.5% achieve at least level 3. At the other end of the spectrum are Belgium</w:t>
      </w:r>
      <w:r w:rsidR="00B86BE0">
        <w:rPr>
          <w:szCs w:val="20"/>
        </w:rPr>
        <w:t xml:space="preserve"> (FL)</w:t>
      </w:r>
      <w:r w:rsidRPr="000E4E30">
        <w:rPr>
          <w:szCs w:val="20"/>
        </w:rPr>
        <w:t>, Finland and the Netherlands, where at least two in three young people achieve level 3 or above. In Finland, the best performer in this sample, 72.4% of young people display competences at this level.</w:t>
      </w:r>
    </w:p>
    <w:p w:rsidR="00713D80" w:rsidRPr="000E4E30" w:rsidRDefault="00713D80" w:rsidP="000E4E30">
      <w:pPr>
        <w:spacing w:after="120" w:line="288" w:lineRule="auto"/>
        <w:rPr>
          <w:szCs w:val="20"/>
        </w:rPr>
      </w:pPr>
      <w:r w:rsidRPr="000E4E30">
        <w:rPr>
          <w:szCs w:val="20"/>
        </w:rPr>
        <w:t xml:space="preserve">In the EU-16, 16.5% of young adults achieve </w:t>
      </w:r>
      <w:r w:rsidRPr="000E4E30">
        <w:rPr>
          <w:b/>
          <w:color w:val="1F497D" w:themeColor="text2"/>
          <w:szCs w:val="20"/>
        </w:rPr>
        <w:t>level 4 or 5</w:t>
      </w:r>
      <w:r w:rsidR="003B13B4" w:rsidRPr="000E4E30">
        <w:rPr>
          <w:szCs w:val="20"/>
        </w:rPr>
        <w:t xml:space="preserve">, i.e. they </w:t>
      </w:r>
      <w:r w:rsidRPr="000E4E30">
        <w:rPr>
          <w:szCs w:val="20"/>
        </w:rPr>
        <w:t>possess high numerical competence such as the ability to understand complex data, abstract mathematical concepts and statistical data, and are able to draw inferences and evaluate choices. Again, the share of those high achievers varies significantly between Member States: large shares of young people achieve level 4 or 5 in Finland (29.2%), Sweden (24.0%) and Belgium (23.9%). Significantly smaller shares achieve these levels in the lowest performing countries Spain (5.5%), Italy (6.9%) and Ireland (9.1%).</w:t>
      </w:r>
    </w:p>
    <w:p w:rsidR="00713D80" w:rsidRPr="000E4E30" w:rsidRDefault="00713D80" w:rsidP="000E4E30">
      <w:pPr>
        <w:spacing w:after="120" w:line="288" w:lineRule="auto"/>
        <w:rPr>
          <w:rFonts w:cs="Arial"/>
          <w:b/>
          <w:bCs/>
          <w:szCs w:val="20"/>
        </w:rPr>
      </w:pPr>
      <w:r w:rsidRPr="000E4E30">
        <w:rPr>
          <w:szCs w:val="20"/>
        </w:rPr>
        <w:t xml:space="preserve">At the opposite end of the spectrum, 14.3% of young people in the EU-16 achieve </w:t>
      </w:r>
      <w:r w:rsidRPr="000E4E30">
        <w:rPr>
          <w:b/>
          <w:color w:val="1F497D" w:themeColor="text2"/>
          <w:szCs w:val="20"/>
        </w:rPr>
        <w:t>only at level 1 or below</w:t>
      </w:r>
      <w:r w:rsidRPr="000E4E30">
        <w:rPr>
          <w:szCs w:val="20"/>
        </w:rPr>
        <w:t xml:space="preserve"> on the numeracy scale, i.e. they are solely able to cope with simple or very simple tasks in familiar contexts. The largest shares of the lowest performers can be found in Italy (25.2%), the United Kingdom </w:t>
      </w:r>
      <w:r w:rsidR="00B86BE0">
        <w:rPr>
          <w:szCs w:val="20"/>
        </w:rPr>
        <w:t xml:space="preserve">(EN/NI) </w:t>
      </w:r>
      <w:r w:rsidRPr="000E4E30">
        <w:rPr>
          <w:szCs w:val="20"/>
        </w:rPr>
        <w:t>(22.8%) and Spain (21.9%). These shares are small in the highest performing countries: Finland (6.8%), Belgium</w:t>
      </w:r>
      <w:r w:rsidR="00B86BE0">
        <w:rPr>
          <w:szCs w:val="20"/>
        </w:rPr>
        <w:t xml:space="preserve"> (FL)</w:t>
      </w:r>
      <w:r w:rsidRPr="000E4E30">
        <w:rPr>
          <w:szCs w:val="20"/>
        </w:rPr>
        <w:t xml:space="preserve"> (8%) and the Netherlands (8.9%). In general, those countries with larger shares of young people at higher proficiency levels feature small shares of young people achieving below level 1. It should be noted though that the share of lowest achievers is relatively large in Sweden (4.3%) and Denmark (4.0%), despite the overall high achievement of young people in these Member States.</w:t>
      </w:r>
      <w:bookmarkStart w:id="47" w:name="_Toc427154746"/>
      <w:bookmarkStart w:id="48" w:name="_Toc427232474"/>
    </w:p>
    <w:p w:rsidR="00E639C9" w:rsidRDefault="00E639C9">
      <w:pPr>
        <w:jc w:val="left"/>
        <w:rPr>
          <w:rFonts w:cs="Arial"/>
          <w:b/>
          <w:bCs/>
          <w:color w:val="263673"/>
          <w:szCs w:val="26"/>
        </w:rPr>
      </w:pPr>
      <w:bookmarkStart w:id="49" w:name="_Toc432865482"/>
      <w:bookmarkStart w:id="50" w:name="_Toc432873747"/>
      <w:r>
        <w:br w:type="page"/>
      </w:r>
    </w:p>
    <w:p w:rsidR="00713D80" w:rsidRPr="002E793E" w:rsidRDefault="008D0022" w:rsidP="00363088">
      <w:pPr>
        <w:pStyle w:val="Heading3"/>
      </w:pPr>
      <w:bookmarkStart w:id="51" w:name="_Toc435620145"/>
      <w:bookmarkStart w:id="52" w:name="_Toc435802066"/>
      <w:r>
        <w:t>3.2</w:t>
      </w:r>
      <w:r w:rsidR="00DC200A">
        <w:t xml:space="preserve">.2 </w:t>
      </w:r>
      <w:r w:rsidR="00713D80" w:rsidRPr="002E793E">
        <w:t>Distribution of proficiency levels - literacy</w:t>
      </w:r>
      <w:bookmarkEnd w:id="47"/>
      <w:bookmarkEnd w:id="48"/>
      <w:bookmarkEnd w:id="49"/>
      <w:bookmarkEnd w:id="50"/>
      <w:bookmarkEnd w:id="51"/>
      <w:bookmarkEnd w:id="52"/>
    </w:p>
    <w:p w:rsidR="00713D80" w:rsidRPr="000E4E30" w:rsidRDefault="00713D80" w:rsidP="000E4E30">
      <w:pPr>
        <w:pStyle w:val="BodyText"/>
        <w:spacing w:line="288" w:lineRule="auto"/>
        <w:rPr>
          <w:szCs w:val="20"/>
        </w:rPr>
      </w:pPr>
      <w:r w:rsidRPr="000E4E30">
        <w:rPr>
          <w:szCs w:val="20"/>
        </w:rPr>
        <w:t xml:space="preserve">Similar patterns can be observed for literacy proficiency (see </w:t>
      </w:r>
      <w:r w:rsidR="006B579D">
        <w:rPr>
          <w:szCs w:val="20"/>
        </w:rPr>
        <w:t>F</w:t>
      </w:r>
      <w:r w:rsidRPr="000E4E30">
        <w:rPr>
          <w:szCs w:val="20"/>
        </w:rPr>
        <w:t xml:space="preserve">igure 3.2). </w:t>
      </w:r>
      <w:r w:rsidR="002C6C4B">
        <w:rPr>
          <w:szCs w:val="20"/>
        </w:rPr>
        <w:t>As above, c</w:t>
      </w:r>
      <w:r w:rsidR="002C6C4B" w:rsidRPr="002E793E">
        <w:rPr>
          <w:szCs w:val="20"/>
        </w:rPr>
        <w:t xml:space="preserve">ountries are ranked in decreasing order of the share of young people achieving level 3 and above.  </w:t>
      </w:r>
      <w:r w:rsidRPr="000E4E30">
        <w:rPr>
          <w:szCs w:val="20"/>
        </w:rPr>
        <w:t xml:space="preserve">The order of countries at the top and bottom of the distribution is </w:t>
      </w:r>
      <w:r w:rsidR="002C6C4B">
        <w:rPr>
          <w:szCs w:val="20"/>
        </w:rPr>
        <w:t>almost</w:t>
      </w:r>
      <w:r w:rsidRPr="000E4E30">
        <w:rPr>
          <w:szCs w:val="20"/>
        </w:rPr>
        <w:t xml:space="preserve"> </w:t>
      </w:r>
      <w:r w:rsidR="002C6C4B">
        <w:rPr>
          <w:szCs w:val="20"/>
        </w:rPr>
        <w:t>identical</w:t>
      </w:r>
      <w:r w:rsidR="002C6C4B" w:rsidRPr="000E4E30">
        <w:rPr>
          <w:szCs w:val="20"/>
        </w:rPr>
        <w:t xml:space="preserve"> </w:t>
      </w:r>
      <w:r w:rsidRPr="000E4E30">
        <w:rPr>
          <w:szCs w:val="20"/>
        </w:rPr>
        <w:t xml:space="preserve">to the patterns observed in the numeracy domain. Overall, larger shares of young people across Europe achieve higher levels of proficiency in literacy than they do in numeracy: 60% of young people across the EU-16 achieve at least proficiency level 3 (OECD 2013b). </w:t>
      </w:r>
    </w:p>
    <w:p w:rsidR="00713D80" w:rsidRPr="00442118" w:rsidRDefault="00713D80" w:rsidP="000E4E30">
      <w:pPr>
        <w:pStyle w:val="Caption"/>
        <w:spacing w:before="0" w:after="120" w:line="288" w:lineRule="auto"/>
        <w:rPr>
          <w:rFonts w:ascii="Verdana" w:hAnsi="Verdana"/>
          <w:b w:val="0"/>
          <w:color w:val="1F497D" w:themeColor="text2"/>
          <w:sz w:val="20"/>
        </w:rPr>
      </w:pPr>
      <w:r w:rsidRPr="00442118">
        <w:rPr>
          <w:rFonts w:ascii="Verdana" w:hAnsi="Verdana"/>
          <w:b w:val="0"/>
          <w:color w:val="1F497D" w:themeColor="text2"/>
          <w:sz w:val="20"/>
        </w:rPr>
        <w:t xml:space="preserve">Figure </w:t>
      </w:r>
      <w:r w:rsidR="00363088">
        <w:rPr>
          <w:rFonts w:ascii="Verdana" w:hAnsi="Verdana"/>
          <w:b w:val="0"/>
          <w:color w:val="1F497D" w:themeColor="text2"/>
          <w:sz w:val="20"/>
        </w:rPr>
        <w:t>3.2</w:t>
      </w:r>
      <w:r w:rsidRPr="00442118">
        <w:rPr>
          <w:rFonts w:ascii="Verdana" w:hAnsi="Verdana"/>
          <w:b w:val="0"/>
          <w:color w:val="1F497D" w:themeColor="text2"/>
          <w:sz w:val="20"/>
        </w:rPr>
        <w:t xml:space="preserve"> Percentage of young adults (20-34) scoring at each proficiency level in literacy</w:t>
      </w:r>
    </w:p>
    <w:p w:rsidR="00713D80" w:rsidRPr="002E793E" w:rsidRDefault="0012655F" w:rsidP="000E4E30">
      <w:pPr>
        <w:spacing w:after="120" w:line="288" w:lineRule="auto"/>
        <w:rPr>
          <w:rFonts w:cs="Arial"/>
          <w:color w:val="003C64"/>
          <w:szCs w:val="20"/>
        </w:rPr>
      </w:pPr>
      <w:r>
        <w:rPr>
          <w:noProof/>
          <w:lang w:val="en-US" w:eastAsia="en-US"/>
        </w:rPr>
        <w:drawing>
          <wp:inline distT="0" distB="0" distL="0" distR="0" wp14:anchorId="240E9B2D" wp14:editId="5F63C312">
            <wp:extent cx="5580000" cy="5308270"/>
            <wp:effectExtent l="0" t="0" r="1905" b="6985"/>
            <wp:docPr id="295" name="Chart 29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13D80" w:rsidRPr="009D0854" w:rsidRDefault="00713D80" w:rsidP="000E4E30">
      <w:pPr>
        <w:spacing w:after="120" w:line="288" w:lineRule="auto"/>
        <w:rPr>
          <w:rFonts w:cs="Arial"/>
          <w:i/>
          <w:sz w:val="16"/>
          <w:szCs w:val="16"/>
        </w:rPr>
      </w:pPr>
      <w:r w:rsidRPr="009D0854">
        <w:rPr>
          <w:rFonts w:cs="Arial"/>
          <w:i/>
          <w:sz w:val="16"/>
          <w:szCs w:val="16"/>
        </w:rPr>
        <w:t xml:space="preserve">Notes: Own calculations, presentation adapted from OECD (2013) Survey of Adult Skills, mean scores are shown with a .95 confidence interval. Literacy-related non-response (missing) is excluded from the calculation of mean scores.  </w:t>
      </w:r>
    </w:p>
    <w:p w:rsidR="00713D80" w:rsidRPr="000E4E30" w:rsidRDefault="00713D80" w:rsidP="000E4E30">
      <w:pPr>
        <w:spacing w:after="120" w:line="288" w:lineRule="auto"/>
        <w:rPr>
          <w:szCs w:val="20"/>
        </w:rPr>
      </w:pPr>
      <w:r w:rsidRPr="000E4E30">
        <w:rPr>
          <w:szCs w:val="20"/>
        </w:rPr>
        <w:t xml:space="preserve">Again we can observe vast differences between countries, with at least two in three young people achieving </w:t>
      </w:r>
      <w:r w:rsidRPr="000E4E30">
        <w:rPr>
          <w:b/>
          <w:color w:val="1F497D" w:themeColor="text2"/>
          <w:szCs w:val="20"/>
        </w:rPr>
        <w:t>level 3 or above</w:t>
      </w:r>
      <w:r w:rsidRPr="000E4E30">
        <w:rPr>
          <w:color w:val="1F497D" w:themeColor="text2"/>
          <w:szCs w:val="20"/>
        </w:rPr>
        <w:t xml:space="preserve"> </w:t>
      </w:r>
      <w:r w:rsidRPr="000E4E30">
        <w:rPr>
          <w:szCs w:val="20"/>
        </w:rPr>
        <w:t>in Finland (80.0%), the Netherlands (73.0%), Sweden (69.0%) and Belgium</w:t>
      </w:r>
      <w:r w:rsidR="00DE798F">
        <w:rPr>
          <w:szCs w:val="20"/>
        </w:rPr>
        <w:t xml:space="preserve"> (FL)</w:t>
      </w:r>
      <w:r w:rsidRPr="000E4E30">
        <w:rPr>
          <w:szCs w:val="20"/>
        </w:rPr>
        <w:t xml:space="preserve"> (69.0%), but only two in five achieving those levels in Italy (38.8%) or Spain (42.0%).</w:t>
      </w:r>
    </w:p>
    <w:p w:rsidR="00F2695A" w:rsidRPr="000E4E30" w:rsidRDefault="00713D80" w:rsidP="000E4E30">
      <w:pPr>
        <w:pStyle w:val="BodyText"/>
        <w:spacing w:line="288" w:lineRule="auto"/>
        <w:rPr>
          <w:szCs w:val="20"/>
        </w:rPr>
      </w:pPr>
      <w:r w:rsidRPr="000E4E30">
        <w:rPr>
          <w:szCs w:val="20"/>
        </w:rPr>
        <w:t xml:space="preserve">Looking at the highest and lowest performers, it can be seen that large proportions of young people in Finland (35%), the Netherlands (27.6%) and Sweden (22.7%) achieve </w:t>
      </w:r>
      <w:r w:rsidRPr="000E4E30">
        <w:rPr>
          <w:b/>
          <w:color w:val="1F497D" w:themeColor="text2"/>
          <w:szCs w:val="20"/>
        </w:rPr>
        <w:t>levels 4 and 5</w:t>
      </w:r>
      <w:r w:rsidRPr="000E4E30">
        <w:rPr>
          <w:color w:val="1F497D" w:themeColor="text2"/>
          <w:szCs w:val="20"/>
        </w:rPr>
        <w:t>,</w:t>
      </w:r>
      <w:r w:rsidRPr="000E4E30">
        <w:rPr>
          <w:szCs w:val="20"/>
        </w:rPr>
        <w:t xml:space="preserve"> while only small shares display these high levels of competence in Italy (5.4%), Spain (6.6%) and the Slovak Republic (10.1%).  At the other end of the spectrum, 11.5% of young people score at Level 1 or below. The highest share of these lowest achievers can be found in Italy (22.8%)</w:t>
      </w:r>
      <w:r w:rsidR="002C6C4B">
        <w:rPr>
          <w:szCs w:val="20"/>
        </w:rPr>
        <w:t>,</w:t>
      </w:r>
      <w:r w:rsidRPr="000E4E30">
        <w:rPr>
          <w:szCs w:val="20"/>
        </w:rPr>
        <w:t>Spain (18.9%) and the United Kingdom</w:t>
      </w:r>
      <w:r w:rsidR="00DE798F">
        <w:rPr>
          <w:szCs w:val="20"/>
        </w:rPr>
        <w:t xml:space="preserve"> (EN/NI)</w:t>
      </w:r>
      <w:r w:rsidRPr="000E4E30">
        <w:rPr>
          <w:szCs w:val="20"/>
        </w:rPr>
        <w:t xml:space="preserve"> (15.1%)</w:t>
      </w:r>
      <w:r w:rsidR="002C6C4B">
        <w:rPr>
          <w:szCs w:val="20"/>
        </w:rPr>
        <w:t>;</w:t>
      </w:r>
      <w:r w:rsidRPr="000E4E30">
        <w:rPr>
          <w:szCs w:val="20"/>
        </w:rPr>
        <w:t xml:space="preserve"> the smallest share of lowest achievers </w:t>
      </w:r>
      <w:r w:rsidR="002C6C4B">
        <w:rPr>
          <w:szCs w:val="20"/>
        </w:rPr>
        <w:t xml:space="preserve">is found </w:t>
      </w:r>
      <w:r w:rsidRPr="000E4E30">
        <w:rPr>
          <w:szCs w:val="20"/>
        </w:rPr>
        <w:t>in Finland (4.6%) and the Netherlands (6.9%).</w:t>
      </w:r>
    </w:p>
    <w:p w:rsidR="00F2695A" w:rsidRPr="0005457D" w:rsidRDefault="008D0022" w:rsidP="0048614B">
      <w:pPr>
        <w:pStyle w:val="Heading2"/>
      </w:pPr>
      <w:bookmarkStart w:id="53" w:name="_Toc435802067"/>
      <w:r>
        <w:t>3.3</w:t>
      </w:r>
      <w:r w:rsidR="00363088">
        <w:t xml:space="preserve"> </w:t>
      </w:r>
      <w:r w:rsidR="0005457D">
        <w:t>Average competences</w:t>
      </w:r>
      <w:r w:rsidR="002524DF">
        <w:t xml:space="preserve"> and their distribution</w:t>
      </w:r>
      <w:r w:rsidR="0005457D">
        <w:t xml:space="preserve"> </w:t>
      </w:r>
      <w:r w:rsidR="00DE6B9A">
        <w:t>across</w:t>
      </w:r>
      <w:r w:rsidR="00B013ED" w:rsidRPr="0005457D">
        <w:t xml:space="preserve"> Member States</w:t>
      </w:r>
      <w:bookmarkEnd w:id="39"/>
      <w:bookmarkEnd w:id="53"/>
    </w:p>
    <w:p w:rsidR="00DE798F" w:rsidRDefault="00B013ED" w:rsidP="00651009">
      <w:pPr>
        <w:pStyle w:val="BodyText"/>
        <w:spacing w:line="288" w:lineRule="auto"/>
      </w:pPr>
      <w:r w:rsidRPr="002E793E">
        <w:t xml:space="preserve">Analysing the distribution of different proficiency levels by Member State has </w:t>
      </w:r>
      <w:r w:rsidR="002C6C4B">
        <w:t>provided</w:t>
      </w:r>
      <w:r w:rsidR="002C6C4B" w:rsidRPr="002E793E">
        <w:t xml:space="preserve"> </w:t>
      </w:r>
      <w:r w:rsidRPr="002E793E">
        <w:t>a first impression of how numeracy and literacy levels of young people vary across Europe.</w:t>
      </w:r>
      <w:r w:rsidR="002524DF">
        <w:t xml:space="preserve"> The following now discusses average competences</w:t>
      </w:r>
      <w:r w:rsidR="00DE798F">
        <w:t xml:space="preserve"> by country and where they are significantly different between countries. It also discusses the distribution of competences within countries, namely the size of the gap between the highest and lowest achievers.</w:t>
      </w:r>
    </w:p>
    <w:p w:rsidR="002524DF" w:rsidRPr="00B26C5A" w:rsidRDefault="008D0022" w:rsidP="00363088">
      <w:pPr>
        <w:pStyle w:val="Heading3"/>
      </w:pPr>
      <w:bookmarkStart w:id="54" w:name="_Toc432865484"/>
      <w:bookmarkStart w:id="55" w:name="_Toc432873749"/>
      <w:bookmarkStart w:id="56" w:name="_Toc435620147"/>
      <w:bookmarkStart w:id="57" w:name="_Toc435802068"/>
      <w:r>
        <w:t>3.3</w:t>
      </w:r>
      <w:r w:rsidR="002524DF">
        <w:t>.1 Average</w:t>
      </w:r>
      <w:r w:rsidR="002524DF" w:rsidRPr="00B26C5A">
        <w:t xml:space="preserve"> </w:t>
      </w:r>
      <w:r w:rsidR="002524DF">
        <w:t xml:space="preserve">competences and their distribution - </w:t>
      </w:r>
      <w:r w:rsidR="002524DF" w:rsidRPr="00B26C5A">
        <w:t>numeracy</w:t>
      </w:r>
      <w:bookmarkEnd w:id="54"/>
      <w:bookmarkEnd w:id="55"/>
      <w:bookmarkEnd w:id="56"/>
      <w:bookmarkEnd w:id="57"/>
      <w:r w:rsidR="002524DF" w:rsidRPr="00B26C5A">
        <w:t xml:space="preserve"> </w:t>
      </w:r>
    </w:p>
    <w:p w:rsidR="00442118" w:rsidRPr="00442118" w:rsidRDefault="00B013ED" w:rsidP="000E4E30">
      <w:pPr>
        <w:keepNext/>
        <w:spacing w:after="120" w:line="288" w:lineRule="auto"/>
        <w:ind w:right="170"/>
        <w:rPr>
          <w:rFonts w:cs="Arial"/>
          <w:szCs w:val="20"/>
        </w:rPr>
      </w:pPr>
      <w:r w:rsidRPr="00442118">
        <w:rPr>
          <w:rFonts w:cs="Arial"/>
          <w:color w:val="000000" w:themeColor="text1"/>
          <w:szCs w:val="20"/>
        </w:rPr>
        <w:t>Figure 3.3</w:t>
      </w:r>
      <w:r w:rsidRPr="002E793E">
        <w:rPr>
          <w:rFonts w:cs="Arial"/>
          <w:color w:val="000000" w:themeColor="text1"/>
          <w:szCs w:val="20"/>
        </w:rPr>
        <w:t xml:space="preserve"> displays the </w:t>
      </w:r>
      <w:r w:rsidRPr="002524DF">
        <w:rPr>
          <w:rFonts w:cs="Arial"/>
          <w:color w:val="000000" w:themeColor="text1"/>
          <w:szCs w:val="20"/>
        </w:rPr>
        <w:t>average</w:t>
      </w:r>
      <w:r w:rsidR="002C6C4B">
        <w:rPr>
          <w:rFonts w:cs="Arial"/>
          <w:color w:val="000000" w:themeColor="text1"/>
          <w:szCs w:val="20"/>
        </w:rPr>
        <w:t xml:space="preserve"> (or mean)</w:t>
      </w:r>
      <w:r w:rsidRPr="002524DF">
        <w:rPr>
          <w:rFonts w:cs="Arial"/>
          <w:color w:val="000000" w:themeColor="text1"/>
          <w:szCs w:val="20"/>
        </w:rPr>
        <w:t xml:space="preserve"> numeracy scores and percentiles by country</w:t>
      </w:r>
      <w:r w:rsidRPr="002E793E">
        <w:rPr>
          <w:rFonts w:cs="Arial"/>
          <w:color w:val="000000" w:themeColor="text1"/>
          <w:szCs w:val="20"/>
        </w:rPr>
        <w:t xml:space="preserve">. </w:t>
      </w:r>
      <w:r w:rsidRPr="002E793E">
        <w:rPr>
          <w:rFonts w:cs="Arial"/>
          <w:szCs w:val="20"/>
        </w:rPr>
        <w:t>Countri</w:t>
      </w:r>
      <w:r w:rsidR="002524DF">
        <w:rPr>
          <w:rFonts w:cs="Arial"/>
          <w:szCs w:val="20"/>
        </w:rPr>
        <w:t xml:space="preserve">es are ordered according to </w:t>
      </w:r>
      <w:r w:rsidRPr="002E793E">
        <w:rPr>
          <w:rFonts w:cs="Arial"/>
          <w:szCs w:val="20"/>
        </w:rPr>
        <w:t>average numeracy proficiency.</w:t>
      </w:r>
      <w:bookmarkStart w:id="58" w:name="_Ref419387665"/>
    </w:p>
    <w:bookmarkEnd w:id="58"/>
    <w:p w:rsidR="00B013ED" w:rsidRPr="00442118" w:rsidRDefault="00B013ED" w:rsidP="000E4E30">
      <w:pPr>
        <w:pStyle w:val="Caption"/>
        <w:spacing w:before="0" w:after="120" w:line="288" w:lineRule="auto"/>
        <w:rPr>
          <w:rFonts w:ascii="Verdana" w:hAnsi="Verdana"/>
          <w:b w:val="0"/>
          <w:color w:val="1F497D" w:themeColor="text2"/>
          <w:sz w:val="20"/>
        </w:rPr>
      </w:pPr>
      <w:r w:rsidRPr="00442118">
        <w:rPr>
          <w:rFonts w:ascii="Verdana" w:hAnsi="Verdana"/>
          <w:b w:val="0"/>
          <w:color w:val="1F497D" w:themeColor="text2"/>
          <w:sz w:val="20"/>
        </w:rPr>
        <w:t xml:space="preserve">Figure </w:t>
      </w:r>
      <w:r w:rsidR="002C6C4B">
        <w:rPr>
          <w:rFonts w:ascii="Verdana" w:hAnsi="Verdana"/>
          <w:b w:val="0"/>
          <w:color w:val="1F497D" w:themeColor="text2"/>
          <w:sz w:val="20"/>
        </w:rPr>
        <w:t>3</w:t>
      </w:r>
      <w:r w:rsidR="00363088">
        <w:rPr>
          <w:rFonts w:ascii="Verdana" w:hAnsi="Verdana"/>
          <w:b w:val="0"/>
          <w:color w:val="1F497D" w:themeColor="text2"/>
          <w:sz w:val="20"/>
        </w:rPr>
        <w:t>.3</w:t>
      </w:r>
      <w:r w:rsidRPr="00442118">
        <w:rPr>
          <w:rFonts w:ascii="Verdana" w:hAnsi="Verdana"/>
          <w:b w:val="0"/>
          <w:color w:val="1F497D" w:themeColor="text2"/>
          <w:sz w:val="20"/>
        </w:rPr>
        <w:t xml:space="preserve"> Mean numeracy scores of young adults (20-34) and percentiles </w:t>
      </w:r>
    </w:p>
    <w:p w:rsidR="00B013ED" w:rsidRPr="002E793E" w:rsidRDefault="00AF30EE" w:rsidP="000E4E30">
      <w:pPr>
        <w:spacing w:after="120" w:line="288" w:lineRule="auto"/>
        <w:rPr>
          <w:rFonts w:cs="Calibri"/>
          <w:szCs w:val="20"/>
        </w:rPr>
      </w:pPr>
      <w:r>
        <w:rPr>
          <w:noProof/>
          <w:lang w:val="en-US" w:eastAsia="en-US"/>
        </w:rPr>
        <w:drawing>
          <wp:inline distT="0" distB="0" distL="0" distR="0" wp14:anchorId="113F6C73" wp14:editId="49302243">
            <wp:extent cx="5580000" cy="5400000"/>
            <wp:effectExtent l="0" t="0" r="190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013ED" w:rsidRPr="0005457D" w:rsidRDefault="00B013ED" w:rsidP="000E4E30">
      <w:pPr>
        <w:spacing w:after="120" w:line="288" w:lineRule="auto"/>
        <w:rPr>
          <w:rFonts w:cs="Arial"/>
          <w:i/>
          <w:sz w:val="16"/>
          <w:szCs w:val="16"/>
        </w:rPr>
      </w:pPr>
      <w:r w:rsidRPr="0005457D">
        <w:rPr>
          <w:rFonts w:cs="Arial"/>
          <w:i/>
          <w:sz w:val="16"/>
          <w:szCs w:val="16"/>
        </w:rPr>
        <w:t>Notes: Own calculations, presentation adapted from OECD (2013) Survey of Adult Skills, mean scores are shown with a .95 confidence interval. Literacy-related non-response (missing) is excluded from the calculation of mean scores</w:t>
      </w:r>
    </w:p>
    <w:p w:rsidR="00DE798F" w:rsidRDefault="00B013ED" w:rsidP="000E4E30">
      <w:pPr>
        <w:pStyle w:val="BodyText"/>
        <w:spacing w:line="288" w:lineRule="auto"/>
        <w:rPr>
          <w:szCs w:val="20"/>
        </w:rPr>
      </w:pPr>
      <w:r w:rsidRPr="002E793E">
        <w:rPr>
          <w:szCs w:val="20"/>
        </w:rPr>
        <w:t xml:space="preserve">In the EU-16, the </w:t>
      </w:r>
      <w:r w:rsidRPr="002E793E">
        <w:rPr>
          <w:b/>
          <w:color w:val="1F497D" w:themeColor="text2"/>
          <w:szCs w:val="20"/>
        </w:rPr>
        <w:t xml:space="preserve">average numeracy score </w:t>
      </w:r>
      <w:r w:rsidRPr="002E793E">
        <w:rPr>
          <w:szCs w:val="20"/>
        </w:rPr>
        <w:t xml:space="preserve">is 278 points. The </w:t>
      </w:r>
      <w:r w:rsidRPr="002E793E">
        <w:rPr>
          <w:b/>
          <w:color w:val="1F497D" w:themeColor="text2"/>
          <w:szCs w:val="20"/>
        </w:rPr>
        <w:t>top five average numeracy scores</w:t>
      </w:r>
      <w:r w:rsidRPr="002E793E">
        <w:rPr>
          <w:color w:val="1F497D" w:themeColor="text2"/>
          <w:szCs w:val="20"/>
        </w:rPr>
        <w:t xml:space="preserve"> </w:t>
      </w:r>
      <w:r w:rsidRPr="002E793E">
        <w:rPr>
          <w:szCs w:val="20"/>
        </w:rPr>
        <w:t>are achieved by Finland (299), Belgium</w:t>
      </w:r>
      <w:r w:rsidR="009561ED">
        <w:rPr>
          <w:szCs w:val="20"/>
        </w:rPr>
        <w:t xml:space="preserve"> (FL)</w:t>
      </w:r>
      <w:r w:rsidRPr="002E793E">
        <w:rPr>
          <w:szCs w:val="20"/>
        </w:rPr>
        <w:t xml:space="preserve"> (293), the Netherlands (292), Sweden (288) and the Czech Republic (288). At the bottom of the distribution are Spain (258), Italy (258), Ireland (265), the UK </w:t>
      </w:r>
      <w:r w:rsidR="009561ED">
        <w:rPr>
          <w:szCs w:val="20"/>
        </w:rPr>
        <w:t xml:space="preserve">(EN/NI) </w:t>
      </w:r>
      <w:r w:rsidRPr="002E793E">
        <w:rPr>
          <w:szCs w:val="20"/>
        </w:rPr>
        <w:t xml:space="preserve">(265) and France (269). </w:t>
      </w:r>
    </w:p>
    <w:p w:rsidR="009561ED" w:rsidRDefault="009561ED" w:rsidP="000E4E30">
      <w:pPr>
        <w:pStyle w:val="BodyText"/>
        <w:spacing w:line="288" w:lineRule="auto"/>
        <w:rPr>
          <w:szCs w:val="20"/>
        </w:rPr>
      </w:pPr>
      <w:r w:rsidRPr="00DA3A94">
        <w:rPr>
          <w:noProof/>
          <w:szCs w:val="20"/>
          <w:lang w:val="en-US" w:eastAsia="en-US"/>
        </w:rPr>
        <mc:AlternateContent>
          <mc:Choice Requires="wps">
            <w:drawing>
              <wp:inline distT="0" distB="0" distL="0" distR="0" wp14:anchorId="569F3DCE" wp14:editId="3612DD08">
                <wp:extent cx="5580000" cy="2511188"/>
                <wp:effectExtent l="38100" t="38100" r="135255" b="118110"/>
                <wp:docPr id="31"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2511188"/>
                        </a:xfrm>
                        <a:prstGeom prst="rect">
                          <a:avLst/>
                        </a:prstGeom>
                        <a:solidFill>
                          <a:schemeClr val="bg1">
                            <a:lumMod val="85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9561ED">
                            <w:pPr>
                              <w:pStyle w:val="Heading3"/>
                              <w:shd w:val="clear" w:color="auto" w:fill="D9D9D9" w:themeFill="background1" w:themeFillShade="D9"/>
                              <w:spacing w:before="0" w:after="120" w:line="288" w:lineRule="auto"/>
                              <w:rPr>
                                <w:szCs w:val="20"/>
                                <w:shd w:val="clear" w:color="auto" w:fill="D9D9D9" w:themeFill="background1" w:themeFillShade="D9"/>
                              </w:rPr>
                            </w:pPr>
                            <w:bookmarkStart w:id="59" w:name="_Toc435620148"/>
                            <w:bookmarkStart w:id="60" w:name="_Toc435802069"/>
                            <w:r>
                              <w:rPr>
                                <w:szCs w:val="20"/>
                                <w:shd w:val="clear" w:color="auto" w:fill="D9D9D9" w:themeFill="background1" w:themeFillShade="D9"/>
                              </w:rPr>
                              <w:t>Confidence intervals and significant differences</w:t>
                            </w:r>
                            <w:bookmarkEnd w:id="59"/>
                            <w:bookmarkEnd w:id="60"/>
                          </w:p>
                          <w:p w:rsidR="00394EBA" w:rsidRPr="009561ED" w:rsidRDefault="00394EBA" w:rsidP="009561ED">
                            <w:pPr>
                              <w:pStyle w:val="BodyText"/>
                              <w:spacing w:line="288" w:lineRule="auto"/>
                            </w:pPr>
                            <w:r w:rsidRPr="002E793E">
                              <w:rPr>
                                <w:szCs w:val="20"/>
                              </w:rPr>
                              <w:t xml:space="preserve">The dark blue depicts the </w:t>
                            </w:r>
                            <w:r w:rsidRPr="00DE798F">
                              <w:rPr>
                                <w:b/>
                                <w:color w:val="1F497D" w:themeColor="text2"/>
                                <w:szCs w:val="20"/>
                              </w:rPr>
                              <w:t>95% confidence interval around the mean</w:t>
                            </w:r>
                            <w:r w:rsidRPr="002E793E">
                              <w:rPr>
                                <w:szCs w:val="20"/>
                              </w:rPr>
                              <w:t>; this de</w:t>
                            </w:r>
                            <w:r>
                              <w:rPr>
                                <w:szCs w:val="20"/>
                              </w:rPr>
                              <w:t xml:space="preserve">scribes the level of uncertainty – the margin of error – </w:t>
                            </w:r>
                            <w:r w:rsidRPr="002E793E">
                              <w:rPr>
                                <w:szCs w:val="20"/>
                              </w:rPr>
                              <w:t>that</w:t>
                            </w:r>
                            <w:r>
                              <w:rPr>
                                <w:szCs w:val="20"/>
                              </w:rPr>
                              <w:t xml:space="preserve"> </w:t>
                            </w:r>
                            <w:r w:rsidRPr="002E793E">
                              <w:rPr>
                                <w:szCs w:val="20"/>
                              </w:rPr>
                              <w:t>exists around the estimated average score</w:t>
                            </w:r>
                            <w:r>
                              <w:rPr>
                                <w:szCs w:val="20"/>
                              </w:rPr>
                              <w:t>. It</w:t>
                            </w:r>
                            <w:r w:rsidRPr="002E793E">
                              <w:rPr>
                                <w:szCs w:val="20"/>
                              </w:rPr>
                              <w:t xml:space="preserve"> helps us understand how precise the estimate is – the</w:t>
                            </w:r>
                            <w:r>
                              <w:rPr>
                                <w:szCs w:val="20"/>
                              </w:rPr>
                              <w:t xml:space="preserve"> smaller the margin of error and the confidence interval, </w:t>
                            </w:r>
                            <w:r w:rsidRPr="002E793E">
                              <w:rPr>
                                <w:szCs w:val="20"/>
                              </w:rPr>
                              <w:t>the more confident we can be about the estimate of the mean.</w:t>
                            </w:r>
                            <w:r>
                              <w:rPr>
                                <w:szCs w:val="20"/>
                              </w:rPr>
                              <w:t xml:space="preserve"> </w:t>
                            </w:r>
                            <w:r w:rsidRPr="002E793E">
                              <w:rPr>
                                <w:szCs w:val="20"/>
                              </w:rPr>
                              <w:t xml:space="preserve">Where confidence intervals overlap, we cannot conclude that </w:t>
                            </w:r>
                            <w:r w:rsidRPr="002E793E">
                              <w:rPr>
                                <w:b/>
                                <w:color w:val="1F497D" w:themeColor="text2"/>
                                <w:szCs w:val="20"/>
                              </w:rPr>
                              <w:t>average scores are significantly different from each other</w:t>
                            </w:r>
                            <w:r>
                              <w:rPr>
                                <w:szCs w:val="20"/>
                              </w:rPr>
                              <w:t xml:space="preserve">, as there is a probability </w:t>
                            </w:r>
                            <w:r w:rsidRPr="00DE798F">
                              <w:rPr>
                                <w:szCs w:val="20"/>
                              </w:rPr>
                              <w:t>that they are in fact the same.</w:t>
                            </w:r>
                          </w:p>
                        </w:txbxContent>
                      </wps:txbx>
                      <wps:bodyPr rot="0" vert="horz" wrap="square" lIns="274320" tIns="274320" rIns="274320" bIns="274320" anchor="ctr" anchorCtr="0">
                        <a:noAutofit/>
                      </wps:bodyPr>
                    </wps:wsp>
                  </a:graphicData>
                </a:graphic>
              </wp:inline>
            </w:drawing>
          </mc:Choice>
          <mc:Fallback>
            <w:pict>
              <v:rect w14:anchorId="569F3DCE" id="_x0000_s1035" style="width:439.35pt;height:197.7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" fillcolor="#d8d8d8 [2732]" strokecolor="gray [1629]" strokeweight="1.5pt">
                <v:shadow on="t" type="perspective" color="black" opacity="26214f" origin="-.5,-.5" offset=".74836mm,.74836mm" matrix="65864f,,,65864f"/>
                <v:textbox inset="21.6pt,21.6pt,21.6pt,21.6pt">
                  <w:txbxContent>
                    <w:p w:rsidR="00394EBA" w:rsidRDefault="00394EBA" w:rsidP="009561ED">
                      <w:pPr>
                        <w:pStyle w:val="Heading3"/>
                        <w:shd w:val="clear" w:color="auto" w:fill="D9D9D9" w:themeFill="background1" w:themeFillShade="D9"/>
                        <w:spacing w:before="0" w:after="120" w:line="288" w:lineRule="auto"/>
                        <w:rPr>
                          <w:szCs w:val="20"/>
                          <w:shd w:val="clear" w:color="auto" w:fill="D9D9D9" w:themeFill="background1" w:themeFillShade="D9"/>
                        </w:rPr>
                      </w:pPr>
                      <w:bookmarkStart w:id="62" w:name="_Toc435620148"/>
                      <w:bookmarkStart w:id="63" w:name="_Toc435802069"/>
                      <w:r>
                        <w:rPr>
                          <w:szCs w:val="20"/>
                          <w:shd w:val="clear" w:color="auto" w:fill="D9D9D9" w:themeFill="background1" w:themeFillShade="D9"/>
                        </w:rPr>
                        <w:t>Confidence intervals and significant differences</w:t>
                      </w:r>
                      <w:bookmarkEnd w:id="62"/>
                      <w:bookmarkEnd w:id="63"/>
                    </w:p>
                    <w:p w:rsidR="00394EBA" w:rsidRPr="009561ED" w:rsidRDefault="00394EBA" w:rsidP="009561ED">
                      <w:pPr>
                        <w:pStyle w:val="BodyText"/>
                        <w:spacing w:line="288" w:lineRule="auto"/>
                      </w:pPr>
                      <w:r w:rsidRPr="002E793E">
                        <w:rPr>
                          <w:szCs w:val="20"/>
                        </w:rPr>
                        <w:t xml:space="preserve">The dark blue depicts the </w:t>
                      </w:r>
                      <w:r w:rsidRPr="00DE798F">
                        <w:rPr>
                          <w:b/>
                          <w:color w:val="1F497D" w:themeColor="text2"/>
                          <w:szCs w:val="20"/>
                        </w:rPr>
                        <w:t>95% confidence interval around the mean</w:t>
                      </w:r>
                      <w:r w:rsidRPr="002E793E">
                        <w:rPr>
                          <w:szCs w:val="20"/>
                        </w:rPr>
                        <w:t>; this de</w:t>
                      </w:r>
                      <w:r>
                        <w:rPr>
                          <w:szCs w:val="20"/>
                        </w:rPr>
                        <w:t xml:space="preserve">scribes the level of uncertainty – the margin of error – </w:t>
                      </w:r>
                      <w:r w:rsidRPr="002E793E">
                        <w:rPr>
                          <w:szCs w:val="20"/>
                        </w:rPr>
                        <w:t>that</w:t>
                      </w:r>
                      <w:r>
                        <w:rPr>
                          <w:szCs w:val="20"/>
                        </w:rPr>
                        <w:t xml:space="preserve"> </w:t>
                      </w:r>
                      <w:r w:rsidRPr="002E793E">
                        <w:rPr>
                          <w:szCs w:val="20"/>
                        </w:rPr>
                        <w:t>exists around the estimated average score</w:t>
                      </w:r>
                      <w:r>
                        <w:rPr>
                          <w:szCs w:val="20"/>
                        </w:rPr>
                        <w:t>. It</w:t>
                      </w:r>
                      <w:r w:rsidRPr="002E793E">
                        <w:rPr>
                          <w:szCs w:val="20"/>
                        </w:rPr>
                        <w:t xml:space="preserve"> helps us understand how precise the estimate is – the</w:t>
                      </w:r>
                      <w:r>
                        <w:rPr>
                          <w:szCs w:val="20"/>
                        </w:rPr>
                        <w:t xml:space="preserve"> smaller the margin of error and the confidence interval, </w:t>
                      </w:r>
                      <w:r w:rsidRPr="002E793E">
                        <w:rPr>
                          <w:szCs w:val="20"/>
                        </w:rPr>
                        <w:t>the more confident we can be about the estimate of the mean.</w:t>
                      </w:r>
                      <w:r>
                        <w:rPr>
                          <w:szCs w:val="20"/>
                        </w:rPr>
                        <w:t xml:space="preserve"> </w:t>
                      </w:r>
                      <w:r w:rsidRPr="002E793E">
                        <w:rPr>
                          <w:szCs w:val="20"/>
                        </w:rPr>
                        <w:t xml:space="preserve">Where confidence intervals overlap, we cannot conclude that </w:t>
                      </w:r>
                      <w:r w:rsidRPr="002E793E">
                        <w:rPr>
                          <w:b/>
                          <w:color w:val="1F497D" w:themeColor="text2"/>
                          <w:szCs w:val="20"/>
                        </w:rPr>
                        <w:t>average scores are significantly different from each other</w:t>
                      </w:r>
                      <w:r>
                        <w:rPr>
                          <w:szCs w:val="20"/>
                        </w:rPr>
                        <w:t xml:space="preserve">, as there is a probability </w:t>
                      </w:r>
                      <w:r w:rsidRPr="00DE798F">
                        <w:rPr>
                          <w:szCs w:val="20"/>
                        </w:rPr>
                        <w:t>that they are in fact the same.</w:t>
                      </w:r>
                    </w:p>
                  </w:txbxContent>
                </v:textbox>
                <w10:anchorlock/>
              </v:rect>
            </w:pict>
          </mc:Fallback>
        </mc:AlternateContent>
      </w:r>
    </w:p>
    <w:p w:rsidR="001821FC" w:rsidRDefault="001821FC" w:rsidP="000E4E30">
      <w:pPr>
        <w:pStyle w:val="BodyText"/>
        <w:spacing w:line="288" w:lineRule="auto"/>
        <w:rPr>
          <w:szCs w:val="20"/>
        </w:rPr>
      </w:pPr>
      <w:r>
        <w:rPr>
          <w:szCs w:val="20"/>
        </w:rPr>
        <w:t>Following the discussion about confidence intervals and statistical significance above, t</w:t>
      </w:r>
      <w:r w:rsidR="009561ED">
        <w:rPr>
          <w:szCs w:val="20"/>
        </w:rPr>
        <w:t>able</w:t>
      </w:r>
      <w:r w:rsidR="0005457D" w:rsidRPr="00442118">
        <w:rPr>
          <w:szCs w:val="20"/>
        </w:rPr>
        <w:t xml:space="preserve"> 3.1</w:t>
      </w:r>
      <w:r>
        <w:rPr>
          <w:szCs w:val="20"/>
        </w:rPr>
        <w:t xml:space="preserve"> below highlights two key issues:</w:t>
      </w:r>
    </w:p>
    <w:p w:rsidR="001821FC" w:rsidRDefault="001821FC" w:rsidP="00F90C88">
      <w:pPr>
        <w:pStyle w:val="BodyText"/>
        <w:numPr>
          <w:ilvl w:val="0"/>
          <w:numId w:val="35"/>
        </w:numPr>
        <w:spacing w:line="288" w:lineRule="auto"/>
        <w:rPr>
          <w:szCs w:val="20"/>
        </w:rPr>
      </w:pPr>
      <w:r>
        <w:rPr>
          <w:szCs w:val="20"/>
        </w:rPr>
        <w:t>I</w:t>
      </w:r>
      <w:r w:rsidR="00B013ED" w:rsidRPr="002E793E">
        <w:rPr>
          <w:szCs w:val="20"/>
        </w:rPr>
        <w:t xml:space="preserve">n many cases, </w:t>
      </w:r>
      <w:r w:rsidR="00B013ED" w:rsidRPr="001821FC">
        <w:rPr>
          <w:b/>
          <w:color w:val="1F497D" w:themeColor="text2"/>
          <w:szCs w:val="20"/>
        </w:rPr>
        <w:t xml:space="preserve">differences </w:t>
      </w:r>
      <w:r w:rsidRPr="001821FC">
        <w:rPr>
          <w:b/>
          <w:color w:val="1F497D" w:themeColor="text2"/>
          <w:szCs w:val="20"/>
        </w:rPr>
        <w:t xml:space="preserve">of average competences </w:t>
      </w:r>
      <w:r w:rsidR="00B013ED" w:rsidRPr="001821FC">
        <w:rPr>
          <w:b/>
          <w:color w:val="1F497D" w:themeColor="text2"/>
          <w:szCs w:val="20"/>
        </w:rPr>
        <w:t>between countries</w:t>
      </w:r>
      <w:r w:rsidR="00B013ED" w:rsidRPr="001821FC">
        <w:rPr>
          <w:color w:val="1F497D" w:themeColor="text2"/>
          <w:szCs w:val="20"/>
        </w:rPr>
        <w:t xml:space="preserve"> </w:t>
      </w:r>
      <w:r w:rsidR="00B013ED" w:rsidRPr="002E793E">
        <w:rPr>
          <w:szCs w:val="20"/>
        </w:rPr>
        <w:t>are not significant. Young people in Finland for example do not achieve significantly higher numeracy proficiency scores than young people in Belgium</w:t>
      </w:r>
      <w:r w:rsidR="009561ED">
        <w:rPr>
          <w:szCs w:val="20"/>
        </w:rPr>
        <w:t xml:space="preserve"> (FL)</w:t>
      </w:r>
      <w:r w:rsidR="00B013ED" w:rsidRPr="002E793E">
        <w:rPr>
          <w:szCs w:val="20"/>
        </w:rPr>
        <w:t>.</w:t>
      </w:r>
      <w:r>
        <w:rPr>
          <w:szCs w:val="20"/>
        </w:rPr>
        <w:t xml:space="preserve"> This is due to the fact that there is a certain degree of uncertainty around our estimate of average numeracy competence in Finland (299) and Belgium (293), which implies that we can not conclude that their average scores are in fact different from each other.</w:t>
      </w:r>
    </w:p>
    <w:p w:rsidR="00B013ED" w:rsidRPr="001821FC" w:rsidRDefault="00B013ED" w:rsidP="00F90C88">
      <w:pPr>
        <w:pStyle w:val="BodyText"/>
        <w:numPr>
          <w:ilvl w:val="0"/>
          <w:numId w:val="35"/>
        </w:numPr>
        <w:spacing w:line="288" w:lineRule="auto"/>
        <w:rPr>
          <w:szCs w:val="20"/>
        </w:rPr>
      </w:pPr>
      <w:r w:rsidRPr="001821FC">
        <w:rPr>
          <w:szCs w:val="20"/>
        </w:rPr>
        <w:t xml:space="preserve">It also highlights that some countries score </w:t>
      </w:r>
      <w:r w:rsidRPr="001821FC">
        <w:rPr>
          <w:b/>
          <w:color w:val="1F497D" w:themeColor="text2"/>
          <w:szCs w:val="20"/>
        </w:rPr>
        <w:t>significantly above</w:t>
      </w:r>
      <w:r w:rsidR="001821FC">
        <w:rPr>
          <w:b/>
          <w:color w:val="1F497D" w:themeColor="text2"/>
          <w:szCs w:val="20"/>
        </w:rPr>
        <w:t xml:space="preserve"> </w:t>
      </w:r>
      <w:r w:rsidR="001821FC">
        <w:rPr>
          <w:color w:val="1F497D" w:themeColor="text2"/>
          <w:szCs w:val="20"/>
        </w:rPr>
        <w:t>(highlighted in light blue)</w:t>
      </w:r>
      <w:r w:rsidRPr="001821FC">
        <w:rPr>
          <w:b/>
          <w:color w:val="1F497D" w:themeColor="text2"/>
          <w:szCs w:val="20"/>
        </w:rPr>
        <w:t xml:space="preserve"> or below </w:t>
      </w:r>
      <w:r w:rsidR="001821FC">
        <w:rPr>
          <w:color w:val="1F497D" w:themeColor="text2"/>
          <w:szCs w:val="20"/>
        </w:rPr>
        <w:t xml:space="preserve">(highlighted in light </w:t>
      </w:r>
      <w:r w:rsidR="0012655F">
        <w:rPr>
          <w:color w:val="1F497D" w:themeColor="text2"/>
          <w:szCs w:val="20"/>
        </w:rPr>
        <w:t>orange)</w:t>
      </w:r>
      <w:r w:rsidR="001821FC">
        <w:rPr>
          <w:color w:val="1F497D" w:themeColor="text2"/>
          <w:szCs w:val="20"/>
        </w:rPr>
        <w:t xml:space="preserve"> </w:t>
      </w:r>
      <w:r w:rsidRPr="001821FC">
        <w:rPr>
          <w:b/>
          <w:color w:val="1F497D" w:themeColor="text2"/>
          <w:szCs w:val="20"/>
        </w:rPr>
        <w:t>the EU-16 average</w:t>
      </w:r>
      <w:r w:rsidRPr="001821FC">
        <w:rPr>
          <w:szCs w:val="20"/>
        </w:rPr>
        <w:t>.</w:t>
      </w:r>
      <w:r w:rsidR="001821FC">
        <w:rPr>
          <w:szCs w:val="20"/>
        </w:rPr>
        <w:t xml:space="preserve"> This means that on average young people in these countries display in fact higher (or lower) average numeracy competence than young people in the EU-16 as a whole.</w:t>
      </w:r>
      <w:r w:rsidRPr="001821FC">
        <w:rPr>
          <w:szCs w:val="20"/>
        </w:rPr>
        <w:t xml:space="preserve"> </w:t>
      </w:r>
    </w:p>
    <w:p w:rsidR="00F94B4A" w:rsidRDefault="00F94B4A">
      <w:pPr>
        <w:jc w:val="left"/>
        <w:rPr>
          <w:bCs/>
          <w:color w:val="1F497D" w:themeColor="text2"/>
          <w:szCs w:val="20"/>
          <w:lang w:eastAsia="en-US"/>
        </w:rPr>
      </w:pPr>
      <w:r>
        <w:rPr>
          <w:b/>
          <w:color w:val="1F497D" w:themeColor="text2"/>
        </w:rPr>
        <w:br w:type="page"/>
      </w:r>
    </w:p>
    <w:p w:rsidR="00B013ED" w:rsidRPr="00442118" w:rsidRDefault="00B013ED" w:rsidP="000E4E30">
      <w:pPr>
        <w:pStyle w:val="Caption"/>
        <w:spacing w:before="0" w:after="120" w:line="288" w:lineRule="auto"/>
        <w:rPr>
          <w:rFonts w:ascii="Verdana" w:hAnsi="Verdana"/>
          <w:b w:val="0"/>
          <w:color w:val="1F497D" w:themeColor="text2"/>
          <w:sz w:val="20"/>
        </w:rPr>
      </w:pPr>
      <w:r w:rsidRPr="00442118">
        <w:rPr>
          <w:rFonts w:ascii="Verdana" w:hAnsi="Verdana"/>
          <w:b w:val="0"/>
          <w:color w:val="1F497D" w:themeColor="text2"/>
          <w:sz w:val="20"/>
        </w:rPr>
        <w:t xml:space="preserve">Table </w:t>
      </w:r>
      <w:r w:rsidR="00E639C9">
        <w:rPr>
          <w:rFonts w:ascii="Verdana" w:hAnsi="Verdana"/>
          <w:b w:val="0"/>
          <w:color w:val="1F497D" w:themeColor="text2"/>
          <w:sz w:val="20"/>
        </w:rPr>
        <w:t>3.1</w:t>
      </w:r>
      <w:r w:rsidRPr="00442118">
        <w:rPr>
          <w:rFonts w:ascii="Verdana" w:hAnsi="Verdana"/>
          <w:b w:val="0"/>
          <w:color w:val="1F497D" w:themeColor="text2"/>
          <w:sz w:val="20"/>
        </w:rPr>
        <w:t xml:space="preserve"> Are average differences in numeracy significant?</w:t>
      </w:r>
    </w:p>
    <w:tbl>
      <w:tblPr>
        <w:tblW w:w="8946" w:type="dxa"/>
        <w:tblInd w:w="55" w:type="dxa"/>
        <w:tblLayout w:type="fixed"/>
        <w:tblCellMar>
          <w:left w:w="70" w:type="dxa"/>
          <w:right w:w="70" w:type="dxa"/>
        </w:tblCellMar>
        <w:tblLook w:val="04A0" w:firstRow="1" w:lastRow="0" w:firstColumn="1" w:lastColumn="0" w:noHBand="0" w:noVBand="1"/>
      </w:tblPr>
      <w:tblGrid>
        <w:gridCol w:w="1717"/>
        <w:gridCol w:w="992"/>
        <w:gridCol w:w="6237"/>
      </w:tblGrid>
      <w:tr w:rsidR="00B013ED" w:rsidRPr="00211990" w:rsidTr="00651009">
        <w:trPr>
          <w:trHeight w:hRule="exact" w:val="340"/>
        </w:trPr>
        <w:tc>
          <w:tcPr>
            <w:tcW w:w="1717" w:type="dxa"/>
            <w:tcBorders>
              <w:top w:val="nil"/>
              <w:left w:val="nil"/>
              <w:bottom w:val="single" w:sz="4" w:space="0" w:color="FFFFFF" w:themeColor="background1"/>
              <w:right w:val="nil"/>
            </w:tcBorders>
            <w:shd w:val="clear" w:color="auto" w:fill="DBE5F1" w:themeFill="accent1" w:themeFillTint="33"/>
            <w:vAlign w:val="center"/>
          </w:tcPr>
          <w:p w:rsidR="00B013ED" w:rsidRPr="00211990" w:rsidRDefault="00B013ED" w:rsidP="000E4E30">
            <w:pPr>
              <w:spacing w:after="120" w:line="288" w:lineRule="auto"/>
              <w:rPr>
                <w:rFonts w:cs="Arial"/>
                <w:color w:val="000000"/>
                <w:sz w:val="18"/>
                <w:szCs w:val="18"/>
                <w:lang w:eastAsia="es-ES"/>
              </w:rPr>
            </w:pPr>
          </w:p>
        </w:tc>
        <w:tc>
          <w:tcPr>
            <w:tcW w:w="7229" w:type="dxa"/>
            <w:gridSpan w:val="2"/>
            <w:tcBorders>
              <w:top w:val="nil"/>
              <w:left w:val="nil"/>
              <w:bottom w:val="single" w:sz="4" w:space="0" w:color="FFFFFF" w:themeColor="background1"/>
              <w:right w:val="nil"/>
            </w:tcBorders>
            <w:shd w:val="clear" w:color="auto" w:fill="auto"/>
            <w:vAlign w:val="center"/>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 xml:space="preserve">Significantly </w:t>
            </w:r>
            <w:r w:rsidRPr="00211990">
              <w:rPr>
                <w:rFonts w:cs="Arial"/>
                <w:b/>
                <w:color w:val="000000"/>
                <w:sz w:val="18"/>
                <w:szCs w:val="18"/>
                <w:lang w:eastAsia="es-ES"/>
              </w:rPr>
              <w:t>above</w:t>
            </w:r>
            <w:r w:rsidRPr="00211990">
              <w:rPr>
                <w:rFonts w:cs="Arial"/>
                <w:color w:val="000000"/>
                <w:sz w:val="18"/>
                <w:szCs w:val="18"/>
                <w:lang w:eastAsia="es-ES"/>
              </w:rPr>
              <w:t xml:space="preserve"> the EU-16 average</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6A6A6" w:themeFill="background1" w:themeFillShade="A6"/>
            <w:vAlign w:val="center"/>
          </w:tcPr>
          <w:p w:rsidR="00B013ED" w:rsidRPr="00211990" w:rsidRDefault="00B013ED" w:rsidP="000E4E30">
            <w:pPr>
              <w:spacing w:after="120" w:line="288" w:lineRule="auto"/>
              <w:rPr>
                <w:rFonts w:cs="Arial"/>
                <w:color w:val="000000"/>
                <w:sz w:val="18"/>
                <w:szCs w:val="18"/>
                <w:lang w:eastAsia="es-ES"/>
              </w:rPr>
            </w:pPr>
          </w:p>
        </w:tc>
        <w:tc>
          <w:tcPr>
            <w:tcW w:w="7229"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Not significantly different from the EU-16 average</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tcPr>
          <w:p w:rsidR="00B013ED" w:rsidRPr="00211990" w:rsidRDefault="00B013ED" w:rsidP="000E4E30">
            <w:pPr>
              <w:spacing w:after="120" w:line="288" w:lineRule="auto"/>
              <w:rPr>
                <w:rFonts w:cs="Arial"/>
                <w:color w:val="000000"/>
                <w:sz w:val="18"/>
                <w:szCs w:val="18"/>
                <w:lang w:eastAsia="es-ES"/>
              </w:rPr>
            </w:pPr>
          </w:p>
        </w:tc>
        <w:tc>
          <w:tcPr>
            <w:tcW w:w="7229"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 xml:space="preserve">Significantly </w:t>
            </w:r>
            <w:r w:rsidRPr="00211990">
              <w:rPr>
                <w:rFonts w:cs="Arial"/>
                <w:b/>
                <w:color w:val="000000"/>
                <w:sz w:val="18"/>
                <w:szCs w:val="18"/>
                <w:lang w:eastAsia="es-ES"/>
              </w:rPr>
              <w:t>below</w:t>
            </w:r>
            <w:r w:rsidRPr="00211990">
              <w:rPr>
                <w:rFonts w:cs="Arial"/>
                <w:color w:val="000000"/>
                <w:sz w:val="18"/>
                <w:szCs w:val="18"/>
                <w:lang w:eastAsia="es-ES"/>
              </w:rPr>
              <w:t xml:space="preserve"> the EU-16 average</w:t>
            </w:r>
          </w:p>
        </w:tc>
      </w:tr>
      <w:tr w:rsidR="00B013ED" w:rsidRPr="00211990" w:rsidTr="00651009">
        <w:trPr>
          <w:trHeight w:hRule="exact" w:val="573"/>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vAlign w:val="center"/>
            <w:hideMark/>
          </w:tcPr>
          <w:p w:rsidR="00B013ED" w:rsidRPr="00211990" w:rsidRDefault="00B013ED" w:rsidP="000E4E30">
            <w:pPr>
              <w:spacing w:after="120" w:line="288" w:lineRule="auto"/>
              <w:rPr>
                <w:rFonts w:cs="Arial"/>
                <w:b/>
                <w:color w:val="FFFFFF" w:themeColor="background1"/>
                <w:sz w:val="18"/>
                <w:szCs w:val="18"/>
                <w:lang w:eastAsia="es-ES"/>
              </w:rPr>
            </w:pPr>
            <w:r w:rsidRPr="00211990">
              <w:rPr>
                <w:rFonts w:cs="Arial"/>
                <w:b/>
                <w:color w:val="FFFFFF" w:themeColor="background1"/>
                <w:sz w:val="18"/>
                <w:szCs w:val="18"/>
                <w:lang w:eastAsia="es-ES"/>
              </w:rPr>
              <w:t>Country of reference</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vAlign w:val="center"/>
            <w:hideMark/>
          </w:tcPr>
          <w:p w:rsidR="00B013ED" w:rsidRPr="00211990" w:rsidRDefault="00B013ED" w:rsidP="000E4E30">
            <w:pPr>
              <w:spacing w:after="120" w:line="288" w:lineRule="auto"/>
              <w:rPr>
                <w:rFonts w:cs="Arial"/>
                <w:b/>
                <w:color w:val="FFFFFF" w:themeColor="background1"/>
                <w:sz w:val="18"/>
                <w:szCs w:val="18"/>
                <w:lang w:eastAsia="es-ES"/>
              </w:rPr>
            </w:pPr>
            <w:r w:rsidRPr="00211990">
              <w:rPr>
                <w:rFonts w:cs="Arial"/>
                <w:b/>
                <w:color w:val="FFFFFF" w:themeColor="background1"/>
                <w:sz w:val="18"/>
                <w:szCs w:val="18"/>
                <w:lang w:eastAsia="es-ES"/>
              </w:rPr>
              <w:t>Mean score</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noWrap/>
            <w:vAlign w:val="center"/>
            <w:hideMark/>
          </w:tcPr>
          <w:p w:rsidR="00B013ED" w:rsidRPr="00211990" w:rsidRDefault="00B013ED" w:rsidP="000E4E30">
            <w:pPr>
              <w:spacing w:after="120" w:line="288" w:lineRule="auto"/>
              <w:rPr>
                <w:rFonts w:cs="Arial"/>
                <w:b/>
                <w:color w:val="FFFFFF" w:themeColor="background1"/>
                <w:sz w:val="18"/>
                <w:szCs w:val="18"/>
                <w:lang w:eastAsia="es-ES"/>
              </w:rPr>
            </w:pPr>
            <w:r w:rsidRPr="00211990">
              <w:rPr>
                <w:rFonts w:cs="Arial"/>
                <w:b/>
                <w:color w:val="FFFFFF" w:themeColor="background1"/>
                <w:sz w:val="18"/>
                <w:szCs w:val="18"/>
                <w:lang w:eastAsia="es-ES"/>
              </w:rPr>
              <w:t>Countries  whose mean is NOT significantly different from the reference</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Finland</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299</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Belgium</w:t>
            </w:r>
            <w:r w:rsidR="009561ED" w:rsidRPr="00211990">
              <w:rPr>
                <w:rFonts w:cs="Arial"/>
                <w:color w:val="000000"/>
                <w:sz w:val="18"/>
                <w:szCs w:val="18"/>
                <w:lang w:eastAsia="es-ES"/>
              </w:rPr>
              <w:t xml:space="preserve"> (FL)</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Belgium</w:t>
            </w:r>
            <w:r w:rsidR="009561ED" w:rsidRPr="00211990">
              <w:rPr>
                <w:rFonts w:cs="Arial"/>
                <w:b/>
                <w:color w:val="000000"/>
                <w:sz w:val="18"/>
                <w:szCs w:val="18"/>
                <w:lang w:eastAsia="es-ES"/>
              </w:rPr>
              <w:t xml:space="preserve"> (FL)</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293</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Finland, Netherlands, Sweden</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Netherlands</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292</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Belgium</w:t>
            </w:r>
            <w:r w:rsidR="009561ED" w:rsidRPr="00211990">
              <w:rPr>
                <w:rFonts w:cs="Arial"/>
                <w:color w:val="000000"/>
                <w:sz w:val="18"/>
                <w:szCs w:val="18"/>
                <w:lang w:eastAsia="es-ES"/>
              </w:rPr>
              <w:t xml:space="preserve"> (FL)</w:t>
            </w:r>
            <w:r w:rsidRPr="00211990">
              <w:rPr>
                <w:rFonts w:cs="Arial"/>
                <w:color w:val="000000"/>
                <w:sz w:val="18"/>
                <w:szCs w:val="18"/>
                <w:lang w:eastAsia="es-ES"/>
              </w:rPr>
              <w:t>, Czech Republic, Sweden</w:t>
            </w:r>
          </w:p>
        </w:tc>
      </w:tr>
      <w:tr w:rsidR="00B013ED" w:rsidRPr="00211990" w:rsidTr="00651009">
        <w:trPr>
          <w:trHeight w:hRule="exact" w:val="525"/>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Sweden</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288</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Belgium</w:t>
            </w:r>
            <w:r w:rsidR="009561ED" w:rsidRPr="00211990">
              <w:rPr>
                <w:rFonts w:cs="Arial"/>
                <w:color w:val="000000"/>
                <w:sz w:val="18"/>
                <w:szCs w:val="18"/>
                <w:lang w:eastAsia="es-ES"/>
              </w:rPr>
              <w:t xml:space="preserve"> (FL)</w:t>
            </w:r>
            <w:r w:rsidRPr="00211990">
              <w:rPr>
                <w:rFonts w:cs="Arial"/>
                <w:color w:val="000000"/>
                <w:sz w:val="18"/>
                <w:szCs w:val="18"/>
                <w:lang w:eastAsia="es-ES"/>
              </w:rPr>
              <w:t>, Czech Republic, Denmark, Estonia, Netherlands</w:t>
            </w:r>
          </w:p>
        </w:tc>
      </w:tr>
      <w:tr w:rsidR="00B013ED" w:rsidRPr="00211990" w:rsidTr="00651009">
        <w:trPr>
          <w:trHeight w:hRule="exact" w:val="569"/>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Czech Republic</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288</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Denmark, Estonia, Netherlands, Sweden</w:t>
            </w:r>
          </w:p>
        </w:tc>
      </w:tr>
      <w:tr w:rsidR="00B013ED" w:rsidRPr="00211990" w:rsidTr="00651009">
        <w:trPr>
          <w:trHeight w:hRule="exact" w:val="548"/>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Denmark</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285</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Czech Republic, Estonia, Germany, Sweden</w:t>
            </w:r>
          </w:p>
        </w:tc>
      </w:tr>
      <w:tr w:rsidR="00B013ED" w:rsidRPr="00211990" w:rsidTr="00651009">
        <w:trPr>
          <w:trHeight w:hRule="exact" w:val="592"/>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Estonia</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283</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Czech Republic, Denmark, Germany, Sweden, Slovak Republic</w:t>
            </w:r>
          </w:p>
        </w:tc>
      </w:tr>
      <w:tr w:rsidR="00B013ED" w:rsidRPr="00211990" w:rsidTr="00651009">
        <w:trPr>
          <w:trHeight w:hRule="exact" w:val="565"/>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Austria</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283</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Czech Republic, Denmark, Estonia, Germany, Slovak Republic, Sweden</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Germany</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281</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B013ED" w:rsidRPr="00211990" w:rsidRDefault="00B013ED" w:rsidP="000E4E30">
            <w:pPr>
              <w:spacing w:after="120" w:line="288" w:lineRule="auto"/>
              <w:rPr>
                <w:rFonts w:cs="Arial"/>
                <w:color w:val="000000"/>
                <w:sz w:val="18"/>
                <w:szCs w:val="18"/>
                <w:lang w:val="it-IT" w:eastAsia="es-ES"/>
              </w:rPr>
            </w:pPr>
            <w:r w:rsidRPr="00211990">
              <w:rPr>
                <w:rFonts w:cs="Arial"/>
                <w:color w:val="000000"/>
                <w:sz w:val="18"/>
                <w:szCs w:val="18"/>
                <w:lang w:val="it-IT" w:eastAsia="es-ES"/>
              </w:rPr>
              <w:t>Austria, Denmark, Estonia, Slovak Republic</w:t>
            </w:r>
          </w:p>
        </w:tc>
      </w:tr>
      <w:tr w:rsidR="00B013ED" w:rsidRPr="00211990" w:rsidTr="00651009">
        <w:trPr>
          <w:trHeight w:hRule="exact" w:val="569"/>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Slovak Republic</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279</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Estonia, Germany</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EU-16</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278</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Germany, Slovak Republic</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Poland</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271</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France, United Kingdom</w:t>
            </w:r>
            <w:r w:rsidR="009561ED" w:rsidRPr="00211990">
              <w:rPr>
                <w:rFonts w:cs="Arial"/>
                <w:color w:val="000000"/>
                <w:sz w:val="18"/>
                <w:szCs w:val="18"/>
                <w:lang w:eastAsia="es-ES"/>
              </w:rPr>
              <w:t xml:space="preserve"> (EN/NI)</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France</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269</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Ireland, Poland, United Kingdom</w:t>
            </w:r>
            <w:r w:rsidR="009561ED" w:rsidRPr="00211990">
              <w:rPr>
                <w:rFonts w:cs="Arial"/>
                <w:color w:val="000000"/>
                <w:sz w:val="18"/>
                <w:szCs w:val="18"/>
                <w:lang w:eastAsia="es-ES"/>
              </w:rPr>
              <w:t xml:space="preserve"> (EN/NI)</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UK</w:t>
            </w:r>
            <w:r w:rsidR="009561ED" w:rsidRPr="00211990">
              <w:rPr>
                <w:rFonts w:cs="Arial"/>
                <w:b/>
                <w:color w:val="000000"/>
                <w:sz w:val="18"/>
                <w:szCs w:val="18"/>
                <w:lang w:eastAsia="es-ES"/>
              </w:rPr>
              <w:t xml:space="preserve"> (EN/NI)</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265</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Italy, Ireland, France, Poland</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Ireland</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265</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France, Italy, United Kingdom</w:t>
            </w:r>
            <w:r w:rsidR="009561ED" w:rsidRPr="00211990">
              <w:rPr>
                <w:rFonts w:cs="Arial"/>
                <w:color w:val="000000"/>
                <w:sz w:val="18"/>
                <w:szCs w:val="18"/>
                <w:lang w:eastAsia="es-ES"/>
              </w:rPr>
              <w:t xml:space="preserve"> (EN/NI)</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Italy</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258</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noWrap/>
            <w:vAlign w:val="center"/>
            <w:hideMark/>
          </w:tcPr>
          <w:p w:rsidR="00B013ED" w:rsidRPr="00211990" w:rsidRDefault="009561ED" w:rsidP="000E4E30">
            <w:pPr>
              <w:spacing w:after="120" w:line="288" w:lineRule="auto"/>
              <w:rPr>
                <w:rFonts w:cs="Arial"/>
                <w:color w:val="000000"/>
                <w:sz w:val="18"/>
                <w:szCs w:val="18"/>
                <w:lang w:eastAsia="es-ES"/>
              </w:rPr>
            </w:pPr>
            <w:r w:rsidRPr="00211990">
              <w:rPr>
                <w:rFonts w:cs="Arial"/>
                <w:color w:val="000000"/>
                <w:sz w:val="18"/>
                <w:szCs w:val="18"/>
                <w:lang w:eastAsia="es-ES"/>
              </w:rPr>
              <w:t>Ireland, Spain, United Kingdom (EN/NI)</w:t>
            </w:r>
          </w:p>
        </w:tc>
      </w:tr>
      <w:tr w:rsidR="00B013ED" w:rsidRPr="00211990" w:rsidTr="00651009">
        <w:trPr>
          <w:trHeight w:hRule="exact" w:val="340"/>
        </w:trPr>
        <w:tc>
          <w:tcPr>
            <w:tcW w:w="17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Spain</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258</w:t>
            </w:r>
          </w:p>
        </w:tc>
        <w:tc>
          <w:tcPr>
            <w:tcW w:w="62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noWrap/>
            <w:vAlign w:val="center"/>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Italy</w:t>
            </w:r>
          </w:p>
        </w:tc>
      </w:tr>
    </w:tbl>
    <w:p w:rsidR="00B013ED" w:rsidRPr="0005457D" w:rsidRDefault="00B013ED" w:rsidP="000E4E30">
      <w:pPr>
        <w:spacing w:after="120" w:line="288" w:lineRule="auto"/>
        <w:rPr>
          <w:rFonts w:cs="Arial"/>
          <w:i/>
          <w:sz w:val="16"/>
          <w:szCs w:val="16"/>
        </w:rPr>
      </w:pPr>
      <w:r w:rsidRPr="0005457D">
        <w:rPr>
          <w:rFonts w:cs="Arial"/>
          <w:i/>
          <w:sz w:val="16"/>
          <w:szCs w:val="16"/>
        </w:rPr>
        <w:t xml:space="preserve">Notes: own elaboration based on PIAAC data, significance at 0.05 level </w:t>
      </w:r>
    </w:p>
    <w:p w:rsidR="00B013ED" w:rsidRPr="000E4E30" w:rsidRDefault="009561ED" w:rsidP="000E4E30">
      <w:pPr>
        <w:pStyle w:val="BodyText"/>
        <w:spacing w:line="288" w:lineRule="auto"/>
        <w:rPr>
          <w:szCs w:val="20"/>
        </w:rPr>
      </w:pPr>
      <w:r w:rsidRPr="00DA3A94">
        <w:rPr>
          <w:noProof/>
          <w:szCs w:val="20"/>
          <w:lang w:val="en-US" w:eastAsia="en-US"/>
        </w:rPr>
        <mc:AlternateContent>
          <mc:Choice Requires="wps">
            <w:drawing>
              <wp:inline distT="0" distB="0" distL="0" distR="0" wp14:anchorId="0CB6438B" wp14:editId="4749D17C">
                <wp:extent cx="5580000" cy="2770496"/>
                <wp:effectExtent l="38100" t="38100" r="135255" b="106680"/>
                <wp:docPr id="290"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2770496"/>
                        </a:xfrm>
                        <a:prstGeom prst="rect">
                          <a:avLst/>
                        </a:prstGeom>
                        <a:solidFill>
                          <a:schemeClr val="bg1">
                            <a:lumMod val="85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9561ED">
                            <w:pPr>
                              <w:pStyle w:val="Heading3"/>
                              <w:shd w:val="clear" w:color="auto" w:fill="D9D9D9" w:themeFill="background1" w:themeFillShade="D9"/>
                              <w:spacing w:before="0" w:after="120" w:line="288" w:lineRule="auto"/>
                              <w:rPr>
                                <w:szCs w:val="20"/>
                                <w:shd w:val="clear" w:color="auto" w:fill="D9D9D9" w:themeFill="background1" w:themeFillShade="D9"/>
                              </w:rPr>
                            </w:pPr>
                            <w:bookmarkStart w:id="61" w:name="_Toc435620149"/>
                            <w:bookmarkStart w:id="62" w:name="_Toc435802070"/>
                            <w:r>
                              <w:rPr>
                                <w:szCs w:val="20"/>
                                <w:shd w:val="clear" w:color="auto" w:fill="D9D9D9" w:themeFill="background1" w:themeFillShade="D9"/>
                              </w:rPr>
                              <w:t>Percentiles, dispersion and equity</w:t>
                            </w:r>
                            <w:bookmarkEnd w:id="61"/>
                            <w:bookmarkEnd w:id="62"/>
                          </w:p>
                          <w:p w:rsidR="00394EBA" w:rsidRPr="009561ED" w:rsidRDefault="00394EBA" w:rsidP="009561ED">
                            <w:pPr>
                              <w:pStyle w:val="BodyText"/>
                              <w:spacing w:line="288" w:lineRule="auto"/>
                              <w:rPr>
                                <w:szCs w:val="20"/>
                              </w:rPr>
                            </w:pPr>
                            <w:r w:rsidRPr="000E4E30">
                              <w:rPr>
                                <w:szCs w:val="20"/>
                              </w:rPr>
                              <w:t xml:space="preserve">In addition to the average scores and their significance, Figure 3.3 also displays the </w:t>
                            </w:r>
                            <w:r w:rsidRPr="009561ED">
                              <w:rPr>
                                <w:b/>
                                <w:color w:val="1F497D" w:themeColor="text2"/>
                                <w:szCs w:val="20"/>
                              </w:rPr>
                              <w:t>5th, 25th, 75th and 95th percentiles</w:t>
                            </w:r>
                            <w:r w:rsidRPr="009561ED">
                              <w:rPr>
                                <w:color w:val="1F497D" w:themeColor="text2"/>
                                <w:szCs w:val="20"/>
                              </w:rPr>
                              <w:t xml:space="preserve"> </w:t>
                            </w:r>
                            <w:r w:rsidRPr="000E4E30">
                              <w:rPr>
                                <w:szCs w:val="20"/>
                              </w:rPr>
                              <w:t xml:space="preserve">for each country. </w:t>
                            </w:r>
                            <w:r>
                              <w:rPr>
                                <w:szCs w:val="20"/>
                              </w:rPr>
                              <w:t xml:space="preserve">Here, percentiles refer </w:t>
                            </w:r>
                            <w:r w:rsidRPr="000E4E30">
                              <w:rPr>
                                <w:szCs w:val="20"/>
                              </w:rPr>
                              <w:t xml:space="preserve">to the </w:t>
                            </w:r>
                            <w:r>
                              <w:rPr>
                                <w:szCs w:val="20"/>
                              </w:rPr>
                              <w:t>competence proficiency</w:t>
                            </w:r>
                            <w:r w:rsidRPr="000E4E30">
                              <w:rPr>
                                <w:szCs w:val="20"/>
                              </w:rPr>
                              <w:t xml:space="preserve"> of the 5% and 25% lowest performer</w:t>
                            </w:r>
                            <w:r>
                              <w:rPr>
                                <w:szCs w:val="20"/>
                              </w:rPr>
                              <w:t>s</w:t>
                            </w:r>
                            <w:r w:rsidRPr="000E4E30">
                              <w:rPr>
                                <w:szCs w:val="20"/>
                              </w:rPr>
                              <w:t xml:space="preserve"> (5th and 25th percentile) and the 5% and 25% best performers (95</w:t>
                            </w:r>
                            <w:r w:rsidRPr="000E4E30">
                              <w:rPr>
                                <w:szCs w:val="20"/>
                                <w:vertAlign w:val="superscript"/>
                              </w:rPr>
                              <w:t>th</w:t>
                            </w:r>
                            <w:r w:rsidRPr="000E4E30">
                              <w:rPr>
                                <w:szCs w:val="20"/>
                              </w:rPr>
                              <w:t xml:space="preserve"> and 75</w:t>
                            </w:r>
                            <w:r w:rsidRPr="000E4E30">
                              <w:rPr>
                                <w:szCs w:val="20"/>
                                <w:vertAlign w:val="superscript"/>
                              </w:rPr>
                              <w:t>th</w:t>
                            </w:r>
                            <w:r w:rsidRPr="000E4E30">
                              <w:rPr>
                                <w:szCs w:val="20"/>
                              </w:rPr>
                              <w:t xml:space="preserve"> percentile) in a specific country. This can</w:t>
                            </w:r>
                            <w:r>
                              <w:rPr>
                                <w:szCs w:val="20"/>
                              </w:rPr>
                              <w:t xml:space="preserve"> help us to understand the </w:t>
                            </w:r>
                            <w:r w:rsidRPr="009561ED">
                              <w:rPr>
                                <w:b/>
                                <w:color w:val="1F497D" w:themeColor="text2"/>
                                <w:szCs w:val="20"/>
                              </w:rPr>
                              <w:t>dispersion</w:t>
                            </w:r>
                            <w:r>
                              <w:rPr>
                                <w:szCs w:val="20"/>
                              </w:rPr>
                              <w:t xml:space="preserve"> of numeracy proficiency, as t</w:t>
                            </w:r>
                            <w:r w:rsidRPr="000E4E30">
                              <w:rPr>
                                <w:szCs w:val="20"/>
                              </w:rPr>
                              <w:t>he distance between those extremes provides a measure of dispersion of competences within a country</w:t>
                            </w:r>
                            <w:r>
                              <w:rPr>
                                <w:szCs w:val="20"/>
                              </w:rPr>
                              <w:t>: the smaller the gap between the 5</w:t>
                            </w:r>
                            <w:r w:rsidRPr="009561ED">
                              <w:rPr>
                                <w:szCs w:val="20"/>
                                <w:vertAlign w:val="superscript"/>
                              </w:rPr>
                              <w:t>th</w:t>
                            </w:r>
                            <w:r>
                              <w:rPr>
                                <w:szCs w:val="20"/>
                              </w:rPr>
                              <w:t xml:space="preserve"> and 95</w:t>
                            </w:r>
                            <w:r w:rsidRPr="009561ED">
                              <w:rPr>
                                <w:szCs w:val="20"/>
                                <w:vertAlign w:val="superscript"/>
                              </w:rPr>
                              <w:t>th</w:t>
                            </w:r>
                            <w:r>
                              <w:rPr>
                                <w:szCs w:val="20"/>
                              </w:rPr>
                              <w:t xml:space="preserve"> percentile, the greater the </w:t>
                            </w:r>
                            <w:r w:rsidRPr="009561ED">
                              <w:rPr>
                                <w:b/>
                                <w:color w:val="1F497D" w:themeColor="text2"/>
                                <w:szCs w:val="20"/>
                              </w:rPr>
                              <w:t>equity</w:t>
                            </w:r>
                            <w:r>
                              <w:rPr>
                                <w:szCs w:val="20"/>
                              </w:rPr>
                              <w:t xml:space="preserve"> of competences within a country.</w:t>
                            </w:r>
                          </w:p>
                        </w:txbxContent>
                      </wps:txbx>
                      <wps:bodyPr rot="0" vert="horz" wrap="square" lIns="274320" tIns="274320" rIns="274320" bIns="274320" anchor="ctr" anchorCtr="0">
                        <a:noAutofit/>
                      </wps:bodyPr>
                    </wps:wsp>
                  </a:graphicData>
                </a:graphic>
              </wp:inline>
            </w:drawing>
          </mc:Choice>
          <mc:Fallback>
            <w:pict>
              <v:rect w14:anchorId="0CB6438B" id="_x0000_s1036" style="width:439.35pt;height:218.1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" fillcolor="#d8d8d8 [2732]" strokecolor="gray [1629]" strokeweight="1.5pt">
                <v:shadow on="t" type="perspective" color="black" opacity="26214f" origin="-.5,-.5" offset=".74836mm,.74836mm" matrix="65864f,,,65864f"/>
                <v:textbox inset="21.6pt,21.6pt,21.6pt,21.6pt">
                  <w:txbxContent>
                    <w:p w:rsidR="00394EBA" w:rsidRDefault="00394EBA" w:rsidP="009561ED">
                      <w:pPr>
                        <w:pStyle w:val="Heading3"/>
                        <w:shd w:val="clear" w:color="auto" w:fill="D9D9D9" w:themeFill="background1" w:themeFillShade="D9"/>
                        <w:spacing w:before="0" w:after="120" w:line="288" w:lineRule="auto"/>
                        <w:rPr>
                          <w:szCs w:val="20"/>
                          <w:shd w:val="clear" w:color="auto" w:fill="D9D9D9" w:themeFill="background1" w:themeFillShade="D9"/>
                        </w:rPr>
                      </w:pPr>
                      <w:bookmarkStart w:id="66" w:name="_Toc435620149"/>
                      <w:bookmarkStart w:id="67" w:name="_Toc435802070"/>
                      <w:r>
                        <w:rPr>
                          <w:szCs w:val="20"/>
                          <w:shd w:val="clear" w:color="auto" w:fill="D9D9D9" w:themeFill="background1" w:themeFillShade="D9"/>
                        </w:rPr>
                        <w:t>Percentiles, dispersion and equity</w:t>
                      </w:r>
                      <w:bookmarkEnd w:id="66"/>
                      <w:bookmarkEnd w:id="67"/>
                    </w:p>
                    <w:p w:rsidR="00394EBA" w:rsidRPr="009561ED" w:rsidRDefault="00394EBA" w:rsidP="009561ED">
                      <w:pPr>
                        <w:pStyle w:val="BodyText"/>
                        <w:spacing w:line="288" w:lineRule="auto"/>
                        <w:rPr>
                          <w:szCs w:val="20"/>
                        </w:rPr>
                      </w:pPr>
                      <w:r w:rsidRPr="000E4E30">
                        <w:rPr>
                          <w:szCs w:val="20"/>
                        </w:rPr>
                        <w:t xml:space="preserve">In addition to the average scores and their significance, Figure 3.3 also displays the </w:t>
                      </w:r>
                      <w:r w:rsidRPr="009561ED">
                        <w:rPr>
                          <w:b/>
                          <w:color w:val="1F497D" w:themeColor="text2"/>
                          <w:szCs w:val="20"/>
                        </w:rPr>
                        <w:t>5th, 25th, 75th and 95th percentiles</w:t>
                      </w:r>
                      <w:r w:rsidRPr="009561ED">
                        <w:rPr>
                          <w:color w:val="1F497D" w:themeColor="text2"/>
                          <w:szCs w:val="20"/>
                        </w:rPr>
                        <w:t xml:space="preserve"> </w:t>
                      </w:r>
                      <w:r w:rsidRPr="000E4E30">
                        <w:rPr>
                          <w:szCs w:val="20"/>
                        </w:rPr>
                        <w:t xml:space="preserve">for each country. </w:t>
                      </w:r>
                      <w:r>
                        <w:rPr>
                          <w:szCs w:val="20"/>
                        </w:rPr>
                        <w:t xml:space="preserve">Here, percentiles refer </w:t>
                      </w:r>
                      <w:r w:rsidRPr="000E4E30">
                        <w:rPr>
                          <w:szCs w:val="20"/>
                        </w:rPr>
                        <w:t xml:space="preserve">to the </w:t>
                      </w:r>
                      <w:r>
                        <w:rPr>
                          <w:szCs w:val="20"/>
                        </w:rPr>
                        <w:t>competence proficiency</w:t>
                      </w:r>
                      <w:r w:rsidRPr="000E4E30">
                        <w:rPr>
                          <w:szCs w:val="20"/>
                        </w:rPr>
                        <w:t xml:space="preserve"> of the 5% and 25% lowest performer</w:t>
                      </w:r>
                      <w:r>
                        <w:rPr>
                          <w:szCs w:val="20"/>
                        </w:rPr>
                        <w:t>s</w:t>
                      </w:r>
                      <w:r w:rsidRPr="000E4E30">
                        <w:rPr>
                          <w:szCs w:val="20"/>
                        </w:rPr>
                        <w:t xml:space="preserve"> (5th and 25th percentile) and the 5% and 25% best performers (95</w:t>
                      </w:r>
                      <w:r w:rsidRPr="000E4E30">
                        <w:rPr>
                          <w:szCs w:val="20"/>
                          <w:vertAlign w:val="superscript"/>
                        </w:rPr>
                        <w:t>th</w:t>
                      </w:r>
                      <w:r w:rsidRPr="000E4E30">
                        <w:rPr>
                          <w:szCs w:val="20"/>
                        </w:rPr>
                        <w:t xml:space="preserve"> and 75</w:t>
                      </w:r>
                      <w:r w:rsidRPr="000E4E30">
                        <w:rPr>
                          <w:szCs w:val="20"/>
                          <w:vertAlign w:val="superscript"/>
                        </w:rPr>
                        <w:t>th</w:t>
                      </w:r>
                      <w:r w:rsidRPr="000E4E30">
                        <w:rPr>
                          <w:szCs w:val="20"/>
                        </w:rPr>
                        <w:t xml:space="preserve"> percentile) in a specific country. This can</w:t>
                      </w:r>
                      <w:r>
                        <w:rPr>
                          <w:szCs w:val="20"/>
                        </w:rPr>
                        <w:t xml:space="preserve"> help us to understand the </w:t>
                      </w:r>
                      <w:r w:rsidRPr="009561ED">
                        <w:rPr>
                          <w:b/>
                          <w:color w:val="1F497D" w:themeColor="text2"/>
                          <w:szCs w:val="20"/>
                        </w:rPr>
                        <w:t>dispersion</w:t>
                      </w:r>
                      <w:r>
                        <w:rPr>
                          <w:szCs w:val="20"/>
                        </w:rPr>
                        <w:t xml:space="preserve"> of numeracy proficiency, as t</w:t>
                      </w:r>
                      <w:r w:rsidRPr="000E4E30">
                        <w:rPr>
                          <w:szCs w:val="20"/>
                        </w:rPr>
                        <w:t>he distance between those extremes provides a measure of dispersion of competences within a country</w:t>
                      </w:r>
                      <w:r>
                        <w:rPr>
                          <w:szCs w:val="20"/>
                        </w:rPr>
                        <w:t>: the smaller the gap between the 5</w:t>
                      </w:r>
                      <w:r w:rsidRPr="009561ED">
                        <w:rPr>
                          <w:szCs w:val="20"/>
                          <w:vertAlign w:val="superscript"/>
                        </w:rPr>
                        <w:t>th</w:t>
                      </w:r>
                      <w:r>
                        <w:rPr>
                          <w:szCs w:val="20"/>
                        </w:rPr>
                        <w:t xml:space="preserve"> and 95</w:t>
                      </w:r>
                      <w:r w:rsidRPr="009561ED">
                        <w:rPr>
                          <w:szCs w:val="20"/>
                          <w:vertAlign w:val="superscript"/>
                        </w:rPr>
                        <w:t>th</w:t>
                      </w:r>
                      <w:r>
                        <w:rPr>
                          <w:szCs w:val="20"/>
                        </w:rPr>
                        <w:t xml:space="preserve"> percentile, the greater the </w:t>
                      </w:r>
                      <w:r w:rsidRPr="009561ED">
                        <w:rPr>
                          <w:b/>
                          <w:color w:val="1F497D" w:themeColor="text2"/>
                          <w:szCs w:val="20"/>
                        </w:rPr>
                        <w:t>equity</w:t>
                      </w:r>
                      <w:r>
                        <w:rPr>
                          <w:szCs w:val="20"/>
                        </w:rPr>
                        <w:t xml:space="preserve"> of competences within a country.</w:t>
                      </w:r>
                    </w:p>
                  </w:txbxContent>
                </v:textbox>
                <w10:anchorlock/>
              </v:rect>
            </w:pict>
          </mc:Fallback>
        </mc:AlternateContent>
      </w:r>
    </w:p>
    <w:p w:rsidR="00B013ED" w:rsidRPr="000E4E30" w:rsidRDefault="00B013ED" w:rsidP="000E4E30">
      <w:pPr>
        <w:pStyle w:val="BodyText"/>
        <w:spacing w:line="288" w:lineRule="auto"/>
        <w:rPr>
          <w:szCs w:val="20"/>
        </w:rPr>
      </w:pPr>
      <w:r w:rsidRPr="000E4E30">
        <w:rPr>
          <w:szCs w:val="20"/>
        </w:rPr>
        <w:t xml:space="preserve">Across the EU-16, the </w:t>
      </w:r>
      <w:r w:rsidRPr="000E4E30">
        <w:rPr>
          <w:b/>
          <w:color w:val="1F497D" w:themeColor="text2"/>
          <w:szCs w:val="20"/>
        </w:rPr>
        <w:t>score at the 5</w:t>
      </w:r>
      <w:r w:rsidRPr="000E4E30">
        <w:rPr>
          <w:b/>
          <w:color w:val="1F497D" w:themeColor="text2"/>
          <w:szCs w:val="20"/>
          <w:vertAlign w:val="superscript"/>
        </w:rPr>
        <w:t>th</w:t>
      </w:r>
      <w:r w:rsidRPr="000E4E30">
        <w:rPr>
          <w:b/>
          <w:color w:val="1F497D" w:themeColor="text2"/>
          <w:szCs w:val="20"/>
        </w:rPr>
        <w:t xml:space="preserve"> percentile</w:t>
      </w:r>
      <w:r w:rsidRPr="000E4E30">
        <w:rPr>
          <w:color w:val="1F497D" w:themeColor="text2"/>
          <w:szCs w:val="20"/>
        </w:rPr>
        <w:t xml:space="preserve"> </w:t>
      </w:r>
      <w:r w:rsidRPr="000E4E30">
        <w:rPr>
          <w:szCs w:val="20"/>
        </w:rPr>
        <w:t xml:space="preserve">is 190, (i.e. 5% of the EU-16 population of young people score lower than this value), while that at the </w:t>
      </w:r>
      <w:r w:rsidRPr="000E4E30">
        <w:rPr>
          <w:b/>
          <w:color w:val="1F497D" w:themeColor="text2"/>
          <w:szCs w:val="20"/>
        </w:rPr>
        <w:t>95</w:t>
      </w:r>
      <w:r w:rsidRPr="000E4E30">
        <w:rPr>
          <w:b/>
          <w:color w:val="1F497D" w:themeColor="text2"/>
          <w:szCs w:val="20"/>
          <w:vertAlign w:val="superscript"/>
        </w:rPr>
        <w:t>th</w:t>
      </w:r>
      <w:r w:rsidRPr="000E4E30">
        <w:rPr>
          <w:b/>
          <w:color w:val="1F497D" w:themeColor="text2"/>
          <w:szCs w:val="20"/>
        </w:rPr>
        <w:t xml:space="preserve"> percentile</w:t>
      </w:r>
      <w:r w:rsidRPr="000E4E30">
        <w:rPr>
          <w:color w:val="1F497D" w:themeColor="text2"/>
          <w:szCs w:val="20"/>
        </w:rPr>
        <w:t xml:space="preserve"> </w:t>
      </w:r>
      <w:r w:rsidRPr="000E4E30">
        <w:rPr>
          <w:szCs w:val="20"/>
        </w:rPr>
        <w:t>is 352 points. The difference between the two extremes is 162 points for the EU-16. In some EU Member States, differences between highest and lowest</w:t>
      </w:r>
      <w:r w:rsidR="009561ED">
        <w:rPr>
          <w:szCs w:val="20"/>
        </w:rPr>
        <w:t xml:space="preserve"> performers are</w:t>
      </w:r>
      <w:r w:rsidRPr="000E4E30">
        <w:rPr>
          <w:szCs w:val="20"/>
        </w:rPr>
        <w:t xml:space="preserve"> larger than that, i.e. there is a 181 point difference between the 5</w:t>
      </w:r>
      <w:r w:rsidRPr="000E4E30">
        <w:rPr>
          <w:szCs w:val="20"/>
          <w:vertAlign w:val="superscript"/>
        </w:rPr>
        <w:t>th</w:t>
      </w:r>
      <w:r w:rsidRPr="000E4E30">
        <w:rPr>
          <w:szCs w:val="20"/>
        </w:rPr>
        <w:t xml:space="preserve"> and 95</w:t>
      </w:r>
      <w:r w:rsidRPr="000E4E30">
        <w:rPr>
          <w:szCs w:val="20"/>
          <w:vertAlign w:val="superscript"/>
        </w:rPr>
        <w:t>th</w:t>
      </w:r>
      <w:r w:rsidRPr="000E4E30">
        <w:rPr>
          <w:szCs w:val="20"/>
        </w:rPr>
        <w:t xml:space="preserve"> percentile in the United Kingdom</w:t>
      </w:r>
      <w:r w:rsidR="009561ED">
        <w:rPr>
          <w:szCs w:val="20"/>
        </w:rPr>
        <w:t xml:space="preserve"> (EN/NI)</w:t>
      </w:r>
      <w:r w:rsidRPr="000E4E30">
        <w:rPr>
          <w:szCs w:val="20"/>
        </w:rPr>
        <w:t xml:space="preserve"> and Sweden. In the case of Sweden, it shows that, even though young people display the fourth highest numeracy proficiency score in the EU-16 on average, the achievement of the lowest performers (5</w:t>
      </w:r>
      <w:r w:rsidRPr="000E4E30">
        <w:rPr>
          <w:szCs w:val="20"/>
          <w:vertAlign w:val="superscript"/>
        </w:rPr>
        <w:t>th</w:t>
      </w:r>
      <w:r w:rsidRPr="000E4E30">
        <w:rPr>
          <w:szCs w:val="20"/>
        </w:rPr>
        <w:t xml:space="preserve"> percentile) is substantially below that of a large number of Member States which show much lower average achievement rates. The smallest differences between lowest and highest performers are observed in the Czech Republic (141) and Estonia (148). </w:t>
      </w:r>
    </w:p>
    <w:p w:rsidR="002524DF" w:rsidRPr="00B26C5A" w:rsidRDefault="008D0022" w:rsidP="00363088">
      <w:pPr>
        <w:pStyle w:val="Heading3"/>
      </w:pPr>
      <w:bookmarkStart w:id="63" w:name="_Toc432865485"/>
      <w:bookmarkStart w:id="64" w:name="_Toc432873750"/>
      <w:bookmarkStart w:id="65" w:name="_Toc435620150"/>
      <w:bookmarkStart w:id="66" w:name="_Toc435802071"/>
      <w:r>
        <w:t>3.3</w:t>
      </w:r>
      <w:r w:rsidR="002524DF">
        <w:t>.2 Average</w:t>
      </w:r>
      <w:r w:rsidR="002524DF" w:rsidRPr="00B26C5A">
        <w:t xml:space="preserve"> </w:t>
      </w:r>
      <w:r w:rsidR="002524DF">
        <w:t>competences and their distribution - literacy</w:t>
      </w:r>
      <w:bookmarkEnd w:id="63"/>
      <w:bookmarkEnd w:id="64"/>
      <w:bookmarkEnd w:id="65"/>
      <w:bookmarkEnd w:id="66"/>
      <w:r w:rsidR="002524DF" w:rsidRPr="00B26C5A">
        <w:t xml:space="preserve"> </w:t>
      </w:r>
    </w:p>
    <w:p w:rsidR="002524DF" w:rsidRPr="002E793E" w:rsidRDefault="002524DF" w:rsidP="000E4E30">
      <w:pPr>
        <w:pStyle w:val="BodyText"/>
        <w:spacing w:line="288" w:lineRule="auto"/>
        <w:rPr>
          <w:szCs w:val="20"/>
        </w:rPr>
      </w:pPr>
      <w:r w:rsidRPr="000E4E30">
        <w:rPr>
          <w:szCs w:val="20"/>
        </w:rPr>
        <w:t xml:space="preserve">Similar patterns of within and across country differences can be observed for literacy (see Figure 3.4 </w:t>
      </w:r>
      <w:r w:rsidR="006B579D">
        <w:rPr>
          <w:szCs w:val="20"/>
        </w:rPr>
        <w:t>below</w:t>
      </w:r>
      <w:r w:rsidRPr="000E4E30">
        <w:rPr>
          <w:szCs w:val="20"/>
        </w:rPr>
        <w:t xml:space="preserve">). In general, </w:t>
      </w:r>
      <w:r w:rsidRPr="000E4E30">
        <w:rPr>
          <w:b/>
          <w:color w:val="1F497D" w:themeColor="text2"/>
          <w:szCs w:val="20"/>
        </w:rPr>
        <w:t>average proficiency scores in literacy</w:t>
      </w:r>
      <w:r w:rsidRPr="000E4E30">
        <w:rPr>
          <w:color w:val="1F497D" w:themeColor="text2"/>
          <w:szCs w:val="20"/>
        </w:rPr>
        <w:t xml:space="preserve"> </w:t>
      </w:r>
      <w:r w:rsidRPr="000E4E30">
        <w:rPr>
          <w:szCs w:val="20"/>
        </w:rPr>
        <w:t>are higher than average numeracy scores. Across the EU-16, the average literacy score is 282 (compared to 278 for numeracy). However, the order of Member State performance remains largely the same, but with Estonia now featuring in the top</w:t>
      </w:r>
      <w:r w:rsidR="006B579D">
        <w:rPr>
          <w:szCs w:val="20"/>
        </w:rPr>
        <w:t xml:space="preserve"> five</w:t>
      </w:r>
      <w:r w:rsidRPr="000E4E30">
        <w:rPr>
          <w:szCs w:val="20"/>
        </w:rPr>
        <w:t xml:space="preserve"> best performing Member States. The top five average </w:t>
      </w:r>
      <w:r w:rsidR="006B579D">
        <w:rPr>
          <w:szCs w:val="20"/>
        </w:rPr>
        <w:t>lit</w:t>
      </w:r>
      <w:r w:rsidR="006B579D" w:rsidRPr="000E4E30">
        <w:rPr>
          <w:szCs w:val="20"/>
        </w:rPr>
        <w:t xml:space="preserve">eracy </w:t>
      </w:r>
      <w:r w:rsidRPr="000E4E30">
        <w:rPr>
          <w:szCs w:val="20"/>
        </w:rPr>
        <w:t>scores are achieved by Finland (307), the Netherlands (299), Belgium</w:t>
      </w:r>
      <w:r w:rsidR="009561ED">
        <w:rPr>
          <w:szCs w:val="20"/>
        </w:rPr>
        <w:t xml:space="preserve"> (FL)</w:t>
      </w:r>
      <w:r w:rsidRPr="000E4E30">
        <w:rPr>
          <w:szCs w:val="20"/>
        </w:rPr>
        <w:t xml:space="preserve"> (291), Sweden (291) and Estonia (287). The five Member States with the lowest average literacy scores are Italy (259), Spain (264), Ireland (275), the United Kingdom</w:t>
      </w:r>
      <w:r w:rsidR="009561ED">
        <w:rPr>
          <w:szCs w:val="20"/>
        </w:rPr>
        <w:t xml:space="preserve"> (EN/NI)</w:t>
      </w:r>
      <w:r w:rsidRPr="000E4E30">
        <w:rPr>
          <w:szCs w:val="20"/>
        </w:rPr>
        <w:t xml:space="preserve"> (277) and the Slovak Republic (278). </w:t>
      </w:r>
    </w:p>
    <w:p w:rsidR="00B013ED" w:rsidRPr="00442118" w:rsidRDefault="00B013ED" w:rsidP="000E4E30">
      <w:pPr>
        <w:pStyle w:val="Caption"/>
        <w:spacing w:before="0" w:after="120" w:line="288" w:lineRule="auto"/>
        <w:rPr>
          <w:rFonts w:ascii="Verdana" w:hAnsi="Verdana"/>
          <w:b w:val="0"/>
          <w:color w:val="1F497D" w:themeColor="text2"/>
          <w:sz w:val="20"/>
        </w:rPr>
      </w:pPr>
      <w:r w:rsidRPr="00442118">
        <w:rPr>
          <w:rFonts w:ascii="Verdana" w:hAnsi="Verdana"/>
          <w:b w:val="0"/>
          <w:color w:val="1F497D" w:themeColor="text2"/>
          <w:sz w:val="20"/>
        </w:rPr>
        <w:t xml:space="preserve">Figure </w:t>
      </w:r>
      <w:r w:rsidR="00363088">
        <w:rPr>
          <w:rFonts w:ascii="Verdana" w:hAnsi="Verdana"/>
          <w:b w:val="0"/>
          <w:color w:val="1F497D" w:themeColor="text2"/>
          <w:sz w:val="20"/>
        </w:rPr>
        <w:t>3.</w:t>
      </w:r>
      <w:r w:rsidR="006B579D">
        <w:rPr>
          <w:rFonts w:ascii="Verdana" w:hAnsi="Verdana"/>
          <w:b w:val="0"/>
          <w:color w:val="1F497D" w:themeColor="text2"/>
          <w:sz w:val="20"/>
        </w:rPr>
        <w:t>4</w:t>
      </w:r>
      <w:r w:rsidR="00810364">
        <w:rPr>
          <w:rFonts w:ascii="Verdana" w:hAnsi="Verdana"/>
          <w:b w:val="0"/>
          <w:color w:val="1F497D" w:themeColor="text2"/>
          <w:sz w:val="20"/>
        </w:rPr>
        <w:t xml:space="preserve"> </w:t>
      </w:r>
      <w:r w:rsidRPr="00442118">
        <w:rPr>
          <w:rFonts w:ascii="Verdana" w:hAnsi="Verdana"/>
          <w:b w:val="0"/>
          <w:color w:val="1F497D" w:themeColor="text2"/>
          <w:sz w:val="20"/>
        </w:rPr>
        <w:t xml:space="preserve">Mean literacy scores of young adults (20-34) and percentiles </w:t>
      </w:r>
    </w:p>
    <w:p w:rsidR="00B013ED" w:rsidRPr="002E793E" w:rsidRDefault="00AF30EE" w:rsidP="000E4E30">
      <w:pPr>
        <w:pStyle w:val="Caption"/>
        <w:spacing w:before="0" w:after="120" w:line="288" w:lineRule="auto"/>
        <w:rPr>
          <w:rFonts w:ascii="Verdana" w:hAnsi="Verdana"/>
          <w:sz w:val="20"/>
        </w:rPr>
      </w:pPr>
      <w:r>
        <w:rPr>
          <w:noProof/>
          <w:lang w:val="en-US"/>
        </w:rPr>
        <w:drawing>
          <wp:inline distT="0" distB="0" distL="0" distR="0" wp14:anchorId="75F65F68" wp14:editId="07B6FF10">
            <wp:extent cx="5580000" cy="5400000"/>
            <wp:effectExtent l="0" t="0" r="1905" b="10795"/>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42118" w:rsidRPr="0005457D" w:rsidRDefault="00B013ED" w:rsidP="000E4E30">
      <w:pPr>
        <w:spacing w:after="120" w:line="288" w:lineRule="auto"/>
        <w:rPr>
          <w:rFonts w:cs="Arial"/>
          <w:i/>
          <w:sz w:val="16"/>
          <w:szCs w:val="16"/>
        </w:rPr>
      </w:pPr>
      <w:r w:rsidRPr="0005457D">
        <w:rPr>
          <w:rFonts w:cs="Arial"/>
          <w:i/>
          <w:sz w:val="16"/>
          <w:szCs w:val="16"/>
        </w:rPr>
        <w:t xml:space="preserve">Notes: Own calculations, presentation adapted from OECD (2013) Survey of Adult Skills, mean scores are shown with a .95 confidence interval. Literacy-related non-response (missing) is excluded from the calculation of mean scores.  </w:t>
      </w:r>
    </w:p>
    <w:p w:rsidR="009409BE" w:rsidRDefault="00B013ED" w:rsidP="000E4E30">
      <w:pPr>
        <w:pStyle w:val="BodyText"/>
        <w:spacing w:line="288" w:lineRule="auto"/>
        <w:rPr>
          <w:szCs w:val="20"/>
        </w:rPr>
      </w:pPr>
      <w:r w:rsidRPr="000E4E30">
        <w:rPr>
          <w:szCs w:val="20"/>
        </w:rPr>
        <w:t>Table 3.2 highlights in how far the observed differences are significant between countries. It shows that the top-performers</w:t>
      </w:r>
      <w:r w:rsidR="006B579D">
        <w:rPr>
          <w:szCs w:val="20"/>
        </w:rPr>
        <w:t>,</w:t>
      </w:r>
      <w:r w:rsidRPr="000E4E30">
        <w:rPr>
          <w:szCs w:val="20"/>
        </w:rPr>
        <w:t xml:space="preserve"> Finland and the Netherlands</w:t>
      </w:r>
      <w:r w:rsidR="006B579D">
        <w:rPr>
          <w:szCs w:val="20"/>
        </w:rPr>
        <w:t>,</w:t>
      </w:r>
      <w:r w:rsidRPr="000E4E30">
        <w:rPr>
          <w:szCs w:val="20"/>
        </w:rPr>
        <w:t xml:space="preserve"> indeed perform significantly better then other EU Member States. </w:t>
      </w:r>
      <w:bookmarkStart w:id="67" w:name="_Ref419710277"/>
      <w:bookmarkStart w:id="68" w:name="_Ref419710273"/>
    </w:p>
    <w:p w:rsidR="009409BE" w:rsidRDefault="009409BE">
      <w:pPr>
        <w:jc w:val="left"/>
        <w:rPr>
          <w:szCs w:val="20"/>
        </w:rPr>
      </w:pPr>
      <w:r>
        <w:rPr>
          <w:szCs w:val="20"/>
        </w:rPr>
        <w:br w:type="page"/>
      </w:r>
    </w:p>
    <w:bookmarkEnd w:id="67"/>
    <w:p w:rsidR="00B013ED" w:rsidRPr="00442118" w:rsidRDefault="00B013ED" w:rsidP="000E4E30">
      <w:pPr>
        <w:pStyle w:val="Caption"/>
        <w:spacing w:before="0" w:after="120" w:line="288" w:lineRule="auto"/>
        <w:rPr>
          <w:rFonts w:ascii="Verdana" w:hAnsi="Verdana"/>
          <w:b w:val="0"/>
          <w:i/>
          <w:color w:val="1F497D" w:themeColor="text2"/>
          <w:sz w:val="20"/>
        </w:rPr>
      </w:pPr>
      <w:r w:rsidRPr="00442118">
        <w:rPr>
          <w:rFonts w:ascii="Verdana" w:hAnsi="Verdana"/>
          <w:b w:val="0"/>
          <w:color w:val="1F497D" w:themeColor="text2"/>
          <w:sz w:val="20"/>
        </w:rPr>
        <w:t xml:space="preserve">Table </w:t>
      </w:r>
      <w:r w:rsidR="00E639C9">
        <w:rPr>
          <w:rFonts w:ascii="Verdana" w:hAnsi="Verdana"/>
          <w:b w:val="0"/>
          <w:color w:val="1F497D" w:themeColor="text2"/>
          <w:sz w:val="20"/>
        </w:rPr>
        <w:t>3.2</w:t>
      </w:r>
      <w:r w:rsidRPr="00442118">
        <w:rPr>
          <w:rFonts w:ascii="Verdana" w:hAnsi="Verdana"/>
          <w:b w:val="0"/>
          <w:color w:val="1F497D" w:themeColor="text2"/>
          <w:sz w:val="20"/>
        </w:rPr>
        <w:t xml:space="preserve"> Are average differences in literacy significant</w:t>
      </w:r>
      <w:r w:rsidRPr="00442118">
        <w:rPr>
          <w:rFonts w:ascii="Verdana" w:hAnsi="Verdana"/>
          <w:b w:val="0"/>
          <w:i/>
          <w:color w:val="1F497D" w:themeColor="text2"/>
          <w:sz w:val="20"/>
        </w:rPr>
        <w:t>?</w:t>
      </w:r>
      <w:bookmarkEnd w:id="68"/>
    </w:p>
    <w:tbl>
      <w:tblPr>
        <w:tblW w:w="8804" w:type="dxa"/>
        <w:tblInd w:w="5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CellMar>
          <w:left w:w="70" w:type="dxa"/>
          <w:right w:w="70" w:type="dxa"/>
        </w:tblCellMar>
        <w:tblLook w:val="04A0" w:firstRow="1" w:lastRow="0" w:firstColumn="1" w:lastColumn="0" w:noHBand="0" w:noVBand="1"/>
      </w:tblPr>
      <w:tblGrid>
        <w:gridCol w:w="1716"/>
        <w:gridCol w:w="669"/>
        <w:gridCol w:w="6419"/>
      </w:tblGrid>
      <w:tr w:rsidR="00B013ED" w:rsidRPr="00211990" w:rsidTr="00651009">
        <w:trPr>
          <w:cantSplit/>
          <w:trHeight w:hRule="exact" w:val="340"/>
        </w:trPr>
        <w:tc>
          <w:tcPr>
            <w:tcW w:w="1716" w:type="dxa"/>
            <w:shd w:val="clear" w:color="auto" w:fill="DBE5F1" w:themeFill="accent1" w:themeFillTint="33"/>
            <w:vAlign w:val="center"/>
          </w:tcPr>
          <w:p w:rsidR="00B013ED" w:rsidRPr="00211990" w:rsidRDefault="00B013ED" w:rsidP="000E4E30">
            <w:pPr>
              <w:spacing w:after="120" w:line="288" w:lineRule="auto"/>
              <w:rPr>
                <w:rFonts w:cs="Arial"/>
                <w:b/>
                <w:bCs/>
                <w:color w:val="000000"/>
                <w:sz w:val="18"/>
                <w:szCs w:val="18"/>
                <w:lang w:eastAsia="es-ES"/>
              </w:rPr>
            </w:pPr>
          </w:p>
        </w:tc>
        <w:tc>
          <w:tcPr>
            <w:tcW w:w="7088" w:type="dxa"/>
            <w:gridSpan w:val="2"/>
            <w:shd w:val="clear" w:color="auto" w:fill="auto"/>
            <w:vAlign w:val="center"/>
          </w:tcPr>
          <w:p w:rsidR="00B013ED" w:rsidRPr="00211990" w:rsidRDefault="00B013ED" w:rsidP="000E4E30">
            <w:pPr>
              <w:spacing w:after="120" w:line="288" w:lineRule="auto"/>
              <w:rPr>
                <w:rFonts w:cs="Arial"/>
                <w:color w:val="000000"/>
                <w:sz w:val="18"/>
                <w:szCs w:val="18"/>
                <w:lang w:eastAsia="es-ES"/>
              </w:rPr>
            </w:pPr>
            <w:r w:rsidRPr="00211990">
              <w:rPr>
                <w:rFonts w:cs="Arial"/>
                <w:bCs/>
                <w:color w:val="000000"/>
                <w:sz w:val="18"/>
                <w:szCs w:val="18"/>
                <w:lang w:eastAsia="es-ES"/>
              </w:rPr>
              <w:t xml:space="preserve">Significantly </w:t>
            </w:r>
            <w:r w:rsidRPr="00211990">
              <w:rPr>
                <w:rFonts w:cs="Arial"/>
                <w:b/>
                <w:bCs/>
                <w:color w:val="000000"/>
                <w:sz w:val="18"/>
                <w:szCs w:val="18"/>
                <w:lang w:eastAsia="es-ES"/>
              </w:rPr>
              <w:t>above</w:t>
            </w:r>
            <w:r w:rsidRPr="00211990">
              <w:rPr>
                <w:rFonts w:cs="Arial"/>
                <w:bCs/>
                <w:color w:val="000000"/>
                <w:sz w:val="18"/>
                <w:szCs w:val="18"/>
                <w:lang w:eastAsia="es-ES"/>
              </w:rPr>
              <w:t xml:space="preserve"> the EU-16 average</w:t>
            </w:r>
          </w:p>
        </w:tc>
      </w:tr>
      <w:tr w:rsidR="00B013ED" w:rsidRPr="00211990" w:rsidTr="00651009">
        <w:trPr>
          <w:cantSplit/>
          <w:trHeight w:hRule="exact" w:val="340"/>
        </w:trPr>
        <w:tc>
          <w:tcPr>
            <w:tcW w:w="1716" w:type="dxa"/>
            <w:shd w:val="clear" w:color="auto" w:fill="BFBFBF" w:themeFill="background1" w:themeFillShade="BF"/>
            <w:vAlign w:val="center"/>
          </w:tcPr>
          <w:p w:rsidR="00B013ED" w:rsidRPr="00211990" w:rsidRDefault="00B013ED" w:rsidP="000E4E30">
            <w:pPr>
              <w:spacing w:after="120" w:line="288" w:lineRule="auto"/>
              <w:rPr>
                <w:rFonts w:cs="Arial"/>
                <w:b/>
                <w:bCs/>
                <w:color w:val="000000"/>
                <w:sz w:val="18"/>
                <w:szCs w:val="18"/>
                <w:lang w:eastAsia="es-ES"/>
              </w:rPr>
            </w:pPr>
          </w:p>
        </w:tc>
        <w:tc>
          <w:tcPr>
            <w:tcW w:w="7088" w:type="dxa"/>
            <w:gridSpan w:val="2"/>
            <w:shd w:val="clear" w:color="auto" w:fill="auto"/>
            <w:vAlign w:val="center"/>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Not significantly different from the EU-16 average</w:t>
            </w:r>
          </w:p>
        </w:tc>
      </w:tr>
      <w:tr w:rsidR="00B013ED" w:rsidRPr="00211990" w:rsidTr="00651009">
        <w:trPr>
          <w:cantSplit/>
          <w:trHeight w:hRule="exact" w:val="340"/>
        </w:trPr>
        <w:tc>
          <w:tcPr>
            <w:tcW w:w="1716" w:type="dxa"/>
            <w:shd w:val="clear" w:color="auto" w:fill="FBD4B4" w:themeFill="accent6" w:themeFillTint="66"/>
            <w:vAlign w:val="center"/>
          </w:tcPr>
          <w:p w:rsidR="00B013ED" w:rsidRPr="00211990" w:rsidRDefault="00B013ED" w:rsidP="000E4E30">
            <w:pPr>
              <w:spacing w:after="120" w:line="288" w:lineRule="auto"/>
              <w:rPr>
                <w:rFonts w:cs="Arial"/>
                <w:b/>
                <w:bCs/>
                <w:color w:val="000000"/>
                <w:sz w:val="18"/>
                <w:szCs w:val="18"/>
                <w:lang w:eastAsia="es-ES"/>
              </w:rPr>
            </w:pPr>
          </w:p>
        </w:tc>
        <w:tc>
          <w:tcPr>
            <w:tcW w:w="7088" w:type="dxa"/>
            <w:gridSpan w:val="2"/>
            <w:shd w:val="clear" w:color="auto" w:fill="auto"/>
            <w:vAlign w:val="center"/>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 xml:space="preserve">Significantly </w:t>
            </w:r>
            <w:r w:rsidRPr="00211990">
              <w:rPr>
                <w:rFonts w:cs="Arial"/>
                <w:b/>
                <w:color w:val="000000"/>
                <w:sz w:val="18"/>
                <w:szCs w:val="18"/>
                <w:lang w:eastAsia="es-ES"/>
              </w:rPr>
              <w:t>below</w:t>
            </w:r>
            <w:r w:rsidRPr="00211990">
              <w:rPr>
                <w:rFonts w:cs="Arial"/>
                <w:color w:val="000000"/>
                <w:sz w:val="18"/>
                <w:szCs w:val="18"/>
                <w:lang w:eastAsia="es-ES"/>
              </w:rPr>
              <w:t xml:space="preserve"> the EU-16 average</w:t>
            </w:r>
          </w:p>
        </w:tc>
      </w:tr>
      <w:tr w:rsidR="00B013ED" w:rsidRPr="00211990" w:rsidTr="00651009">
        <w:trPr>
          <w:cantSplit/>
          <w:trHeight w:hRule="exact" w:val="561"/>
        </w:trPr>
        <w:tc>
          <w:tcPr>
            <w:tcW w:w="1716" w:type="dxa"/>
            <w:shd w:val="clear" w:color="auto" w:fill="365F91"/>
            <w:vAlign w:val="center"/>
            <w:hideMark/>
          </w:tcPr>
          <w:p w:rsidR="00B013ED" w:rsidRPr="00211990" w:rsidRDefault="00B013ED" w:rsidP="000E4E30">
            <w:pPr>
              <w:spacing w:after="120" w:line="288" w:lineRule="auto"/>
              <w:rPr>
                <w:rFonts w:cs="Arial"/>
                <w:b/>
                <w:bCs/>
                <w:color w:val="FFFFFF" w:themeColor="background1"/>
                <w:sz w:val="18"/>
                <w:szCs w:val="18"/>
                <w:lang w:eastAsia="es-ES"/>
              </w:rPr>
            </w:pPr>
            <w:r w:rsidRPr="00211990">
              <w:rPr>
                <w:rFonts w:cs="Arial"/>
                <w:b/>
                <w:bCs/>
                <w:color w:val="FFFFFF" w:themeColor="background1"/>
                <w:sz w:val="18"/>
                <w:szCs w:val="18"/>
                <w:lang w:eastAsia="es-ES"/>
              </w:rPr>
              <w:t>Country of reference</w:t>
            </w:r>
          </w:p>
        </w:tc>
        <w:tc>
          <w:tcPr>
            <w:tcW w:w="669" w:type="dxa"/>
            <w:shd w:val="clear" w:color="auto" w:fill="365F91"/>
            <w:vAlign w:val="center"/>
            <w:hideMark/>
          </w:tcPr>
          <w:p w:rsidR="00B013ED" w:rsidRPr="00211990" w:rsidRDefault="00B013ED" w:rsidP="000E4E30">
            <w:pPr>
              <w:spacing w:after="120" w:line="288" w:lineRule="auto"/>
              <w:jc w:val="center"/>
              <w:rPr>
                <w:rFonts w:cs="Arial"/>
                <w:b/>
                <w:bCs/>
                <w:color w:val="FFFFFF" w:themeColor="background1"/>
                <w:sz w:val="18"/>
                <w:szCs w:val="18"/>
                <w:lang w:eastAsia="es-ES"/>
              </w:rPr>
            </w:pPr>
            <w:r w:rsidRPr="00211990">
              <w:rPr>
                <w:rFonts w:cs="Arial"/>
                <w:b/>
                <w:bCs/>
                <w:color w:val="FFFFFF" w:themeColor="background1"/>
                <w:sz w:val="18"/>
                <w:szCs w:val="18"/>
                <w:lang w:eastAsia="es-ES"/>
              </w:rPr>
              <w:t>Mean score</w:t>
            </w:r>
          </w:p>
        </w:tc>
        <w:tc>
          <w:tcPr>
            <w:tcW w:w="6419" w:type="dxa"/>
            <w:shd w:val="clear" w:color="auto" w:fill="365F91"/>
            <w:noWrap/>
            <w:vAlign w:val="bottom"/>
            <w:hideMark/>
          </w:tcPr>
          <w:p w:rsidR="00B013ED" w:rsidRPr="00211990" w:rsidRDefault="00B013ED" w:rsidP="000E4E30">
            <w:pPr>
              <w:spacing w:after="120" w:line="288" w:lineRule="auto"/>
              <w:rPr>
                <w:rFonts w:cs="Arial"/>
                <w:color w:val="FFFFFF" w:themeColor="background1"/>
                <w:sz w:val="18"/>
                <w:szCs w:val="18"/>
                <w:lang w:eastAsia="es-ES"/>
              </w:rPr>
            </w:pPr>
            <w:r w:rsidRPr="00211990">
              <w:rPr>
                <w:rFonts w:cs="Arial"/>
                <w:color w:val="FFFFFF" w:themeColor="background1"/>
                <w:sz w:val="18"/>
                <w:szCs w:val="18"/>
                <w:lang w:eastAsia="es-ES"/>
              </w:rPr>
              <w:t>Countries  whose mean is NOT significantly different from the reference</w:t>
            </w:r>
          </w:p>
        </w:tc>
      </w:tr>
      <w:tr w:rsidR="00B013ED" w:rsidRPr="00211990" w:rsidTr="00651009">
        <w:trPr>
          <w:cantSplit/>
          <w:trHeight w:hRule="exact" w:val="340"/>
        </w:trPr>
        <w:tc>
          <w:tcPr>
            <w:tcW w:w="1716" w:type="dxa"/>
            <w:shd w:val="clear" w:color="auto" w:fill="B8CCE4" w:themeFill="accent1"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Finland</w:t>
            </w:r>
          </w:p>
        </w:tc>
        <w:tc>
          <w:tcPr>
            <w:tcW w:w="669" w:type="dxa"/>
            <w:shd w:val="clear" w:color="auto" w:fill="B8CCE4" w:themeFill="accent1"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307</w:t>
            </w:r>
          </w:p>
        </w:tc>
        <w:tc>
          <w:tcPr>
            <w:tcW w:w="6419" w:type="dxa"/>
            <w:shd w:val="clear" w:color="auto" w:fill="B8CCE4" w:themeFill="accent1" w:themeFillTint="66"/>
            <w:noWrap/>
            <w:vAlign w:val="bottom"/>
            <w:hideMark/>
          </w:tcPr>
          <w:p w:rsidR="00B013ED" w:rsidRPr="00211990" w:rsidRDefault="00B013ED" w:rsidP="000E4E30">
            <w:pPr>
              <w:spacing w:after="120" w:line="288" w:lineRule="auto"/>
              <w:rPr>
                <w:rFonts w:cs="Arial"/>
                <w:color w:val="000000"/>
                <w:sz w:val="18"/>
                <w:szCs w:val="18"/>
                <w:lang w:eastAsia="es-ES"/>
              </w:rPr>
            </w:pPr>
          </w:p>
        </w:tc>
      </w:tr>
      <w:tr w:rsidR="00B013ED" w:rsidRPr="00211990" w:rsidTr="00651009">
        <w:trPr>
          <w:cantSplit/>
          <w:trHeight w:hRule="exact" w:val="340"/>
        </w:trPr>
        <w:tc>
          <w:tcPr>
            <w:tcW w:w="1716" w:type="dxa"/>
            <w:shd w:val="clear" w:color="auto" w:fill="B8CCE4" w:themeFill="accent1"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Netherlands</w:t>
            </w:r>
          </w:p>
        </w:tc>
        <w:tc>
          <w:tcPr>
            <w:tcW w:w="669" w:type="dxa"/>
            <w:shd w:val="clear" w:color="auto" w:fill="B8CCE4" w:themeFill="accent1"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299</w:t>
            </w:r>
          </w:p>
        </w:tc>
        <w:tc>
          <w:tcPr>
            <w:tcW w:w="6419" w:type="dxa"/>
            <w:shd w:val="clear" w:color="auto" w:fill="B8CCE4" w:themeFill="accent1" w:themeFillTint="66"/>
            <w:noWrap/>
            <w:vAlign w:val="bottom"/>
            <w:hideMark/>
          </w:tcPr>
          <w:p w:rsidR="00B013ED" w:rsidRPr="00211990" w:rsidRDefault="00B013ED" w:rsidP="000E4E30">
            <w:pPr>
              <w:spacing w:after="120" w:line="288" w:lineRule="auto"/>
              <w:rPr>
                <w:rFonts w:cs="Arial"/>
                <w:color w:val="000000"/>
                <w:sz w:val="18"/>
                <w:szCs w:val="18"/>
                <w:lang w:eastAsia="es-ES"/>
              </w:rPr>
            </w:pPr>
          </w:p>
        </w:tc>
      </w:tr>
      <w:tr w:rsidR="00B013ED" w:rsidRPr="00211990" w:rsidTr="00651009">
        <w:trPr>
          <w:cantSplit/>
          <w:trHeight w:hRule="exact" w:val="340"/>
        </w:trPr>
        <w:tc>
          <w:tcPr>
            <w:tcW w:w="1716" w:type="dxa"/>
            <w:shd w:val="clear" w:color="auto" w:fill="B8CCE4" w:themeFill="accent1"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Belgium</w:t>
            </w:r>
            <w:r w:rsidR="00BC72E0" w:rsidRPr="00211990">
              <w:rPr>
                <w:rFonts w:cs="Arial"/>
                <w:b/>
                <w:color w:val="000000"/>
                <w:sz w:val="18"/>
                <w:szCs w:val="18"/>
                <w:lang w:eastAsia="es-ES"/>
              </w:rPr>
              <w:t xml:space="preserve"> (FL)</w:t>
            </w:r>
          </w:p>
        </w:tc>
        <w:tc>
          <w:tcPr>
            <w:tcW w:w="669" w:type="dxa"/>
            <w:shd w:val="clear" w:color="auto" w:fill="B8CCE4" w:themeFill="accent1"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291</w:t>
            </w:r>
          </w:p>
        </w:tc>
        <w:tc>
          <w:tcPr>
            <w:tcW w:w="6419" w:type="dxa"/>
            <w:shd w:val="clear" w:color="auto" w:fill="B8CCE4" w:themeFill="accent1"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Czech Republic, Estonia, Sweden</w:t>
            </w:r>
          </w:p>
        </w:tc>
      </w:tr>
      <w:tr w:rsidR="00B013ED" w:rsidRPr="00211990" w:rsidTr="00651009">
        <w:trPr>
          <w:cantSplit/>
          <w:trHeight w:hRule="exact" w:val="340"/>
        </w:trPr>
        <w:tc>
          <w:tcPr>
            <w:tcW w:w="1716" w:type="dxa"/>
            <w:shd w:val="clear" w:color="auto" w:fill="B8CCE4" w:themeFill="accent1"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Sweden</w:t>
            </w:r>
          </w:p>
        </w:tc>
        <w:tc>
          <w:tcPr>
            <w:tcW w:w="669" w:type="dxa"/>
            <w:shd w:val="clear" w:color="auto" w:fill="B8CCE4" w:themeFill="accent1"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291</w:t>
            </w:r>
          </w:p>
        </w:tc>
        <w:tc>
          <w:tcPr>
            <w:tcW w:w="6419" w:type="dxa"/>
            <w:shd w:val="clear" w:color="auto" w:fill="B8CCE4" w:themeFill="accent1"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Belgium</w:t>
            </w:r>
            <w:r w:rsidR="00BC72E0" w:rsidRPr="00211990">
              <w:rPr>
                <w:rFonts w:cs="Arial"/>
                <w:color w:val="000000"/>
                <w:sz w:val="18"/>
                <w:szCs w:val="18"/>
                <w:lang w:eastAsia="es-ES"/>
              </w:rPr>
              <w:t xml:space="preserve"> (FL)</w:t>
            </w:r>
            <w:r w:rsidRPr="00211990">
              <w:rPr>
                <w:rFonts w:cs="Arial"/>
                <w:color w:val="000000"/>
                <w:sz w:val="18"/>
                <w:szCs w:val="18"/>
                <w:lang w:eastAsia="es-ES"/>
              </w:rPr>
              <w:t>, Czech Republic, Estonia</w:t>
            </w:r>
          </w:p>
        </w:tc>
      </w:tr>
      <w:tr w:rsidR="00B013ED" w:rsidRPr="00211990" w:rsidTr="00651009">
        <w:trPr>
          <w:cantSplit/>
          <w:trHeight w:hRule="exact" w:val="340"/>
        </w:trPr>
        <w:tc>
          <w:tcPr>
            <w:tcW w:w="1716" w:type="dxa"/>
            <w:shd w:val="clear" w:color="auto" w:fill="B8CCE4" w:themeFill="accent1"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Estonia</w:t>
            </w:r>
          </w:p>
        </w:tc>
        <w:tc>
          <w:tcPr>
            <w:tcW w:w="669" w:type="dxa"/>
            <w:shd w:val="clear" w:color="auto" w:fill="B8CCE4" w:themeFill="accent1"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287</w:t>
            </w:r>
          </w:p>
        </w:tc>
        <w:tc>
          <w:tcPr>
            <w:tcW w:w="6419" w:type="dxa"/>
            <w:shd w:val="clear" w:color="auto" w:fill="B8CCE4" w:themeFill="accent1"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Belgium</w:t>
            </w:r>
            <w:r w:rsidR="00BC72E0" w:rsidRPr="00211990">
              <w:rPr>
                <w:rFonts w:cs="Arial"/>
                <w:color w:val="000000"/>
                <w:sz w:val="18"/>
                <w:szCs w:val="18"/>
                <w:lang w:eastAsia="es-ES"/>
              </w:rPr>
              <w:t xml:space="preserve"> (FL)</w:t>
            </w:r>
            <w:r w:rsidRPr="00211990">
              <w:rPr>
                <w:rFonts w:cs="Arial"/>
                <w:color w:val="000000"/>
                <w:sz w:val="18"/>
                <w:szCs w:val="18"/>
                <w:lang w:eastAsia="es-ES"/>
              </w:rPr>
              <w:t>, Czech Republic, Sweden</w:t>
            </w:r>
          </w:p>
        </w:tc>
      </w:tr>
      <w:tr w:rsidR="00B013ED" w:rsidRPr="00211990" w:rsidTr="00651009">
        <w:trPr>
          <w:cantSplit/>
          <w:trHeight w:hRule="exact" w:val="700"/>
        </w:trPr>
        <w:tc>
          <w:tcPr>
            <w:tcW w:w="1716" w:type="dxa"/>
            <w:shd w:val="clear" w:color="auto" w:fill="BFBFBF" w:themeFill="background1" w:themeFillShade="BF"/>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Czech Republic</w:t>
            </w:r>
          </w:p>
        </w:tc>
        <w:tc>
          <w:tcPr>
            <w:tcW w:w="669" w:type="dxa"/>
            <w:shd w:val="clear" w:color="auto" w:fill="BFBFBF" w:themeFill="background1" w:themeFillShade="BF"/>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286</w:t>
            </w:r>
          </w:p>
        </w:tc>
        <w:tc>
          <w:tcPr>
            <w:tcW w:w="6419" w:type="dxa"/>
            <w:shd w:val="clear" w:color="auto" w:fill="BFBFBF" w:themeFill="background1" w:themeFillShade="BF"/>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Belgium</w:t>
            </w:r>
            <w:r w:rsidR="00BC72E0" w:rsidRPr="00211990">
              <w:rPr>
                <w:rFonts w:cs="Arial"/>
                <w:color w:val="000000"/>
                <w:sz w:val="18"/>
                <w:szCs w:val="18"/>
                <w:lang w:eastAsia="es-ES"/>
              </w:rPr>
              <w:t xml:space="preserve"> (FL)</w:t>
            </w:r>
            <w:r w:rsidRPr="00211990">
              <w:rPr>
                <w:rFonts w:cs="Arial"/>
                <w:color w:val="000000"/>
                <w:sz w:val="18"/>
                <w:szCs w:val="18"/>
                <w:lang w:eastAsia="es-ES"/>
              </w:rPr>
              <w:t>, Denmark, Estonia, Germany, Sweden</w:t>
            </w:r>
          </w:p>
        </w:tc>
      </w:tr>
      <w:tr w:rsidR="00B013ED" w:rsidRPr="00211990" w:rsidTr="00651009">
        <w:trPr>
          <w:cantSplit/>
          <w:trHeight w:hRule="exact" w:val="340"/>
        </w:trPr>
        <w:tc>
          <w:tcPr>
            <w:tcW w:w="1716" w:type="dxa"/>
            <w:shd w:val="clear" w:color="auto" w:fill="BFBFBF" w:themeFill="background1" w:themeFillShade="BF"/>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EU-16</w:t>
            </w:r>
          </w:p>
        </w:tc>
        <w:tc>
          <w:tcPr>
            <w:tcW w:w="669" w:type="dxa"/>
            <w:shd w:val="clear" w:color="auto" w:fill="BFBFBF" w:themeFill="background1" w:themeFillShade="BF"/>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282</w:t>
            </w:r>
          </w:p>
        </w:tc>
        <w:tc>
          <w:tcPr>
            <w:tcW w:w="6419" w:type="dxa"/>
            <w:shd w:val="clear" w:color="auto" w:fill="BFBFBF" w:themeFill="background1" w:themeFillShade="BF"/>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Czech Republic, Denmark, Germany</w:t>
            </w:r>
          </w:p>
        </w:tc>
      </w:tr>
      <w:tr w:rsidR="00B013ED" w:rsidRPr="00211990" w:rsidTr="00651009">
        <w:trPr>
          <w:cantSplit/>
          <w:trHeight w:hRule="exact" w:val="685"/>
        </w:trPr>
        <w:tc>
          <w:tcPr>
            <w:tcW w:w="1716" w:type="dxa"/>
            <w:shd w:val="clear" w:color="auto" w:fill="BFBFBF" w:themeFill="background1" w:themeFillShade="BF"/>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Germany</w:t>
            </w:r>
          </w:p>
        </w:tc>
        <w:tc>
          <w:tcPr>
            <w:tcW w:w="669" w:type="dxa"/>
            <w:shd w:val="clear" w:color="auto" w:fill="BFBFBF" w:themeFill="background1" w:themeFillShade="BF"/>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282</w:t>
            </w:r>
          </w:p>
        </w:tc>
        <w:tc>
          <w:tcPr>
            <w:tcW w:w="6419" w:type="dxa"/>
            <w:shd w:val="clear" w:color="auto" w:fill="BFBFBF" w:themeFill="background1" w:themeFillShade="BF"/>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Czech Republic, Denmark, France, Poland, Slovak Republic, United Kingdom</w:t>
            </w:r>
            <w:r w:rsidR="00BC72E0" w:rsidRPr="00211990">
              <w:rPr>
                <w:rFonts w:cs="Arial"/>
                <w:color w:val="000000"/>
                <w:sz w:val="18"/>
                <w:szCs w:val="18"/>
                <w:lang w:eastAsia="es-ES"/>
              </w:rPr>
              <w:t xml:space="preserve"> (EN/NI)</w:t>
            </w:r>
          </w:p>
        </w:tc>
      </w:tr>
      <w:tr w:rsidR="00B013ED" w:rsidRPr="00211990" w:rsidTr="00651009">
        <w:trPr>
          <w:cantSplit/>
          <w:trHeight w:hRule="exact" w:val="618"/>
        </w:trPr>
        <w:tc>
          <w:tcPr>
            <w:tcW w:w="1716" w:type="dxa"/>
            <w:shd w:val="clear" w:color="auto" w:fill="BFBFBF" w:themeFill="background1" w:themeFillShade="BF"/>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Denmark</w:t>
            </w:r>
          </w:p>
        </w:tc>
        <w:tc>
          <w:tcPr>
            <w:tcW w:w="669" w:type="dxa"/>
            <w:shd w:val="clear" w:color="auto" w:fill="BFBFBF" w:themeFill="background1" w:themeFillShade="BF"/>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282</w:t>
            </w:r>
          </w:p>
        </w:tc>
        <w:tc>
          <w:tcPr>
            <w:tcW w:w="6419" w:type="dxa"/>
            <w:shd w:val="clear" w:color="auto" w:fill="BFBFBF" w:themeFill="background1" w:themeFillShade="BF"/>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Czech Republic, Germany, France, Poland, Slovak Republic, United Kingdom</w:t>
            </w:r>
            <w:r w:rsidR="00BC72E0" w:rsidRPr="00211990">
              <w:rPr>
                <w:rFonts w:cs="Arial"/>
                <w:color w:val="000000"/>
                <w:sz w:val="18"/>
                <w:szCs w:val="18"/>
                <w:lang w:eastAsia="es-ES"/>
              </w:rPr>
              <w:t xml:space="preserve"> (EN/NI)</w:t>
            </w:r>
          </w:p>
        </w:tc>
      </w:tr>
      <w:tr w:rsidR="00B013ED" w:rsidRPr="00211990" w:rsidTr="00651009">
        <w:trPr>
          <w:cantSplit/>
          <w:trHeight w:hRule="exact" w:val="567"/>
        </w:trPr>
        <w:tc>
          <w:tcPr>
            <w:tcW w:w="1716" w:type="dxa"/>
            <w:shd w:val="clear" w:color="auto" w:fill="BFBFBF" w:themeFill="background1" w:themeFillShade="BF"/>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Austria</w:t>
            </w:r>
          </w:p>
        </w:tc>
        <w:tc>
          <w:tcPr>
            <w:tcW w:w="669" w:type="dxa"/>
            <w:shd w:val="clear" w:color="auto" w:fill="BFBFBF" w:themeFill="background1" w:themeFillShade="BF"/>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281</w:t>
            </w:r>
          </w:p>
        </w:tc>
        <w:tc>
          <w:tcPr>
            <w:tcW w:w="6419" w:type="dxa"/>
            <w:shd w:val="clear" w:color="auto" w:fill="BFBFBF" w:themeFill="background1" w:themeFillShade="BF"/>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Czech Republic, Denmark, France, Germany, Poland, Slovak Republic, United Kingdom</w:t>
            </w:r>
            <w:r w:rsidR="00BC72E0" w:rsidRPr="00211990">
              <w:rPr>
                <w:rFonts w:cs="Arial"/>
                <w:color w:val="000000"/>
                <w:sz w:val="18"/>
                <w:szCs w:val="18"/>
                <w:lang w:eastAsia="es-ES"/>
              </w:rPr>
              <w:t xml:space="preserve"> (EN/NI)</w:t>
            </w:r>
          </w:p>
        </w:tc>
      </w:tr>
      <w:tr w:rsidR="00B013ED" w:rsidRPr="00211990" w:rsidTr="00651009">
        <w:trPr>
          <w:cantSplit/>
          <w:trHeight w:hRule="exact" w:val="553"/>
        </w:trPr>
        <w:tc>
          <w:tcPr>
            <w:tcW w:w="1716" w:type="dxa"/>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Poland</w:t>
            </w:r>
          </w:p>
        </w:tc>
        <w:tc>
          <w:tcPr>
            <w:tcW w:w="669" w:type="dxa"/>
            <w:shd w:val="clear" w:color="auto" w:fill="FBD4B4" w:themeFill="accent6"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279</w:t>
            </w:r>
          </w:p>
        </w:tc>
        <w:tc>
          <w:tcPr>
            <w:tcW w:w="6419" w:type="dxa"/>
            <w:shd w:val="clear" w:color="auto" w:fill="FBD4B4" w:themeFill="accent6"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Denmark, France, Germany, Ireland, Slovak Republic, United Kingdom</w:t>
            </w:r>
            <w:r w:rsidR="00BC72E0" w:rsidRPr="00211990">
              <w:rPr>
                <w:rFonts w:cs="Arial"/>
                <w:color w:val="000000"/>
                <w:sz w:val="18"/>
                <w:szCs w:val="18"/>
                <w:lang w:eastAsia="es-ES"/>
              </w:rPr>
              <w:t xml:space="preserve"> (EN/NI)</w:t>
            </w:r>
          </w:p>
        </w:tc>
      </w:tr>
      <w:tr w:rsidR="00B013ED" w:rsidRPr="00211990" w:rsidTr="00651009">
        <w:trPr>
          <w:cantSplit/>
          <w:trHeight w:hRule="exact" w:val="946"/>
        </w:trPr>
        <w:tc>
          <w:tcPr>
            <w:tcW w:w="1716" w:type="dxa"/>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France</w:t>
            </w:r>
          </w:p>
        </w:tc>
        <w:tc>
          <w:tcPr>
            <w:tcW w:w="669" w:type="dxa"/>
            <w:shd w:val="clear" w:color="auto" w:fill="FBD4B4" w:themeFill="accent6"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278</w:t>
            </w:r>
          </w:p>
        </w:tc>
        <w:tc>
          <w:tcPr>
            <w:tcW w:w="6419" w:type="dxa"/>
            <w:shd w:val="clear" w:color="auto" w:fill="FBD4B4" w:themeFill="accent6"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 xml:space="preserve">Austria, Denmark, Germany, Ireland, Poland, Slovak Republic, </w:t>
            </w:r>
          </w:p>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 xml:space="preserve">United Kingdom </w:t>
            </w:r>
            <w:r w:rsidR="00BC72E0" w:rsidRPr="00211990">
              <w:rPr>
                <w:rFonts w:cs="Arial"/>
                <w:color w:val="000000"/>
                <w:sz w:val="18"/>
                <w:szCs w:val="18"/>
                <w:lang w:eastAsia="es-ES"/>
              </w:rPr>
              <w:t>(EN/NI)</w:t>
            </w:r>
          </w:p>
        </w:tc>
      </w:tr>
      <w:tr w:rsidR="00B013ED" w:rsidRPr="00211990" w:rsidTr="00651009">
        <w:trPr>
          <w:cantSplit/>
          <w:trHeight w:hRule="exact" w:val="557"/>
        </w:trPr>
        <w:tc>
          <w:tcPr>
            <w:tcW w:w="1716" w:type="dxa"/>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Slovak Republic</w:t>
            </w:r>
          </w:p>
        </w:tc>
        <w:tc>
          <w:tcPr>
            <w:tcW w:w="669" w:type="dxa"/>
            <w:shd w:val="clear" w:color="auto" w:fill="FBD4B4" w:themeFill="accent6"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278</w:t>
            </w:r>
          </w:p>
        </w:tc>
        <w:tc>
          <w:tcPr>
            <w:tcW w:w="6419" w:type="dxa"/>
            <w:shd w:val="clear" w:color="auto" w:fill="FBD4B4" w:themeFill="accent6"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Denmark, France,  Germany, I</w:t>
            </w:r>
            <w:r w:rsidR="00BC72E0" w:rsidRPr="00211990">
              <w:rPr>
                <w:rFonts w:cs="Arial"/>
                <w:color w:val="000000"/>
                <w:sz w:val="18"/>
                <w:szCs w:val="18"/>
                <w:lang w:eastAsia="es-ES"/>
              </w:rPr>
              <w:t>reland, Poland, United Kingdom (EN/NI)</w:t>
            </w:r>
          </w:p>
        </w:tc>
      </w:tr>
      <w:tr w:rsidR="00B013ED" w:rsidRPr="00211990" w:rsidTr="00651009">
        <w:trPr>
          <w:cantSplit/>
          <w:trHeight w:hRule="exact" w:val="565"/>
        </w:trPr>
        <w:tc>
          <w:tcPr>
            <w:tcW w:w="1716" w:type="dxa"/>
            <w:shd w:val="clear" w:color="auto" w:fill="FBD4B4" w:themeFill="accent6" w:themeFillTint="66"/>
            <w:vAlign w:val="center"/>
            <w:hideMark/>
          </w:tcPr>
          <w:p w:rsidR="00B013ED" w:rsidRPr="00211990" w:rsidRDefault="00BC72E0" w:rsidP="000E4E30">
            <w:pPr>
              <w:spacing w:after="120" w:line="288" w:lineRule="auto"/>
              <w:rPr>
                <w:rFonts w:cs="Arial"/>
                <w:b/>
                <w:color w:val="000000"/>
                <w:sz w:val="18"/>
                <w:szCs w:val="18"/>
                <w:lang w:eastAsia="es-ES"/>
              </w:rPr>
            </w:pPr>
            <w:r w:rsidRPr="00211990">
              <w:rPr>
                <w:rFonts w:cs="Arial"/>
                <w:b/>
                <w:color w:val="000000"/>
                <w:sz w:val="18"/>
                <w:szCs w:val="18"/>
                <w:lang w:eastAsia="es-ES"/>
              </w:rPr>
              <w:t>UK (EN/NI)</w:t>
            </w:r>
          </w:p>
        </w:tc>
        <w:tc>
          <w:tcPr>
            <w:tcW w:w="669" w:type="dxa"/>
            <w:shd w:val="clear" w:color="auto" w:fill="FBD4B4" w:themeFill="accent6"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277</w:t>
            </w:r>
          </w:p>
        </w:tc>
        <w:tc>
          <w:tcPr>
            <w:tcW w:w="6419" w:type="dxa"/>
            <w:shd w:val="clear" w:color="auto" w:fill="FBD4B4" w:themeFill="accent6"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Austria, Denmark, France, Germany, Ireland, Poland, Slovak Republic</w:t>
            </w:r>
          </w:p>
        </w:tc>
      </w:tr>
      <w:tr w:rsidR="00B013ED" w:rsidRPr="00211990" w:rsidTr="00651009">
        <w:trPr>
          <w:cantSplit/>
          <w:trHeight w:hRule="exact" w:val="340"/>
        </w:trPr>
        <w:tc>
          <w:tcPr>
            <w:tcW w:w="1716" w:type="dxa"/>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Ireland</w:t>
            </w:r>
          </w:p>
        </w:tc>
        <w:tc>
          <w:tcPr>
            <w:tcW w:w="669" w:type="dxa"/>
            <w:shd w:val="clear" w:color="auto" w:fill="FBD4B4" w:themeFill="accent6"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275</w:t>
            </w:r>
          </w:p>
        </w:tc>
        <w:tc>
          <w:tcPr>
            <w:tcW w:w="6419" w:type="dxa"/>
            <w:shd w:val="clear" w:color="auto" w:fill="FBD4B4" w:themeFill="accent6"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 xml:space="preserve">France, Poland, Slovak Republic, United Kingdom </w:t>
            </w:r>
            <w:r w:rsidR="00BC72E0" w:rsidRPr="00211990">
              <w:rPr>
                <w:rFonts w:cs="Arial"/>
                <w:color w:val="000000"/>
                <w:sz w:val="18"/>
                <w:szCs w:val="18"/>
                <w:lang w:eastAsia="es-ES"/>
              </w:rPr>
              <w:t>(EN/NI)</w:t>
            </w:r>
          </w:p>
        </w:tc>
      </w:tr>
      <w:tr w:rsidR="00B013ED" w:rsidRPr="00211990" w:rsidTr="00651009">
        <w:trPr>
          <w:cantSplit/>
          <w:trHeight w:hRule="exact" w:val="340"/>
        </w:trPr>
        <w:tc>
          <w:tcPr>
            <w:tcW w:w="1716" w:type="dxa"/>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Spain</w:t>
            </w:r>
          </w:p>
        </w:tc>
        <w:tc>
          <w:tcPr>
            <w:tcW w:w="669" w:type="dxa"/>
            <w:shd w:val="clear" w:color="auto" w:fill="FBD4B4" w:themeFill="accent6"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264</w:t>
            </w:r>
          </w:p>
        </w:tc>
        <w:tc>
          <w:tcPr>
            <w:tcW w:w="6419" w:type="dxa"/>
            <w:shd w:val="clear" w:color="auto" w:fill="FBD4B4" w:themeFill="accent6"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Italy</w:t>
            </w:r>
          </w:p>
        </w:tc>
      </w:tr>
      <w:tr w:rsidR="00B013ED" w:rsidRPr="00211990" w:rsidTr="00651009">
        <w:trPr>
          <w:cantSplit/>
          <w:trHeight w:hRule="exact" w:val="340"/>
        </w:trPr>
        <w:tc>
          <w:tcPr>
            <w:tcW w:w="1716" w:type="dxa"/>
            <w:shd w:val="clear" w:color="auto" w:fill="FBD4B4" w:themeFill="accent6" w:themeFillTint="66"/>
            <w:vAlign w:val="center"/>
            <w:hideMark/>
          </w:tcPr>
          <w:p w:rsidR="00B013ED" w:rsidRPr="00211990" w:rsidRDefault="00B013ED" w:rsidP="000E4E30">
            <w:pPr>
              <w:spacing w:after="120" w:line="288" w:lineRule="auto"/>
              <w:rPr>
                <w:rFonts w:cs="Arial"/>
                <w:b/>
                <w:color w:val="000000"/>
                <w:sz w:val="18"/>
                <w:szCs w:val="18"/>
                <w:lang w:eastAsia="es-ES"/>
              </w:rPr>
            </w:pPr>
            <w:r w:rsidRPr="00211990">
              <w:rPr>
                <w:rFonts w:cs="Arial"/>
                <w:b/>
                <w:color w:val="000000"/>
                <w:sz w:val="18"/>
                <w:szCs w:val="18"/>
                <w:lang w:eastAsia="es-ES"/>
              </w:rPr>
              <w:t>Italy</w:t>
            </w:r>
          </w:p>
        </w:tc>
        <w:tc>
          <w:tcPr>
            <w:tcW w:w="669" w:type="dxa"/>
            <w:shd w:val="clear" w:color="auto" w:fill="FBD4B4" w:themeFill="accent6" w:themeFillTint="66"/>
            <w:vAlign w:val="center"/>
            <w:hideMark/>
          </w:tcPr>
          <w:p w:rsidR="00B013ED" w:rsidRPr="00211990" w:rsidRDefault="00B013ED" w:rsidP="000E4E30">
            <w:pPr>
              <w:spacing w:after="120" w:line="288" w:lineRule="auto"/>
              <w:jc w:val="center"/>
              <w:rPr>
                <w:rFonts w:cs="Arial"/>
                <w:color w:val="000000"/>
                <w:sz w:val="18"/>
                <w:szCs w:val="18"/>
                <w:lang w:eastAsia="es-ES"/>
              </w:rPr>
            </w:pPr>
            <w:r w:rsidRPr="00211990">
              <w:rPr>
                <w:rFonts w:cs="Arial"/>
                <w:color w:val="000000"/>
                <w:sz w:val="18"/>
                <w:szCs w:val="18"/>
                <w:lang w:eastAsia="es-ES"/>
              </w:rPr>
              <w:t>259</w:t>
            </w:r>
          </w:p>
        </w:tc>
        <w:tc>
          <w:tcPr>
            <w:tcW w:w="6419" w:type="dxa"/>
            <w:shd w:val="clear" w:color="auto" w:fill="FBD4B4" w:themeFill="accent6" w:themeFillTint="66"/>
            <w:noWrap/>
            <w:vAlign w:val="bottom"/>
            <w:hideMark/>
          </w:tcPr>
          <w:p w:rsidR="00B013ED" w:rsidRPr="00211990" w:rsidRDefault="00B013ED" w:rsidP="000E4E30">
            <w:pPr>
              <w:spacing w:after="120" w:line="288" w:lineRule="auto"/>
              <w:rPr>
                <w:rFonts w:cs="Arial"/>
                <w:color w:val="000000"/>
                <w:sz w:val="18"/>
                <w:szCs w:val="18"/>
                <w:lang w:eastAsia="es-ES"/>
              </w:rPr>
            </w:pPr>
            <w:r w:rsidRPr="00211990">
              <w:rPr>
                <w:rFonts w:cs="Arial"/>
                <w:color w:val="000000"/>
                <w:sz w:val="18"/>
                <w:szCs w:val="18"/>
                <w:lang w:eastAsia="es-ES"/>
              </w:rPr>
              <w:t>Spain</w:t>
            </w:r>
          </w:p>
        </w:tc>
      </w:tr>
    </w:tbl>
    <w:p w:rsidR="00B013ED" w:rsidRPr="0005457D" w:rsidRDefault="00B013ED" w:rsidP="000E4E30">
      <w:pPr>
        <w:spacing w:after="120" w:line="288" w:lineRule="auto"/>
        <w:rPr>
          <w:rFonts w:cs="Arial"/>
          <w:i/>
          <w:sz w:val="16"/>
          <w:szCs w:val="16"/>
        </w:rPr>
      </w:pPr>
      <w:r w:rsidRPr="0005457D">
        <w:rPr>
          <w:rFonts w:cs="Arial"/>
          <w:i/>
          <w:sz w:val="16"/>
          <w:szCs w:val="16"/>
        </w:rPr>
        <w:t xml:space="preserve">Notes: own elaboration based on PIAAC data, significance at 0.05 level </w:t>
      </w:r>
    </w:p>
    <w:p w:rsidR="00B013ED" w:rsidRPr="000E4E30" w:rsidRDefault="00B013ED" w:rsidP="000E4E30">
      <w:pPr>
        <w:pStyle w:val="BodyText"/>
        <w:spacing w:line="288" w:lineRule="auto"/>
        <w:rPr>
          <w:szCs w:val="20"/>
        </w:rPr>
      </w:pPr>
      <w:r w:rsidRPr="000E4E30">
        <w:rPr>
          <w:szCs w:val="20"/>
        </w:rPr>
        <w:t xml:space="preserve">In terms of the </w:t>
      </w:r>
      <w:r w:rsidRPr="000E4E30">
        <w:rPr>
          <w:b/>
          <w:color w:val="1F497D" w:themeColor="text2"/>
          <w:szCs w:val="20"/>
        </w:rPr>
        <w:t>dispersion of competency scores</w:t>
      </w:r>
      <w:r w:rsidRPr="000E4E30">
        <w:rPr>
          <w:color w:val="1F497D" w:themeColor="text2"/>
          <w:szCs w:val="20"/>
        </w:rPr>
        <w:t xml:space="preserve"> </w:t>
      </w:r>
      <w:r w:rsidRPr="000E4E30">
        <w:rPr>
          <w:szCs w:val="20"/>
        </w:rPr>
        <w:t>within countries, as measured by the difference between the 95</w:t>
      </w:r>
      <w:r w:rsidRPr="000E4E30">
        <w:rPr>
          <w:szCs w:val="20"/>
          <w:vertAlign w:val="superscript"/>
        </w:rPr>
        <w:t>th</w:t>
      </w:r>
      <w:r w:rsidRPr="000E4E30">
        <w:rPr>
          <w:szCs w:val="20"/>
        </w:rPr>
        <w:t xml:space="preserve"> and the 5</w:t>
      </w:r>
      <w:r w:rsidRPr="000E4E30">
        <w:rPr>
          <w:szCs w:val="20"/>
          <w:vertAlign w:val="superscript"/>
        </w:rPr>
        <w:t>th</w:t>
      </w:r>
      <w:r w:rsidRPr="000E4E30">
        <w:rPr>
          <w:szCs w:val="20"/>
        </w:rPr>
        <w:t xml:space="preserve"> percentile, the same patterns </w:t>
      </w:r>
      <w:r w:rsidR="006B579D" w:rsidRPr="000E4E30">
        <w:rPr>
          <w:szCs w:val="20"/>
        </w:rPr>
        <w:t xml:space="preserve">hold </w:t>
      </w:r>
      <w:r w:rsidRPr="000E4E30">
        <w:rPr>
          <w:szCs w:val="20"/>
        </w:rPr>
        <w:t>as for numeracy. The largest gap</w:t>
      </w:r>
      <w:r w:rsidR="006B579D">
        <w:rPr>
          <w:szCs w:val="20"/>
        </w:rPr>
        <w:t>s</w:t>
      </w:r>
      <w:r w:rsidRPr="000E4E30">
        <w:rPr>
          <w:szCs w:val="20"/>
        </w:rPr>
        <w:t xml:space="preserve"> between the highest and lowest performers within countries can be observed in Sweden (163) and the United Kingdom </w:t>
      </w:r>
      <w:r w:rsidR="00BC72E0">
        <w:rPr>
          <w:szCs w:val="20"/>
        </w:rPr>
        <w:t xml:space="preserve">(EN/NI) </w:t>
      </w:r>
      <w:r w:rsidRPr="000E4E30">
        <w:rPr>
          <w:szCs w:val="20"/>
        </w:rPr>
        <w:t>(162), while the smallest gap</w:t>
      </w:r>
      <w:r w:rsidR="006B579D">
        <w:rPr>
          <w:szCs w:val="20"/>
        </w:rPr>
        <w:t>s</w:t>
      </w:r>
      <w:r w:rsidRPr="000E4E30">
        <w:rPr>
          <w:szCs w:val="20"/>
        </w:rPr>
        <w:t xml:space="preserve"> can be observed in the Czech Republic (129) and the Slovak Republic (136).</w:t>
      </w:r>
    </w:p>
    <w:p w:rsidR="00E639C9" w:rsidRDefault="00E639C9">
      <w:pPr>
        <w:jc w:val="left"/>
        <w:rPr>
          <w:rFonts w:cs="Arial"/>
          <w:b/>
          <w:bCs/>
          <w:iCs/>
          <w:color w:val="263673"/>
          <w:sz w:val="22"/>
          <w:szCs w:val="28"/>
        </w:rPr>
      </w:pPr>
      <w:bookmarkStart w:id="69" w:name="_Toc427232476"/>
      <w:r>
        <w:br w:type="page"/>
      </w:r>
    </w:p>
    <w:p w:rsidR="00B013ED" w:rsidRPr="002524DF" w:rsidRDefault="008D0022" w:rsidP="00363088">
      <w:pPr>
        <w:pStyle w:val="Heading2"/>
      </w:pPr>
      <w:bookmarkStart w:id="70" w:name="_Toc435802072"/>
      <w:r>
        <w:t>3.4</w:t>
      </w:r>
      <w:r w:rsidR="00363088">
        <w:t xml:space="preserve">. </w:t>
      </w:r>
      <w:r w:rsidR="00E9128B" w:rsidRPr="002524DF">
        <w:t>P</w:t>
      </w:r>
      <w:r w:rsidR="00B013ED" w:rsidRPr="002524DF">
        <w:t>atterns and groups of countries</w:t>
      </w:r>
      <w:bookmarkEnd w:id="69"/>
      <w:bookmarkEnd w:id="70"/>
    </w:p>
    <w:p w:rsidR="00B013ED" w:rsidRPr="000E4E30" w:rsidRDefault="00B013ED" w:rsidP="000E4E30">
      <w:pPr>
        <w:spacing w:after="120" w:line="288" w:lineRule="auto"/>
        <w:rPr>
          <w:szCs w:val="20"/>
        </w:rPr>
      </w:pPr>
      <w:r w:rsidRPr="000E4E30">
        <w:rPr>
          <w:szCs w:val="20"/>
        </w:rPr>
        <w:t>The above analysis illustrates that there are vast differences between European Member States both with regards to average numeracy and literacy competences amongst young adults and with regards to the</w:t>
      </w:r>
      <w:r w:rsidR="005D318B" w:rsidRPr="000E4E30">
        <w:rPr>
          <w:szCs w:val="20"/>
        </w:rPr>
        <w:t xml:space="preserve"> performance gap between highest and lowest performers</w:t>
      </w:r>
      <w:r w:rsidRPr="000E4E30">
        <w:rPr>
          <w:szCs w:val="20"/>
        </w:rPr>
        <w:t xml:space="preserve"> </w:t>
      </w:r>
      <w:r w:rsidR="004D66F5">
        <w:rPr>
          <w:szCs w:val="20"/>
        </w:rPr>
        <w:t>(equity</w:t>
      </w:r>
      <w:r w:rsidR="005D318B" w:rsidRPr="000E4E30">
        <w:rPr>
          <w:szCs w:val="20"/>
        </w:rPr>
        <w:t>)</w:t>
      </w:r>
      <w:r w:rsidRPr="000E4E30">
        <w:rPr>
          <w:szCs w:val="20"/>
        </w:rPr>
        <w:t xml:space="preserve"> within this group. Yet there are groups of countries displaying similar patterns with respect to both. For the numeracy dimension, we can distinguish between four groups of countries:</w:t>
      </w:r>
    </w:p>
    <w:p w:rsidR="00B013ED" w:rsidRPr="000E4E30" w:rsidRDefault="00B013ED" w:rsidP="00A05A88">
      <w:pPr>
        <w:pStyle w:val="ListParagraph"/>
        <w:numPr>
          <w:ilvl w:val="0"/>
          <w:numId w:val="14"/>
        </w:numPr>
        <w:spacing w:after="120" w:line="288" w:lineRule="auto"/>
        <w:ind w:left="357" w:hanging="357"/>
        <w:rPr>
          <w:rFonts w:cs="Arial"/>
          <w:szCs w:val="20"/>
        </w:rPr>
      </w:pPr>
      <w:r w:rsidRPr="000E4E30">
        <w:rPr>
          <w:rFonts w:cs="Arial"/>
          <w:szCs w:val="20"/>
        </w:rPr>
        <w:t>Countries with abov</w:t>
      </w:r>
      <w:r w:rsidR="004D66F5">
        <w:rPr>
          <w:rFonts w:cs="Arial"/>
          <w:szCs w:val="20"/>
        </w:rPr>
        <w:t xml:space="preserve">e average mean scores and above </w:t>
      </w:r>
      <w:r w:rsidRPr="000E4E30">
        <w:rPr>
          <w:rFonts w:cs="Arial"/>
          <w:szCs w:val="20"/>
        </w:rPr>
        <w:t>average</w:t>
      </w:r>
      <w:r w:rsidR="004D66F5">
        <w:rPr>
          <w:rFonts w:cs="Arial"/>
          <w:szCs w:val="20"/>
        </w:rPr>
        <w:t xml:space="preserve"> equity</w:t>
      </w:r>
      <w:r w:rsidR="00442118" w:rsidRPr="000E4E30">
        <w:rPr>
          <w:rFonts w:cs="Arial"/>
          <w:szCs w:val="20"/>
        </w:rPr>
        <w:t>.</w:t>
      </w:r>
      <w:r w:rsidRPr="000E4E30">
        <w:rPr>
          <w:rFonts w:cs="Arial"/>
          <w:szCs w:val="20"/>
        </w:rPr>
        <w:t xml:space="preserve"> This group includes Belgium</w:t>
      </w:r>
      <w:r w:rsidR="00BC72E0">
        <w:rPr>
          <w:rFonts w:cs="Arial"/>
          <w:szCs w:val="20"/>
        </w:rPr>
        <w:t xml:space="preserve"> (FL)</w:t>
      </w:r>
      <w:r w:rsidRPr="000E4E30">
        <w:rPr>
          <w:rFonts w:cs="Arial"/>
          <w:szCs w:val="20"/>
        </w:rPr>
        <w:t xml:space="preserve"> the Czech Republic, Estonia, Finland and the Netherlands. </w:t>
      </w:r>
    </w:p>
    <w:p w:rsidR="00B013ED" w:rsidRPr="000E4E30" w:rsidRDefault="00B013ED" w:rsidP="00A05A88">
      <w:pPr>
        <w:pStyle w:val="ListParagraph"/>
        <w:numPr>
          <w:ilvl w:val="0"/>
          <w:numId w:val="14"/>
        </w:numPr>
        <w:spacing w:after="120" w:line="288" w:lineRule="auto"/>
        <w:ind w:left="357" w:hanging="357"/>
        <w:rPr>
          <w:rFonts w:cs="Arial"/>
          <w:szCs w:val="20"/>
        </w:rPr>
      </w:pPr>
      <w:r w:rsidRPr="000E4E30">
        <w:rPr>
          <w:rFonts w:cs="Arial"/>
          <w:szCs w:val="20"/>
        </w:rPr>
        <w:t xml:space="preserve">Countries with above average mean </w:t>
      </w:r>
      <w:r w:rsidR="004D66F5">
        <w:rPr>
          <w:rFonts w:cs="Arial"/>
          <w:szCs w:val="20"/>
        </w:rPr>
        <w:t>scores, but also below</w:t>
      </w:r>
      <w:r w:rsidR="00442118" w:rsidRPr="000E4E30">
        <w:rPr>
          <w:rFonts w:cs="Arial"/>
          <w:szCs w:val="20"/>
        </w:rPr>
        <w:t xml:space="preserve"> average </w:t>
      </w:r>
      <w:r w:rsidR="004D66F5">
        <w:rPr>
          <w:rFonts w:cs="Arial"/>
          <w:szCs w:val="20"/>
        </w:rPr>
        <w:t>equity</w:t>
      </w:r>
      <w:r w:rsidRPr="000E4E30">
        <w:rPr>
          <w:rFonts w:cs="Arial"/>
          <w:szCs w:val="20"/>
        </w:rPr>
        <w:t xml:space="preserve">. This group includes </w:t>
      </w:r>
      <w:r w:rsidR="00442118" w:rsidRPr="000E4E30">
        <w:rPr>
          <w:rFonts w:cs="Arial"/>
          <w:szCs w:val="20"/>
        </w:rPr>
        <w:t xml:space="preserve">Denmark and </w:t>
      </w:r>
      <w:r w:rsidRPr="000E4E30">
        <w:rPr>
          <w:rFonts w:cs="Arial"/>
          <w:szCs w:val="20"/>
        </w:rPr>
        <w:t>Sweden.</w:t>
      </w:r>
    </w:p>
    <w:p w:rsidR="00B013ED" w:rsidRPr="000E4E30" w:rsidRDefault="00B013ED" w:rsidP="00A05A88">
      <w:pPr>
        <w:pStyle w:val="ListParagraph"/>
        <w:numPr>
          <w:ilvl w:val="0"/>
          <w:numId w:val="14"/>
        </w:numPr>
        <w:spacing w:after="120" w:line="288" w:lineRule="auto"/>
        <w:ind w:left="357" w:hanging="357"/>
        <w:rPr>
          <w:rFonts w:cs="Arial"/>
          <w:szCs w:val="20"/>
        </w:rPr>
      </w:pPr>
      <w:r w:rsidRPr="000E4E30">
        <w:rPr>
          <w:rFonts w:cs="Arial"/>
          <w:szCs w:val="20"/>
        </w:rPr>
        <w:t>Countries with bel</w:t>
      </w:r>
      <w:r w:rsidR="004D66F5">
        <w:rPr>
          <w:rFonts w:cs="Arial"/>
          <w:szCs w:val="20"/>
        </w:rPr>
        <w:t>ow average mean scores and above</w:t>
      </w:r>
      <w:r w:rsidRPr="000E4E30">
        <w:rPr>
          <w:rFonts w:cs="Arial"/>
          <w:szCs w:val="20"/>
        </w:rPr>
        <w:t xml:space="preserve"> average </w:t>
      </w:r>
      <w:r w:rsidR="004D66F5">
        <w:rPr>
          <w:rFonts w:cs="Arial"/>
          <w:szCs w:val="20"/>
        </w:rPr>
        <w:t>equity</w:t>
      </w:r>
      <w:r w:rsidRPr="000E4E30">
        <w:rPr>
          <w:rFonts w:cs="Arial"/>
          <w:szCs w:val="20"/>
        </w:rPr>
        <w:t>. This includes Italy and Spain.</w:t>
      </w:r>
    </w:p>
    <w:p w:rsidR="00B013ED" w:rsidRPr="000E4E30" w:rsidRDefault="00B013ED" w:rsidP="00A05A88">
      <w:pPr>
        <w:pStyle w:val="ListParagraph"/>
        <w:numPr>
          <w:ilvl w:val="0"/>
          <w:numId w:val="14"/>
        </w:numPr>
        <w:spacing w:after="120" w:line="288" w:lineRule="auto"/>
        <w:ind w:left="357" w:hanging="357"/>
        <w:rPr>
          <w:rFonts w:cs="Arial"/>
          <w:szCs w:val="20"/>
        </w:rPr>
      </w:pPr>
      <w:r w:rsidRPr="000E4E30">
        <w:rPr>
          <w:rFonts w:cs="Arial"/>
          <w:szCs w:val="20"/>
        </w:rPr>
        <w:t>Countries with below average mean scor</w:t>
      </w:r>
      <w:r w:rsidR="007C7DBE">
        <w:rPr>
          <w:rFonts w:cs="Arial"/>
          <w:szCs w:val="20"/>
        </w:rPr>
        <w:t>es and below</w:t>
      </w:r>
      <w:r w:rsidR="00442118" w:rsidRPr="000E4E30">
        <w:rPr>
          <w:rFonts w:cs="Arial"/>
          <w:szCs w:val="20"/>
        </w:rPr>
        <w:t xml:space="preserve"> average </w:t>
      </w:r>
      <w:r w:rsidR="007C7DBE">
        <w:rPr>
          <w:rFonts w:cs="Arial"/>
          <w:szCs w:val="20"/>
        </w:rPr>
        <w:t>equity</w:t>
      </w:r>
      <w:r w:rsidRPr="000E4E30">
        <w:rPr>
          <w:rFonts w:cs="Arial"/>
          <w:szCs w:val="20"/>
        </w:rPr>
        <w:t xml:space="preserve">. This group includes </w:t>
      </w:r>
      <w:r w:rsidR="00442118" w:rsidRPr="000E4E30">
        <w:rPr>
          <w:rFonts w:cs="Arial"/>
          <w:szCs w:val="20"/>
        </w:rPr>
        <w:t xml:space="preserve">France and </w:t>
      </w:r>
      <w:r w:rsidRPr="000E4E30">
        <w:rPr>
          <w:rFonts w:cs="Arial"/>
          <w:szCs w:val="20"/>
        </w:rPr>
        <w:t>the United Kingdom</w:t>
      </w:r>
      <w:r w:rsidR="00BC72E0">
        <w:rPr>
          <w:rFonts w:cs="Arial"/>
          <w:szCs w:val="20"/>
        </w:rPr>
        <w:t xml:space="preserve"> (EN/NI)</w:t>
      </w:r>
      <w:r w:rsidRPr="000E4E30">
        <w:rPr>
          <w:rFonts w:cs="Arial"/>
          <w:szCs w:val="20"/>
        </w:rPr>
        <w:t>.</w:t>
      </w:r>
    </w:p>
    <w:p w:rsidR="00B013ED" w:rsidRPr="000E4E30" w:rsidRDefault="00B013ED" w:rsidP="000E4E30">
      <w:pPr>
        <w:spacing w:after="120" w:line="288" w:lineRule="auto"/>
        <w:rPr>
          <w:rFonts w:cs="Arial"/>
          <w:szCs w:val="20"/>
        </w:rPr>
      </w:pPr>
      <w:r w:rsidRPr="000E4E30">
        <w:rPr>
          <w:rFonts w:cs="Arial"/>
          <w:szCs w:val="20"/>
        </w:rPr>
        <w:t>Other countries which cannot be clearly attributed to any of the groups include Austria, Germany, Ireland, Poland and the Slovak Republic.</w:t>
      </w:r>
    </w:p>
    <w:p w:rsidR="00B013ED" w:rsidRPr="00442118" w:rsidRDefault="00B013ED" w:rsidP="000E4E30">
      <w:pPr>
        <w:pStyle w:val="Caption"/>
        <w:spacing w:before="0" w:after="120" w:line="288" w:lineRule="auto"/>
        <w:rPr>
          <w:rFonts w:ascii="Verdana" w:hAnsi="Verdana"/>
          <w:b w:val="0"/>
          <w:color w:val="1F497D" w:themeColor="text2"/>
          <w:sz w:val="20"/>
        </w:rPr>
      </w:pPr>
      <w:r w:rsidRPr="00442118">
        <w:rPr>
          <w:rFonts w:ascii="Verdana" w:hAnsi="Verdana"/>
          <w:b w:val="0"/>
          <w:color w:val="1F497D" w:themeColor="text2"/>
          <w:sz w:val="20"/>
        </w:rPr>
        <w:t xml:space="preserve">Figure </w:t>
      </w:r>
      <w:r w:rsidR="00363088">
        <w:rPr>
          <w:rFonts w:ascii="Verdana" w:hAnsi="Verdana"/>
          <w:b w:val="0"/>
          <w:color w:val="1F497D" w:themeColor="text2"/>
          <w:sz w:val="20"/>
        </w:rPr>
        <w:t>3.</w:t>
      </w:r>
      <w:r w:rsidR="006B579D">
        <w:rPr>
          <w:rFonts w:ascii="Verdana" w:hAnsi="Verdana"/>
          <w:b w:val="0"/>
          <w:color w:val="1F497D" w:themeColor="text2"/>
          <w:sz w:val="20"/>
        </w:rPr>
        <w:t>5</w:t>
      </w:r>
      <w:r w:rsidR="006B579D" w:rsidRPr="00442118">
        <w:rPr>
          <w:rFonts w:ascii="Verdana" w:hAnsi="Verdana"/>
          <w:b w:val="0"/>
          <w:color w:val="1F497D" w:themeColor="text2"/>
          <w:sz w:val="20"/>
        </w:rPr>
        <w:t xml:space="preserve"> </w:t>
      </w:r>
      <w:r w:rsidRPr="00442118">
        <w:rPr>
          <w:rFonts w:ascii="Verdana" w:hAnsi="Verdana"/>
          <w:b w:val="0"/>
          <w:color w:val="1F497D" w:themeColor="text2"/>
          <w:sz w:val="20"/>
        </w:rPr>
        <w:t>Mean and</w:t>
      </w:r>
      <w:r w:rsidR="005F5ACB">
        <w:rPr>
          <w:rFonts w:ascii="Verdana" w:hAnsi="Verdana"/>
          <w:b w:val="0"/>
          <w:color w:val="1F497D" w:themeColor="text2"/>
          <w:sz w:val="20"/>
        </w:rPr>
        <w:t xml:space="preserve"> dispersion</w:t>
      </w:r>
      <w:r w:rsidR="00810364">
        <w:rPr>
          <w:rFonts w:ascii="Verdana" w:hAnsi="Verdana"/>
          <w:b w:val="0"/>
          <w:color w:val="1F497D" w:themeColor="text2"/>
          <w:sz w:val="20"/>
        </w:rPr>
        <w:t xml:space="preserve"> (equity)</w:t>
      </w:r>
      <w:r w:rsidRPr="00442118">
        <w:rPr>
          <w:rFonts w:ascii="Verdana" w:hAnsi="Verdana"/>
          <w:b w:val="0"/>
          <w:color w:val="1F497D" w:themeColor="text2"/>
          <w:sz w:val="20"/>
        </w:rPr>
        <w:t xml:space="preserve"> of numeracy scores, patterns across countries</w:t>
      </w:r>
    </w:p>
    <w:p w:rsidR="00B013ED" w:rsidRPr="002E793E" w:rsidRDefault="00B013ED" w:rsidP="000E4E30">
      <w:pPr>
        <w:spacing w:after="120" w:line="288" w:lineRule="auto"/>
        <w:rPr>
          <w:rFonts w:cs="Arial"/>
          <w:szCs w:val="20"/>
          <w:highlight w:val="yellow"/>
        </w:rPr>
      </w:pPr>
      <w:r w:rsidRPr="002E793E">
        <w:rPr>
          <w:noProof/>
          <w:szCs w:val="20"/>
          <w:lang w:val="en-US" w:eastAsia="en-US"/>
        </w:rPr>
        <w:drawing>
          <wp:inline distT="0" distB="0" distL="0" distR="0" wp14:anchorId="1263BA0B" wp14:editId="16E4F870">
            <wp:extent cx="5580000" cy="3600000"/>
            <wp:effectExtent l="0" t="0" r="1905" b="635"/>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013ED" w:rsidRPr="0005457D" w:rsidRDefault="00B013ED" w:rsidP="000E4E30">
      <w:pPr>
        <w:spacing w:after="120" w:line="288" w:lineRule="auto"/>
        <w:rPr>
          <w:rFonts w:cs="Arial"/>
          <w:i/>
          <w:sz w:val="16"/>
          <w:szCs w:val="16"/>
        </w:rPr>
      </w:pPr>
      <w:r w:rsidRPr="0005457D">
        <w:rPr>
          <w:rFonts w:cs="Arial"/>
          <w:i/>
          <w:sz w:val="16"/>
          <w:szCs w:val="16"/>
        </w:rPr>
        <w:t xml:space="preserve">Notes: Own calculations, countries marked in red do not display mean scores which are significantly different from the average at the 0.05 level. Literacy-related non-response (missing) is excluded from the calculation of mean scores.  </w:t>
      </w:r>
    </w:p>
    <w:p w:rsidR="00495C7D" w:rsidRDefault="00495C7D">
      <w:pPr>
        <w:jc w:val="left"/>
        <w:rPr>
          <w:szCs w:val="20"/>
        </w:rPr>
      </w:pPr>
      <w:r>
        <w:rPr>
          <w:szCs w:val="20"/>
        </w:rPr>
        <w:br w:type="page"/>
      </w:r>
    </w:p>
    <w:p w:rsidR="00495C7D" w:rsidRDefault="00211990" w:rsidP="000E4E30">
      <w:pPr>
        <w:spacing w:after="120" w:line="288" w:lineRule="auto"/>
        <w:rPr>
          <w:szCs w:val="20"/>
        </w:rPr>
      </w:pPr>
      <w:r w:rsidRPr="00211990">
        <w:rPr>
          <w:szCs w:val="20"/>
        </w:rPr>
        <w:t>Case study 1</w:t>
      </w:r>
      <w:r w:rsidR="00495C7D" w:rsidRPr="00211990">
        <w:rPr>
          <w:szCs w:val="20"/>
        </w:rPr>
        <w:t xml:space="preserve"> be</w:t>
      </w:r>
      <w:r w:rsidR="00495C7D">
        <w:rPr>
          <w:szCs w:val="20"/>
        </w:rPr>
        <w:t>low illustrates the observed patterns using the case study of France.</w:t>
      </w:r>
    </w:p>
    <w:p w:rsidR="00495C7D" w:rsidRDefault="00495C7D" w:rsidP="000E4E30">
      <w:pPr>
        <w:spacing w:after="120" w:line="288" w:lineRule="auto"/>
        <w:rPr>
          <w:szCs w:val="20"/>
        </w:rPr>
      </w:pPr>
      <w:r w:rsidRPr="00495C7D">
        <w:rPr>
          <w:noProof/>
          <w:szCs w:val="20"/>
          <w:lang w:val="en-US" w:eastAsia="en-US"/>
        </w:rPr>
        <mc:AlternateContent>
          <mc:Choice Requires="wps">
            <w:drawing>
              <wp:inline distT="0" distB="0" distL="0" distR="0" wp14:anchorId="691B9C41" wp14:editId="634652F6">
                <wp:extent cx="5580000" cy="7533564"/>
                <wp:effectExtent l="38100" t="38100" r="135255" b="144145"/>
                <wp:docPr id="303"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7533564"/>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211990" w:rsidRDefault="00394EBA" w:rsidP="00495C7D">
                            <w:pPr>
                              <w:spacing w:after="120" w:line="288" w:lineRule="auto"/>
                              <w:rPr>
                                <w:rFonts w:cs="Arial"/>
                                <w:b/>
                                <w:color w:val="1F497D" w:themeColor="text2"/>
                                <w:szCs w:val="20"/>
                                <w:u w:val="single"/>
                              </w:rPr>
                            </w:pPr>
                            <w:r w:rsidRPr="00211990">
                              <w:rPr>
                                <w:rFonts w:cs="Arial"/>
                                <w:b/>
                                <w:color w:val="1F497D" w:themeColor="text2"/>
                                <w:szCs w:val="20"/>
                                <w:u w:val="single"/>
                              </w:rPr>
                              <w:t>Case study example 1</w:t>
                            </w:r>
                            <w:r>
                              <w:rPr>
                                <w:rFonts w:cs="Arial"/>
                                <w:b/>
                                <w:color w:val="1F497D" w:themeColor="text2"/>
                                <w:szCs w:val="20"/>
                                <w:u w:val="single"/>
                              </w:rPr>
                              <w:t>:</w:t>
                            </w:r>
                            <w:r w:rsidRPr="00211990">
                              <w:rPr>
                                <w:rFonts w:cs="Arial"/>
                                <w:b/>
                                <w:color w:val="1F497D" w:themeColor="text2"/>
                                <w:szCs w:val="20"/>
                                <w:u w:val="single"/>
                              </w:rPr>
                              <w:t xml:space="preserve"> the relationship between low average performance and educational inequalities</w:t>
                            </w:r>
                            <w:r>
                              <w:rPr>
                                <w:rFonts w:cs="Arial"/>
                                <w:b/>
                                <w:color w:val="1F497D" w:themeColor="text2"/>
                                <w:szCs w:val="20"/>
                                <w:u w:val="single"/>
                              </w:rPr>
                              <w:t xml:space="preserve"> in France</w:t>
                            </w:r>
                          </w:p>
                          <w:p w:rsidR="00394EBA" w:rsidRDefault="00394EBA" w:rsidP="00495C7D">
                            <w:pPr>
                              <w:spacing w:after="120" w:line="288" w:lineRule="auto"/>
                              <w:rPr>
                                <w:rFonts w:cs="Arial"/>
                                <w:szCs w:val="20"/>
                              </w:rPr>
                            </w:pPr>
                            <w:r>
                              <w:rPr>
                                <w:rFonts w:cs="Arial"/>
                                <w:szCs w:val="20"/>
                              </w:rPr>
                              <w:t>The</w:t>
                            </w:r>
                            <w:r w:rsidRPr="006F5766">
                              <w:rPr>
                                <w:rFonts w:cs="Arial"/>
                                <w:szCs w:val="20"/>
                              </w:rPr>
                              <w:t xml:space="preserve"> major systemic (as opposed to socio-demographic) reason advanced - in both the literature and in interviews - for the French PIAAC results, and in particular for the large proportion of low performers which drags the average down, was the </w:t>
                            </w:r>
                            <w:r w:rsidRPr="006F5766">
                              <w:rPr>
                                <w:rFonts w:cs="Arial"/>
                                <w:b/>
                                <w:szCs w:val="20"/>
                              </w:rPr>
                              <w:t>inequalities in the French education system</w:t>
                            </w:r>
                            <w:r w:rsidRPr="006F5766">
                              <w:rPr>
                                <w:rFonts w:cs="Arial"/>
                                <w:szCs w:val="20"/>
                              </w:rPr>
                              <w:t xml:space="preserve">. As stated by the European Commission, “the French education system […] is still unable to reduce educational inequalities. Disparities have been widening during the last decade due to a sharp increase in the number of low achievers. The performance gap in basic skills related to socioeconomic and cultural background is among the highest in OECD countries” (EC 2014). </w:t>
                            </w:r>
                          </w:p>
                          <w:p w:rsidR="00394EBA" w:rsidRPr="006F5766" w:rsidRDefault="00394EBA" w:rsidP="00495C7D">
                            <w:pPr>
                              <w:spacing w:after="120" w:line="288" w:lineRule="auto"/>
                              <w:rPr>
                                <w:rFonts w:cs="Arial"/>
                                <w:szCs w:val="20"/>
                              </w:rPr>
                            </w:pPr>
                            <w:r>
                              <w:rPr>
                                <w:rFonts w:cs="Arial"/>
                                <w:szCs w:val="20"/>
                              </w:rPr>
                              <w:t xml:space="preserve">17% (119,000) of young people who left initial education in 2010 had achieved no formal qualification at all, a proportion which has remained stable since 2007. Of these, 65% were boys, 13% lived in disadvantaged urban areas (ZUS – </w:t>
                            </w:r>
                            <w:r>
                              <w:rPr>
                                <w:rFonts w:cs="Arial"/>
                                <w:i/>
                                <w:szCs w:val="20"/>
                              </w:rPr>
                              <w:t>zones urbaines sensibles</w:t>
                            </w:r>
                            <w:r>
                              <w:rPr>
                                <w:rFonts w:cs="Arial"/>
                                <w:szCs w:val="20"/>
                              </w:rPr>
                              <w:t>), only 7% had a father who had worked an executive/managerial role (compared for example to 57% of those who had achieved a doctorate) and only 4% had a mother with a tertiary level diploma (compared to 19% of those who had achieved a general baccalaureate) (CEREQ 2014). Pupils</w:t>
                            </w:r>
                            <w:r w:rsidRPr="006F5766">
                              <w:rPr>
                                <w:rFonts w:cs="Arial"/>
                                <w:szCs w:val="20"/>
                              </w:rPr>
                              <w:t xml:space="preserve"> from the most disadvantaged socioeconomic backgrounds </w:t>
                            </w:r>
                            <w:r>
                              <w:rPr>
                                <w:rFonts w:cs="Arial"/>
                                <w:szCs w:val="20"/>
                              </w:rPr>
                              <w:t xml:space="preserve">- </w:t>
                            </w:r>
                            <w:r w:rsidRPr="006F5766">
                              <w:rPr>
                                <w:rFonts w:cs="Arial"/>
                                <w:szCs w:val="20"/>
                              </w:rPr>
                              <w:t>including those of migrant background, those whose parents have a low level of education, those who live in isolated rural areas or suburbs of large cities, and those who live in poorer households</w:t>
                            </w:r>
                            <w:r>
                              <w:rPr>
                                <w:rFonts w:cs="Arial"/>
                                <w:szCs w:val="20"/>
                              </w:rPr>
                              <w:t xml:space="preserve"> – have a very low average level of performance compared to the French average</w:t>
                            </w:r>
                            <w:r w:rsidRPr="006F5766">
                              <w:rPr>
                                <w:rFonts w:cs="Arial"/>
                                <w:szCs w:val="20"/>
                              </w:rPr>
                              <w:t>. The French education system is not managing to overcome these socioeconomic differences</w:t>
                            </w:r>
                            <w:r>
                              <w:rPr>
                                <w:rFonts w:cs="Arial"/>
                                <w:szCs w:val="20"/>
                              </w:rPr>
                              <w:t>. T</w:t>
                            </w:r>
                            <w:r w:rsidRPr="006F5766">
                              <w:rPr>
                                <w:rFonts w:cs="Arial"/>
                                <w:szCs w:val="20"/>
                              </w:rPr>
                              <w:t xml:space="preserve">he </w:t>
                            </w:r>
                            <w:r w:rsidRPr="006F5766">
                              <w:rPr>
                                <w:rFonts w:cs="Arial"/>
                                <w:i/>
                                <w:szCs w:val="20"/>
                              </w:rPr>
                              <w:t xml:space="preserve">carte scolaire </w:t>
                            </w:r>
                            <w:r w:rsidRPr="0012655F">
                              <w:rPr>
                                <w:rFonts w:cs="Arial"/>
                                <w:szCs w:val="20"/>
                              </w:rPr>
                              <w:t>system</w:t>
                            </w:r>
                            <w:r>
                              <w:rPr>
                                <w:rFonts w:cs="Arial"/>
                                <w:i/>
                                <w:szCs w:val="20"/>
                              </w:rPr>
                              <w:t xml:space="preserve"> </w:t>
                            </w:r>
                            <w:r w:rsidRPr="006F5766">
                              <w:rPr>
                                <w:rFonts w:cs="Arial"/>
                                <w:szCs w:val="20"/>
                              </w:rPr>
                              <w:t>(</w:t>
                            </w:r>
                            <w:r>
                              <w:rPr>
                                <w:rFonts w:cs="Arial"/>
                                <w:szCs w:val="20"/>
                              </w:rPr>
                              <w:t>which allocates</w:t>
                            </w:r>
                            <w:r w:rsidRPr="006F5766">
                              <w:rPr>
                                <w:rFonts w:cs="Arial"/>
                                <w:szCs w:val="20"/>
                              </w:rPr>
                              <w:t xml:space="preserve"> children to attend their local school) ha</w:t>
                            </w:r>
                            <w:r>
                              <w:rPr>
                                <w:rFonts w:cs="Arial"/>
                                <w:szCs w:val="20"/>
                              </w:rPr>
                              <w:t>s</w:t>
                            </w:r>
                            <w:r w:rsidRPr="006F5766">
                              <w:rPr>
                                <w:rFonts w:cs="Arial"/>
                                <w:szCs w:val="20"/>
                              </w:rPr>
                              <w:t xml:space="preserve"> often concentrated under-achievement and deprivation in poorly performing schools which struggle to cope with diverse and challenged populations</w:t>
                            </w:r>
                            <w:r>
                              <w:rPr>
                                <w:rFonts w:cs="Arial"/>
                                <w:szCs w:val="20"/>
                              </w:rPr>
                              <w:t xml:space="preserve"> in disadvantaged areas</w:t>
                            </w:r>
                            <w:r w:rsidRPr="006F5766">
                              <w:rPr>
                                <w:rFonts w:cs="Arial"/>
                                <w:szCs w:val="20"/>
                              </w:rPr>
                              <w:t xml:space="preserve">, leading to what has been described </w:t>
                            </w:r>
                            <w:r>
                              <w:rPr>
                                <w:rFonts w:cs="Arial"/>
                                <w:szCs w:val="20"/>
                              </w:rPr>
                              <w:t>by certain observers as a form of ‘</w:t>
                            </w:r>
                            <w:r w:rsidRPr="006F5766">
                              <w:rPr>
                                <w:rFonts w:cs="Arial"/>
                                <w:szCs w:val="20"/>
                              </w:rPr>
                              <w:t>segregation</w:t>
                            </w:r>
                            <w:r>
                              <w:rPr>
                                <w:rFonts w:cs="Arial"/>
                                <w:szCs w:val="20"/>
                              </w:rPr>
                              <w:t>’</w:t>
                            </w:r>
                            <w:r w:rsidRPr="006F5766">
                              <w:rPr>
                                <w:rFonts w:cs="Arial"/>
                                <w:szCs w:val="20"/>
                              </w:rPr>
                              <w:t>. The</w:t>
                            </w:r>
                            <w:r>
                              <w:rPr>
                                <w:rFonts w:cs="Arial"/>
                                <w:szCs w:val="20"/>
                              </w:rPr>
                              <w:t xml:space="preserve"> limited tracking</w:t>
                            </w:r>
                            <w:r w:rsidRPr="006F5766">
                              <w:rPr>
                                <w:rFonts w:cs="Arial"/>
                                <w:szCs w:val="20"/>
                              </w:rPr>
                              <w:t xml:space="preserve"> with</w:t>
                            </w:r>
                            <w:r>
                              <w:rPr>
                                <w:rFonts w:cs="Arial"/>
                                <w:szCs w:val="20"/>
                              </w:rPr>
                              <w:t>in</w:t>
                            </w:r>
                            <w:r w:rsidRPr="006F5766">
                              <w:rPr>
                                <w:rFonts w:cs="Arial"/>
                                <w:szCs w:val="20"/>
                              </w:rPr>
                              <w:t xml:space="preserve"> the system of </w:t>
                            </w:r>
                            <w:r w:rsidRPr="006F5766">
                              <w:rPr>
                                <w:rFonts w:cs="Arial"/>
                                <w:i/>
                                <w:szCs w:val="20"/>
                              </w:rPr>
                              <w:t xml:space="preserve">college unique </w:t>
                            </w:r>
                            <w:r w:rsidRPr="006F5766">
                              <w:rPr>
                                <w:rFonts w:cs="Arial"/>
                                <w:szCs w:val="20"/>
                              </w:rPr>
                              <w:t xml:space="preserve">(comprehensive schools for all levels of ability, implemented in 1975 and heralded as a sign of democratisation of education for all) means that talented pupils </w:t>
                            </w:r>
                            <w:r>
                              <w:rPr>
                                <w:rFonts w:cs="Arial"/>
                                <w:szCs w:val="20"/>
                              </w:rPr>
                              <w:t xml:space="preserve">often </w:t>
                            </w:r>
                            <w:r w:rsidRPr="006F5766">
                              <w:rPr>
                                <w:rFonts w:cs="Arial"/>
                                <w:szCs w:val="20"/>
                              </w:rPr>
                              <w:t xml:space="preserve">remain in the same </w:t>
                            </w:r>
                            <w:r>
                              <w:rPr>
                                <w:rFonts w:cs="Arial"/>
                                <w:szCs w:val="20"/>
                              </w:rPr>
                              <w:t>classes</w:t>
                            </w:r>
                            <w:r w:rsidRPr="006F5766">
                              <w:rPr>
                                <w:rFonts w:cs="Arial"/>
                                <w:szCs w:val="20"/>
                              </w:rPr>
                              <w:t xml:space="preserve"> as those with greater difficulties. Measures have not </w:t>
                            </w:r>
                            <w:r>
                              <w:rPr>
                                <w:rFonts w:cs="Arial"/>
                                <w:szCs w:val="20"/>
                              </w:rPr>
                              <w:t xml:space="preserve">yet </w:t>
                            </w:r>
                            <w:r w:rsidRPr="006F5766">
                              <w:rPr>
                                <w:rFonts w:cs="Arial"/>
                                <w:szCs w:val="20"/>
                              </w:rPr>
                              <w:t>been successfully implemented to</w:t>
                            </w:r>
                            <w:r>
                              <w:rPr>
                                <w:rFonts w:cs="Arial"/>
                                <w:szCs w:val="20"/>
                              </w:rPr>
                              <w:t xml:space="preserve"> sustainably</w:t>
                            </w:r>
                            <w:r w:rsidRPr="006F5766">
                              <w:rPr>
                                <w:rFonts w:cs="Arial"/>
                                <w:szCs w:val="20"/>
                              </w:rPr>
                              <w:t xml:space="preserve"> bridge these inequalities. </w:t>
                            </w:r>
                          </w:p>
                          <w:p w:rsidR="00394EBA" w:rsidRDefault="00394EBA">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691B9C41" id="_x0000_s1037" style="width:439.35pt;height:593.2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" fillcolor="white [3212]" strokecolor="gray [1629]" strokeweight="1.5pt">
                <v:shadow on="t" type="perspective" color="black" opacity="26214f" origin="-.5,-.5" offset=".74836mm,.74836mm" matrix="65864f,,,65864f"/>
                <v:textbox inset="21.6pt,21.6pt,21.6pt,21.6pt">
                  <w:txbxContent>
                    <w:p w:rsidR="00394EBA" w:rsidRPr="00211990" w:rsidRDefault="00394EBA" w:rsidP="00495C7D">
                      <w:pPr>
                        <w:spacing w:after="120" w:line="288" w:lineRule="auto"/>
                        <w:rPr>
                          <w:rFonts w:cs="Arial"/>
                          <w:b/>
                          <w:color w:val="1F497D" w:themeColor="text2"/>
                          <w:szCs w:val="20"/>
                          <w:u w:val="single"/>
                        </w:rPr>
                      </w:pPr>
                      <w:r w:rsidRPr="00211990">
                        <w:rPr>
                          <w:rFonts w:cs="Arial"/>
                          <w:b/>
                          <w:color w:val="1F497D" w:themeColor="text2"/>
                          <w:szCs w:val="20"/>
                          <w:u w:val="single"/>
                        </w:rPr>
                        <w:t>Case study example 1</w:t>
                      </w:r>
                      <w:r>
                        <w:rPr>
                          <w:rFonts w:cs="Arial"/>
                          <w:b/>
                          <w:color w:val="1F497D" w:themeColor="text2"/>
                          <w:szCs w:val="20"/>
                          <w:u w:val="single"/>
                        </w:rPr>
                        <w:t>:</w:t>
                      </w:r>
                      <w:r w:rsidRPr="00211990">
                        <w:rPr>
                          <w:rFonts w:cs="Arial"/>
                          <w:b/>
                          <w:color w:val="1F497D" w:themeColor="text2"/>
                          <w:szCs w:val="20"/>
                          <w:u w:val="single"/>
                        </w:rPr>
                        <w:t xml:space="preserve"> the relationship between low average performance and educational inequalities</w:t>
                      </w:r>
                      <w:r>
                        <w:rPr>
                          <w:rFonts w:cs="Arial"/>
                          <w:b/>
                          <w:color w:val="1F497D" w:themeColor="text2"/>
                          <w:szCs w:val="20"/>
                          <w:u w:val="single"/>
                        </w:rPr>
                        <w:t xml:space="preserve"> in France</w:t>
                      </w:r>
                    </w:p>
                    <w:p w:rsidR="00394EBA" w:rsidRDefault="00394EBA" w:rsidP="00495C7D">
                      <w:pPr>
                        <w:spacing w:after="120" w:line="288" w:lineRule="auto"/>
                        <w:rPr>
                          <w:rFonts w:cs="Arial"/>
                          <w:szCs w:val="20"/>
                        </w:rPr>
                      </w:pPr>
                      <w:r>
                        <w:rPr>
                          <w:rFonts w:cs="Arial"/>
                          <w:szCs w:val="20"/>
                        </w:rPr>
                        <w:t>The</w:t>
                      </w:r>
                      <w:r w:rsidRPr="006F5766">
                        <w:rPr>
                          <w:rFonts w:cs="Arial"/>
                          <w:szCs w:val="20"/>
                        </w:rPr>
                        <w:t xml:space="preserve"> major systemic (as opposed to socio-demographic) reason advanced - in both the literature and in interviews - for the French PIAAC results, and in particular for the large proportion of low performers which drags the average down, was the </w:t>
                      </w:r>
                      <w:r w:rsidRPr="006F5766">
                        <w:rPr>
                          <w:rFonts w:cs="Arial"/>
                          <w:b/>
                          <w:szCs w:val="20"/>
                        </w:rPr>
                        <w:t>inequalities in the French education system</w:t>
                      </w:r>
                      <w:r w:rsidRPr="006F5766">
                        <w:rPr>
                          <w:rFonts w:cs="Arial"/>
                          <w:szCs w:val="20"/>
                        </w:rPr>
                        <w:t xml:space="preserve">. As stated by the European Commission, “the French education system […] is still unable to reduce educational inequalities. Disparities have been widening during the last decade due to a sharp increase in the number of low achievers. The performance gap in basic skills related to socioeconomic and cultural background is among the highest in OECD countries” (EC 2014). </w:t>
                      </w:r>
                    </w:p>
                    <w:p w:rsidR="00394EBA" w:rsidRPr="006F5766" w:rsidRDefault="00394EBA" w:rsidP="00495C7D">
                      <w:pPr>
                        <w:spacing w:after="120" w:line="288" w:lineRule="auto"/>
                        <w:rPr>
                          <w:rFonts w:cs="Arial"/>
                          <w:szCs w:val="20"/>
                        </w:rPr>
                      </w:pPr>
                      <w:r>
                        <w:rPr>
                          <w:rFonts w:cs="Arial"/>
                          <w:szCs w:val="20"/>
                        </w:rPr>
                        <w:t xml:space="preserve">17% (119,000) of young people who left initial education in 2010 had achieved no formal qualification at all, a proportion which has remained stable since 2007. Of these, 65% were boys, 13% lived in disadvantaged urban areas (ZUS – </w:t>
                      </w:r>
                      <w:r>
                        <w:rPr>
                          <w:rFonts w:cs="Arial"/>
                          <w:i/>
                          <w:szCs w:val="20"/>
                        </w:rPr>
                        <w:t>zones urbaines sensibles</w:t>
                      </w:r>
                      <w:r>
                        <w:rPr>
                          <w:rFonts w:cs="Arial"/>
                          <w:szCs w:val="20"/>
                        </w:rPr>
                        <w:t>), only 7% had a father who had worked an executive/managerial role (compared for example to 57% of those who had achieved a doctorate) and only 4% had a mother with a tertiary level diploma (compared to 19% of those who had achieved a general baccalaureate) (CEREQ 2014). Pupils</w:t>
                      </w:r>
                      <w:r w:rsidRPr="006F5766">
                        <w:rPr>
                          <w:rFonts w:cs="Arial"/>
                          <w:szCs w:val="20"/>
                        </w:rPr>
                        <w:t xml:space="preserve"> from the most disadvantaged socioeconomic backgrounds </w:t>
                      </w:r>
                      <w:r>
                        <w:rPr>
                          <w:rFonts w:cs="Arial"/>
                          <w:szCs w:val="20"/>
                        </w:rPr>
                        <w:t xml:space="preserve">- </w:t>
                      </w:r>
                      <w:r w:rsidRPr="006F5766">
                        <w:rPr>
                          <w:rFonts w:cs="Arial"/>
                          <w:szCs w:val="20"/>
                        </w:rPr>
                        <w:t>including those of migrant background, those whose parents have a low level of education, those who live in isolated rural areas or suburbs of large cities, and those who live in poorer households</w:t>
                      </w:r>
                      <w:r>
                        <w:rPr>
                          <w:rFonts w:cs="Arial"/>
                          <w:szCs w:val="20"/>
                        </w:rPr>
                        <w:t xml:space="preserve"> – have a very low average level of performance compared to the French average</w:t>
                      </w:r>
                      <w:r w:rsidRPr="006F5766">
                        <w:rPr>
                          <w:rFonts w:cs="Arial"/>
                          <w:szCs w:val="20"/>
                        </w:rPr>
                        <w:t>. The French education system is not managing to overcome these socioeconomic differences</w:t>
                      </w:r>
                      <w:r>
                        <w:rPr>
                          <w:rFonts w:cs="Arial"/>
                          <w:szCs w:val="20"/>
                        </w:rPr>
                        <w:t>. T</w:t>
                      </w:r>
                      <w:r w:rsidRPr="006F5766">
                        <w:rPr>
                          <w:rFonts w:cs="Arial"/>
                          <w:szCs w:val="20"/>
                        </w:rPr>
                        <w:t xml:space="preserve">he </w:t>
                      </w:r>
                      <w:r w:rsidRPr="006F5766">
                        <w:rPr>
                          <w:rFonts w:cs="Arial"/>
                          <w:i/>
                          <w:szCs w:val="20"/>
                        </w:rPr>
                        <w:t xml:space="preserve">carte scolaire </w:t>
                      </w:r>
                      <w:r w:rsidRPr="0012655F">
                        <w:rPr>
                          <w:rFonts w:cs="Arial"/>
                          <w:szCs w:val="20"/>
                        </w:rPr>
                        <w:t>system</w:t>
                      </w:r>
                      <w:r>
                        <w:rPr>
                          <w:rFonts w:cs="Arial"/>
                          <w:i/>
                          <w:szCs w:val="20"/>
                        </w:rPr>
                        <w:t xml:space="preserve"> </w:t>
                      </w:r>
                      <w:r w:rsidRPr="006F5766">
                        <w:rPr>
                          <w:rFonts w:cs="Arial"/>
                          <w:szCs w:val="20"/>
                        </w:rPr>
                        <w:t>(</w:t>
                      </w:r>
                      <w:r>
                        <w:rPr>
                          <w:rFonts w:cs="Arial"/>
                          <w:szCs w:val="20"/>
                        </w:rPr>
                        <w:t>which allocates</w:t>
                      </w:r>
                      <w:r w:rsidRPr="006F5766">
                        <w:rPr>
                          <w:rFonts w:cs="Arial"/>
                          <w:szCs w:val="20"/>
                        </w:rPr>
                        <w:t xml:space="preserve"> children to attend their local school) ha</w:t>
                      </w:r>
                      <w:r>
                        <w:rPr>
                          <w:rFonts w:cs="Arial"/>
                          <w:szCs w:val="20"/>
                        </w:rPr>
                        <w:t>s</w:t>
                      </w:r>
                      <w:r w:rsidRPr="006F5766">
                        <w:rPr>
                          <w:rFonts w:cs="Arial"/>
                          <w:szCs w:val="20"/>
                        </w:rPr>
                        <w:t xml:space="preserve"> often concentrated under-achievement and deprivation in poorly performing schools which struggle to cope with diverse and challenged populations</w:t>
                      </w:r>
                      <w:r>
                        <w:rPr>
                          <w:rFonts w:cs="Arial"/>
                          <w:szCs w:val="20"/>
                        </w:rPr>
                        <w:t xml:space="preserve"> in disadvantaged areas</w:t>
                      </w:r>
                      <w:r w:rsidRPr="006F5766">
                        <w:rPr>
                          <w:rFonts w:cs="Arial"/>
                          <w:szCs w:val="20"/>
                        </w:rPr>
                        <w:t xml:space="preserve">, leading to what has been described </w:t>
                      </w:r>
                      <w:r>
                        <w:rPr>
                          <w:rFonts w:cs="Arial"/>
                          <w:szCs w:val="20"/>
                        </w:rPr>
                        <w:t>by certain observers as a form of ‘</w:t>
                      </w:r>
                      <w:r w:rsidRPr="006F5766">
                        <w:rPr>
                          <w:rFonts w:cs="Arial"/>
                          <w:szCs w:val="20"/>
                        </w:rPr>
                        <w:t>segregation</w:t>
                      </w:r>
                      <w:r>
                        <w:rPr>
                          <w:rFonts w:cs="Arial"/>
                          <w:szCs w:val="20"/>
                        </w:rPr>
                        <w:t>’</w:t>
                      </w:r>
                      <w:r w:rsidRPr="006F5766">
                        <w:rPr>
                          <w:rFonts w:cs="Arial"/>
                          <w:szCs w:val="20"/>
                        </w:rPr>
                        <w:t>. The</w:t>
                      </w:r>
                      <w:r>
                        <w:rPr>
                          <w:rFonts w:cs="Arial"/>
                          <w:szCs w:val="20"/>
                        </w:rPr>
                        <w:t xml:space="preserve"> limited tracking</w:t>
                      </w:r>
                      <w:r w:rsidRPr="006F5766">
                        <w:rPr>
                          <w:rFonts w:cs="Arial"/>
                          <w:szCs w:val="20"/>
                        </w:rPr>
                        <w:t xml:space="preserve"> with</w:t>
                      </w:r>
                      <w:r>
                        <w:rPr>
                          <w:rFonts w:cs="Arial"/>
                          <w:szCs w:val="20"/>
                        </w:rPr>
                        <w:t>in</w:t>
                      </w:r>
                      <w:r w:rsidRPr="006F5766">
                        <w:rPr>
                          <w:rFonts w:cs="Arial"/>
                          <w:szCs w:val="20"/>
                        </w:rPr>
                        <w:t xml:space="preserve"> the system of </w:t>
                      </w:r>
                      <w:r w:rsidRPr="006F5766">
                        <w:rPr>
                          <w:rFonts w:cs="Arial"/>
                          <w:i/>
                          <w:szCs w:val="20"/>
                        </w:rPr>
                        <w:t xml:space="preserve">college unique </w:t>
                      </w:r>
                      <w:r w:rsidRPr="006F5766">
                        <w:rPr>
                          <w:rFonts w:cs="Arial"/>
                          <w:szCs w:val="20"/>
                        </w:rPr>
                        <w:t xml:space="preserve">(comprehensive schools for all levels of ability, implemented in 1975 and heralded as a sign of democratisation of education for all) means that talented pupils </w:t>
                      </w:r>
                      <w:r>
                        <w:rPr>
                          <w:rFonts w:cs="Arial"/>
                          <w:szCs w:val="20"/>
                        </w:rPr>
                        <w:t xml:space="preserve">often </w:t>
                      </w:r>
                      <w:r w:rsidRPr="006F5766">
                        <w:rPr>
                          <w:rFonts w:cs="Arial"/>
                          <w:szCs w:val="20"/>
                        </w:rPr>
                        <w:t xml:space="preserve">remain in the same </w:t>
                      </w:r>
                      <w:r>
                        <w:rPr>
                          <w:rFonts w:cs="Arial"/>
                          <w:szCs w:val="20"/>
                        </w:rPr>
                        <w:t>classes</w:t>
                      </w:r>
                      <w:r w:rsidRPr="006F5766">
                        <w:rPr>
                          <w:rFonts w:cs="Arial"/>
                          <w:szCs w:val="20"/>
                        </w:rPr>
                        <w:t xml:space="preserve"> as those with greater difficulties. Measures have not </w:t>
                      </w:r>
                      <w:r>
                        <w:rPr>
                          <w:rFonts w:cs="Arial"/>
                          <w:szCs w:val="20"/>
                        </w:rPr>
                        <w:t xml:space="preserve">yet </w:t>
                      </w:r>
                      <w:r w:rsidRPr="006F5766">
                        <w:rPr>
                          <w:rFonts w:cs="Arial"/>
                          <w:szCs w:val="20"/>
                        </w:rPr>
                        <w:t>been successfully implemented to</w:t>
                      </w:r>
                      <w:r>
                        <w:rPr>
                          <w:rFonts w:cs="Arial"/>
                          <w:szCs w:val="20"/>
                        </w:rPr>
                        <w:t xml:space="preserve"> sustainably</w:t>
                      </w:r>
                      <w:r w:rsidRPr="006F5766">
                        <w:rPr>
                          <w:rFonts w:cs="Arial"/>
                          <w:szCs w:val="20"/>
                        </w:rPr>
                        <w:t xml:space="preserve"> bridge these inequalities. </w:t>
                      </w:r>
                    </w:p>
                    <w:p w:rsidR="00394EBA" w:rsidRDefault="00394EBA">
                      <w:pPr>
                        <w:rPr>
                          <w:color w:val="4F81BD" w:themeColor="accent1"/>
                          <w:szCs w:val="20"/>
                        </w:rPr>
                      </w:pPr>
                    </w:p>
                  </w:txbxContent>
                </v:textbox>
                <w10:anchorlock/>
              </v:rect>
            </w:pict>
          </mc:Fallback>
        </mc:AlternateContent>
      </w:r>
    </w:p>
    <w:p w:rsidR="00495C7D" w:rsidRPr="00CB46AB" w:rsidRDefault="006F5766" w:rsidP="006F5766">
      <w:pPr>
        <w:pStyle w:val="Caption"/>
        <w:rPr>
          <w:rFonts w:ascii="Verdana" w:hAnsi="Verdana"/>
          <w:b w:val="0"/>
          <w:i/>
          <w:sz w:val="16"/>
          <w:szCs w:val="16"/>
        </w:rPr>
      </w:pPr>
      <w:r w:rsidRPr="00CB46AB">
        <w:rPr>
          <w:rFonts w:ascii="Verdana" w:hAnsi="Verdana"/>
          <w:b w:val="0"/>
          <w:i/>
          <w:sz w:val="16"/>
          <w:szCs w:val="16"/>
        </w:rPr>
        <w:t>Note</w:t>
      </w:r>
      <w:r w:rsidR="00CB46AB">
        <w:rPr>
          <w:rFonts w:ascii="Verdana" w:hAnsi="Verdana"/>
          <w:b w:val="0"/>
          <w:i/>
          <w:sz w:val="16"/>
          <w:szCs w:val="16"/>
        </w:rPr>
        <w:t>s</w:t>
      </w:r>
      <w:r w:rsidRPr="00CB46AB">
        <w:rPr>
          <w:rFonts w:ascii="Verdana" w:hAnsi="Verdana"/>
          <w:b w:val="0"/>
          <w:i/>
          <w:sz w:val="16"/>
          <w:szCs w:val="16"/>
        </w:rPr>
        <w:t>: qualitative case study based on key informant interviews; the list of interviewees can be consulted in Annex II.</w:t>
      </w:r>
    </w:p>
    <w:p w:rsidR="006F5766" w:rsidRPr="006F5766" w:rsidRDefault="006F5766" w:rsidP="006F5766">
      <w:pPr>
        <w:pStyle w:val="BodyText"/>
        <w:rPr>
          <w:lang w:eastAsia="en-US"/>
        </w:rPr>
      </w:pPr>
    </w:p>
    <w:p w:rsidR="00B013ED" w:rsidRPr="000E4E30" w:rsidRDefault="00B013ED" w:rsidP="000E4E30">
      <w:pPr>
        <w:spacing w:after="120" w:line="288" w:lineRule="auto"/>
        <w:rPr>
          <w:szCs w:val="20"/>
        </w:rPr>
      </w:pPr>
      <w:r w:rsidRPr="000E4E30">
        <w:rPr>
          <w:szCs w:val="20"/>
        </w:rPr>
        <w:t xml:space="preserve">Similar patterns can be observed for literacy, even though Member States’ performance </w:t>
      </w:r>
      <w:r w:rsidR="006F5766">
        <w:rPr>
          <w:szCs w:val="20"/>
        </w:rPr>
        <w:t>in</w:t>
      </w:r>
      <w:r w:rsidRPr="000E4E30">
        <w:rPr>
          <w:szCs w:val="20"/>
        </w:rPr>
        <w:t xml:space="preserve"> the dimension of mean competence and </w:t>
      </w:r>
      <w:r w:rsidR="005F5ACB">
        <w:rPr>
          <w:szCs w:val="20"/>
        </w:rPr>
        <w:t>equity</w:t>
      </w:r>
      <w:r w:rsidRPr="000E4E30">
        <w:rPr>
          <w:szCs w:val="20"/>
        </w:rPr>
        <w:t xml:space="preserve"> are much closer together than for numeracy, so that groups are less distinct. Again, we can distinguish between four groups of countries:</w:t>
      </w:r>
    </w:p>
    <w:p w:rsidR="00B013ED" w:rsidRPr="000E4E30" w:rsidRDefault="00B013ED" w:rsidP="00A05A88">
      <w:pPr>
        <w:pStyle w:val="ListParagraph"/>
        <w:numPr>
          <w:ilvl w:val="0"/>
          <w:numId w:val="14"/>
        </w:numPr>
        <w:spacing w:after="120" w:line="288" w:lineRule="auto"/>
        <w:ind w:left="357" w:hanging="357"/>
        <w:rPr>
          <w:rFonts w:cs="Arial"/>
          <w:szCs w:val="20"/>
        </w:rPr>
      </w:pPr>
      <w:r w:rsidRPr="000E4E30">
        <w:rPr>
          <w:rFonts w:cs="Arial"/>
          <w:szCs w:val="20"/>
        </w:rPr>
        <w:t>Countries with abo</w:t>
      </w:r>
      <w:r w:rsidR="007C7DBE">
        <w:rPr>
          <w:rFonts w:cs="Arial"/>
          <w:szCs w:val="20"/>
        </w:rPr>
        <w:t>ve average mean scores and above</w:t>
      </w:r>
      <w:r w:rsidRPr="000E4E30">
        <w:rPr>
          <w:rFonts w:cs="Arial"/>
          <w:szCs w:val="20"/>
        </w:rPr>
        <w:t xml:space="preserve"> average </w:t>
      </w:r>
      <w:r w:rsidR="007C7DBE">
        <w:rPr>
          <w:rFonts w:cs="Arial"/>
          <w:szCs w:val="20"/>
        </w:rPr>
        <w:t>equity</w:t>
      </w:r>
      <w:r w:rsidRPr="000E4E30">
        <w:rPr>
          <w:rFonts w:cs="Arial"/>
          <w:szCs w:val="20"/>
        </w:rPr>
        <w:t>. This group includes Belgium</w:t>
      </w:r>
      <w:r w:rsidR="00BC72E0">
        <w:rPr>
          <w:rFonts w:cs="Arial"/>
          <w:szCs w:val="20"/>
        </w:rPr>
        <w:t xml:space="preserve"> (FL)</w:t>
      </w:r>
      <w:r w:rsidRPr="000E4E30">
        <w:rPr>
          <w:rFonts w:cs="Arial"/>
          <w:szCs w:val="20"/>
        </w:rPr>
        <w:t>, Estonia and Finland.</w:t>
      </w:r>
    </w:p>
    <w:p w:rsidR="00B013ED" w:rsidRPr="000E4E30" w:rsidRDefault="00B013ED" w:rsidP="00A05A88">
      <w:pPr>
        <w:pStyle w:val="ListParagraph"/>
        <w:numPr>
          <w:ilvl w:val="0"/>
          <w:numId w:val="14"/>
        </w:numPr>
        <w:spacing w:after="120" w:line="288" w:lineRule="auto"/>
        <w:ind w:left="357" w:hanging="357"/>
        <w:rPr>
          <w:rFonts w:cs="Arial"/>
          <w:szCs w:val="20"/>
        </w:rPr>
      </w:pPr>
      <w:r w:rsidRPr="000E4E30">
        <w:rPr>
          <w:rFonts w:cs="Arial"/>
          <w:szCs w:val="20"/>
        </w:rPr>
        <w:t xml:space="preserve">Countries with above average mean </w:t>
      </w:r>
      <w:r w:rsidR="007C7DBE">
        <w:rPr>
          <w:rFonts w:cs="Arial"/>
          <w:szCs w:val="20"/>
        </w:rPr>
        <w:t>scores, but also below average equity</w:t>
      </w:r>
      <w:r w:rsidRPr="000E4E30">
        <w:rPr>
          <w:rFonts w:cs="Arial"/>
          <w:szCs w:val="20"/>
        </w:rPr>
        <w:t xml:space="preserve">. This group includes </w:t>
      </w:r>
      <w:r w:rsidR="005D318B" w:rsidRPr="000E4E30">
        <w:rPr>
          <w:rFonts w:cs="Arial"/>
          <w:szCs w:val="20"/>
        </w:rPr>
        <w:t xml:space="preserve">the Netherlands and </w:t>
      </w:r>
      <w:r w:rsidRPr="000E4E30">
        <w:rPr>
          <w:rFonts w:cs="Arial"/>
          <w:szCs w:val="20"/>
        </w:rPr>
        <w:t>Sweden.</w:t>
      </w:r>
    </w:p>
    <w:p w:rsidR="00B013ED" w:rsidRPr="000E4E30" w:rsidRDefault="00B013ED" w:rsidP="00A05A88">
      <w:pPr>
        <w:pStyle w:val="ListParagraph"/>
        <w:numPr>
          <w:ilvl w:val="0"/>
          <w:numId w:val="14"/>
        </w:numPr>
        <w:spacing w:after="120" w:line="288" w:lineRule="auto"/>
        <w:ind w:left="357" w:hanging="357"/>
        <w:rPr>
          <w:rFonts w:cs="Arial"/>
          <w:szCs w:val="20"/>
        </w:rPr>
      </w:pPr>
      <w:r w:rsidRPr="000E4E30">
        <w:rPr>
          <w:rFonts w:cs="Arial"/>
          <w:szCs w:val="20"/>
        </w:rPr>
        <w:t>Countries with belo</w:t>
      </w:r>
      <w:r w:rsidR="007C7DBE">
        <w:rPr>
          <w:rFonts w:cs="Arial"/>
          <w:szCs w:val="20"/>
        </w:rPr>
        <w:t>w average mean scores and above</w:t>
      </w:r>
      <w:r w:rsidR="005D318B" w:rsidRPr="000E4E30">
        <w:rPr>
          <w:rFonts w:cs="Arial"/>
          <w:szCs w:val="20"/>
        </w:rPr>
        <w:t xml:space="preserve"> </w:t>
      </w:r>
      <w:r w:rsidRPr="000E4E30">
        <w:rPr>
          <w:rFonts w:cs="Arial"/>
          <w:szCs w:val="20"/>
        </w:rPr>
        <w:t xml:space="preserve">average </w:t>
      </w:r>
      <w:r w:rsidR="007C7DBE">
        <w:rPr>
          <w:rFonts w:cs="Arial"/>
          <w:szCs w:val="20"/>
        </w:rPr>
        <w:t>equity</w:t>
      </w:r>
      <w:r w:rsidRPr="000E4E30">
        <w:rPr>
          <w:rFonts w:cs="Arial"/>
          <w:szCs w:val="20"/>
        </w:rPr>
        <w:t>. This includes Ireland, Italy, the Slovak Republic and Spain.</w:t>
      </w:r>
    </w:p>
    <w:p w:rsidR="00B013ED" w:rsidRPr="000E4E30" w:rsidRDefault="00B013ED" w:rsidP="00A05A88">
      <w:pPr>
        <w:pStyle w:val="ListParagraph"/>
        <w:numPr>
          <w:ilvl w:val="0"/>
          <w:numId w:val="14"/>
        </w:numPr>
        <w:spacing w:after="120" w:line="288" w:lineRule="auto"/>
        <w:ind w:left="357" w:hanging="357"/>
        <w:rPr>
          <w:rFonts w:cs="Arial"/>
          <w:szCs w:val="20"/>
        </w:rPr>
      </w:pPr>
      <w:r w:rsidRPr="000E4E30">
        <w:rPr>
          <w:rFonts w:cs="Arial"/>
          <w:szCs w:val="20"/>
        </w:rPr>
        <w:t>Countries with below ave</w:t>
      </w:r>
      <w:r w:rsidR="007C7DBE">
        <w:rPr>
          <w:rFonts w:cs="Arial"/>
          <w:szCs w:val="20"/>
        </w:rPr>
        <w:t>rage mean scores and below</w:t>
      </w:r>
      <w:r w:rsidRPr="000E4E30">
        <w:rPr>
          <w:rFonts w:cs="Arial"/>
          <w:szCs w:val="20"/>
        </w:rPr>
        <w:t xml:space="preserve"> average </w:t>
      </w:r>
      <w:r w:rsidR="007C7DBE">
        <w:rPr>
          <w:rFonts w:cs="Arial"/>
          <w:szCs w:val="20"/>
        </w:rPr>
        <w:t>equity</w:t>
      </w:r>
      <w:r w:rsidRPr="000E4E30">
        <w:rPr>
          <w:rFonts w:cs="Arial"/>
          <w:szCs w:val="20"/>
        </w:rPr>
        <w:t>. This group includes the United Kingdom</w:t>
      </w:r>
      <w:r w:rsidR="00BC72E0">
        <w:rPr>
          <w:rFonts w:cs="Arial"/>
          <w:szCs w:val="20"/>
        </w:rPr>
        <w:t xml:space="preserve"> (EN/NI)</w:t>
      </w:r>
      <w:r w:rsidRPr="000E4E30">
        <w:rPr>
          <w:rFonts w:cs="Arial"/>
          <w:szCs w:val="20"/>
        </w:rPr>
        <w:t xml:space="preserve"> and Poland.</w:t>
      </w:r>
    </w:p>
    <w:p w:rsidR="00B013ED" w:rsidRPr="000E4E30" w:rsidRDefault="00B013ED" w:rsidP="000E4E30">
      <w:pPr>
        <w:spacing w:after="120" w:line="288" w:lineRule="auto"/>
        <w:rPr>
          <w:szCs w:val="20"/>
        </w:rPr>
      </w:pPr>
      <w:r w:rsidRPr="000E4E30">
        <w:rPr>
          <w:rFonts w:cs="Arial"/>
          <w:szCs w:val="20"/>
        </w:rPr>
        <w:t>A number of countries cannot be clearly attributed to either group, including Austria, Germany, the Czech Republic, Denmark and France.</w:t>
      </w:r>
    </w:p>
    <w:p w:rsidR="00B013ED" w:rsidRPr="005D318B" w:rsidRDefault="00B013ED" w:rsidP="000E4E30">
      <w:pPr>
        <w:pStyle w:val="Caption"/>
        <w:spacing w:before="0" w:after="120" w:line="288" w:lineRule="auto"/>
        <w:rPr>
          <w:rFonts w:ascii="Verdana" w:hAnsi="Verdana"/>
          <w:b w:val="0"/>
          <w:color w:val="1F497D" w:themeColor="text2"/>
          <w:sz w:val="20"/>
        </w:rPr>
      </w:pPr>
      <w:r w:rsidRPr="005D318B">
        <w:rPr>
          <w:rFonts w:ascii="Verdana" w:hAnsi="Verdana"/>
          <w:b w:val="0"/>
          <w:color w:val="1F497D" w:themeColor="text2"/>
          <w:sz w:val="20"/>
        </w:rPr>
        <w:t xml:space="preserve">Figure </w:t>
      </w:r>
      <w:r w:rsidR="00363088">
        <w:rPr>
          <w:rFonts w:ascii="Verdana" w:hAnsi="Verdana"/>
          <w:b w:val="0"/>
          <w:color w:val="1F497D" w:themeColor="text2"/>
          <w:sz w:val="20"/>
        </w:rPr>
        <w:t>3.</w:t>
      </w:r>
      <w:r w:rsidR="00F40EC1">
        <w:rPr>
          <w:rFonts w:ascii="Verdana" w:hAnsi="Verdana"/>
          <w:b w:val="0"/>
          <w:color w:val="1F497D" w:themeColor="text2"/>
          <w:sz w:val="20"/>
        </w:rPr>
        <w:fldChar w:fldCharType="begin"/>
      </w:r>
      <w:r w:rsidR="00F40EC1">
        <w:rPr>
          <w:rFonts w:ascii="Verdana" w:hAnsi="Verdana"/>
          <w:b w:val="0"/>
          <w:color w:val="1F497D" w:themeColor="text2"/>
          <w:sz w:val="20"/>
        </w:rPr>
        <w:instrText xml:space="preserve"> SEQ Figure \* ARABIC </w:instrText>
      </w:r>
      <w:r w:rsidR="00F40EC1">
        <w:rPr>
          <w:rFonts w:ascii="Verdana" w:hAnsi="Verdana"/>
          <w:b w:val="0"/>
          <w:color w:val="1F497D" w:themeColor="text2"/>
          <w:sz w:val="20"/>
        </w:rPr>
        <w:fldChar w:fldCharType="separate"/>
      </w:r>
      <w:r w:rsidR="009924B8">
        <w:rPr>
          <w:rFonts w:ascii="Verdana" w:hAnsi="Verdana"/>
          <w:b w:val="0"/>
          <w:noProof/>
          <w:color w:val="1F497D" w:themeColor="text2"/>
          <w:sz w:val="20"/>
        </w:rPr>
        <w:t>1</w:t>
      </w:r>
      <w:r w:rsidR="00F40EC1">
        <w:rPr>
          <w:rFonts w:ascii="Verdana" w:hAnsi="Verdana"/>
          <w:b w:val="0"/>
          <w:color w:val="1F497D" w:themeColor="text2"/>
          <w:sz w:val="20"/>
        </w:rPr>
        <w:fldChar w:fldCharType="end"/>
      </w:r>
      <w:r w:rsidR="005F5ACB">
        <w:rPr>
          <w:rFonts w:ascii="Verdana" w:hAnsi="Verdana"/>
          <w:b w:val="0"/>
          <w:color w:val="1F497D" w:themeColor="text2"/>
          <w:sz w:val="20"/>
        </w:rPr>
        <w:t xml:space="preserve"> Mean and dispersion</w:t>
      </w:r>
      <w:r w:rsidRPr="005D318B">
        <w:rPr>
          <w:rFonts w:ascii="Verdana" w:hAnsi="Verdana"/>
          <w:b w:val="0"/>
          <w:color w:val="1F497D" w:themeColor="text2"/>
          <w:sz w:val="20"/>
        </w:rPr>
        <w:t xml:space="preserve"> of literacy scores, patterns across countries</w:t>
      </w:r>
    </w:p>
    <w:p w:rsidR="00B013ED" w:rsidRPr="002E793E" w:rsidRDefault="00B013ED" w:rsidP="000E4E30">
      <w:pPr>
        <w:spacing w:after="120" w:line="288" w:lineRule="auto"/>
        <w:jc w:val="center"/>
        <w:rPr>
          <w:rFonts w:cs="Arial"/>
          <w:szCs w:val="20"/>
          <w:highlight w:val="yellow"/>
        </w:rPr>
      </w:pPr>
      <w:r w:rsidRPr="002E793E">
        <w:rPr>
          <w:noProof/>
          <w:szCs w:val="20"/>
          <w:lang w:val="en-US" w:eastAsia="en-US"/>
        </w:rPr>
        <w:drawing>
          <wp:inline distT="0" distB="0" distL="0" distR="0" wp14:anchorId="1BE9900B" wp14:editId="6A47C651">
            <wp:extent cx="5580000" cy="3600000"/>
            <wp:effectExtent l="0" t="0" r="1905" b="635"/>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013ED" w:rsidRPr="0005457D" w:rsidRDefault="00B013ED" w:rsidP="000E4E30">
      <w:pPr>
        <w:spacing w:after="120" w:line="288" w:lineRule="auto"/>
        <w:rPr>
          <w:rFonts w:cs="Arial"/>
          <w:i/>
          <w:sz w:val="16"/>
          <w:szCs w:val="16"/>
        </w:rPr>
      </w:pPr>
      <w:r w:rsidRPr="0005457D">
        <w:rPr>
          <w:rFonts w:cs="Arial"/>
          <w:i/>
          <w:sz w:val="16"/>
          <w:szCs w:val="16"/>
        </w:rPr>
        <w:t xml:space="preserve">Notes: Own calculations, countries marked in red do not display mean scores which are significantly different from the average at the 0.05 level. Literacy-related non-response (missing) is excluded from the calculation of mean scores.  </w:t>
      </w:r>
    </w:p>
    <w:p w:rsidR="00211990" w:rsidRDefault="00B013ED" w:rsidP="00211990">
      <w:pPr>
        <w:spacing w:after="120" w:line="288" w:lineRule="auto"/>
        <w:rPr>
          <w:rFonts w:cs="Arial"/>
          <w:szCs w:val="20"/>
        </w:rPr>
      </w:pPr>
      <w:r w:rsidRPr="000E4E30">
        <w:rPr>
          <w:szCs w:val="20"/>
        </w:rPr>
        <w:t>While some countries change groups depending on the dimensions under observation, patterns are stable for a certain number of Member States. In both dimensions</w:t>
      </w:r>
      <w:r w:rsidR="0083518A">
        <w:rPr>
          <w:szCs w:val="20"/>
        </w:rPr>
        <w:t>,</w:t>
      </w:r>
      <w:r w:rsidRPr="000E4E30">
        <w:rPr>
          <w:szCs w:val="20"/>
        </w:rPr>
        <w:t xml:space="preserve"> </w:t>
      </w:r>
      <w:r w:rsidRPr="000E4E30">
        <w:rPr>
          <w:rFonts w:cs="Arial"/>
          <w:szCs w:val="20"/>
        </w:rPr>
        <w:t>Belgium</w:t>
      </w:r>
      <w:r w:rsidR="00BC72E0">
        <w:rPr>
          <w:rFonts w:cs="Arial"/>
          <w:szCs w:val="20"/>
        </w:rPr>
        <w:t xml:space="preserve"> (FL)</w:t>
      </w:r>
      <w:r w:rsidRPr="000E4E30">
        <w:rPr>
          <w:rFonts w:cs="Arial"/>
          <w:szCs w:val="20"/>
        </w:rPr>
        <w:t xml:space="preserve">, Estonia and Finland </w:t>
      </w:r>
      <w:r w:rsidR="005D318B" w:rsidRPr="000E4E30">
        <w:rPr>
          <w:rFonts w:cs="Arial"/>
          <w:szCs w:val="20"/>
        </w:rPr>
        <w:t>display abo</w:t>
      </w:r>
      <w:r w:rsidR="005F5ACB">
        <w:rPr>
          <w:rFonts w:cs="Arial"/>
          <w:szCs w:val="20"/>
        </w:rPr>
        <w:t>ve average mean scores and above average equity</w:t>
      </w:r>
      <w:r w:rsidRPr="000E4E30">
        <w:rPr>
          <w:rFonts w:cs="Arial"/>
          <w:szCs w:val="20"/>
        </w:rPr>
        <w:t>; the United Kingdom</w:t>
      </w:r>
      <w:r w:rsidR="00BC72E0">
        <w:rPr>
          <w:rFonts w:cs="Arial"/>
          <w:szCs w:val="20"/>
        </w:rPr>
        <w:t xml:space="preserve"> (EN/NI)</w:t>
      </w:r>
      <w:r w:rsidRPr="000E4E30">
        <w:rPr>
          <w:rFonts w:cs="Arial"/>
          <w:szCs w:val="20"/>
        </w:rPr>
        <w:t xml:space="preserve"> features </w:t>
      </w:r>
      <w:r w:rsidR="005D318B" w:rsidRPr="000E4E30">
        <w:rPr>
          <w:rFonts w:cs="Arial"/>
          <w:szCs w:val="20"/>
        </w:rPr>
        <w:t>bel</w:t>
      </w:r>
      <w:r w:rsidR="005F5ACB">
        <w:rPr>
          <w:rFonts w:cs="Arial"/>
          <w:szCs w:val="20"/>
        </w:rPr>
        <w:t>ow average mean scores and below average equity</w:t>
      </w:r>
      <w:r w:rsidRPr="000E4E30">
        <w:rPr>
          <w:rFonts w:cs="Arial"/>
          <w:szCs w:val="20"/>
        </w:rPr>
        <w:t xml:space="preserve">; Italy and Spain display below average mean scores and </w:t>
      </w:r>
      <w:r w:rsidR="005F5ACB">
        <w:rPr>
          <w:rFonts w:cs="Arial"/>
          <w:szCs w:val="20"/>
        </w:rPr>
        <w:t>above average equity</w:t>
      </w:r>
      <w:r w:rsidRPr="000E4E30">
        <w:rPr>
          <w:rFonts w:cs="Arial"/>
          <w:szCs w:val="20"/>
        </w:rPr>
        <w:t>; and Sweden displays above average mean scores</w:t>
      </w:r>
      <w:r w:rsidR="005F5ACB">
        <w:rPr>
          <w:rFonts w:cs="Arial"/>
          <w:szCs w:val="20"/>
        </w:rPr>
        <w:t xml:space="preserve"> and below</w:t>
      </w:r>
      <w:r w:rsidRPr="000E4E30">
        <w:rPr>
          <w:rFonts w:cs="Arial"/>
          <w:szCs w:val="20"/>
        </w:rPr>
        <w:t xml:space="preserve"> average </w:t>
      </w:r>
      <w:r w:rsidR="005F5ACB">
        <w:rPr>
          <w:rFonts w:cs="Arial"/>
          <w:szCs w:val="20"/>
        </w:rPr>
        <w:t>equity</w:t>
      </w:r>
      <w:r w:rsidRPr="000E4E30">
        <w:rPr>
          <w:rFonts w:cs="Arial"/>
          <w:szCs w:val="20"/>
        </w:rPr>
        <w:t>.</w:t>
      </w:r>
      <w:r w:rsidR="00BC72E0">
        <w:rPr>
          <w:rFonts w:cs="Arial"/>
          <w:szCs w:val="20"/>
        </w:rPr>
        <w:t xml:space="preserve"> This indicates that high average levels of competences and equity of competences do not need to be trade-off, as some Member States manage to successfully combine both. Future research could investigate potential determinants for this positive country performance.</w:t>
      </w:r>
      <w:r w:rsidR="00211990">
        <w:rPr>
          <w:rFonts w:cs="Arial"/>
          <w:szCs w:val="20"/>
        </w:rPr>
        <w:t xml:space="preserve"> Case study example 2 explores some explanations fore the weak performance of Spain</w:t>
      </w:r>
      <w:r w:rsidR="001E31D3">
        <w:rPr>
          <w:rFonts w:cs="Arial"/>
          <w:szCs w:val="20"/>
        </w:rPr>
        <w:t>.</w:t>
      </w:r>
    </w:p>
    <w:p w:rsidR="002524DF" w:rsidRPr="000E4E30" w:rsidRDefault="002D12F3" w:rsidP="00211990">
      <w:pPr>
        <w:spacing w:after="120" w:line="288" w:lineRule="auto"/>
        <w:rPr>
          <w:rFonts w:cs="Arial"/>
          <w:b/>
          <w:bCs/>
          <w:kern w:val="32"/>
          <w:sz w:val="28"/>
          <w:szCs w:val="32"/>
        </w:rPr>
      </w:pPr>
      <w:r w:rsidRPr="00495C7D">
        <w:rPr>
          <w:noProof/>
          <w:szCs w:val="20"/>
          <w:lang w:val="en-US" w:eastAsia="en-US"/>
        </w:rPr>
        <mc:AlternateContent>
          <mc:Choice Requires="wps">
            <w:drawing>
              <wp:inline distT="0" distB="0" distL="0" distR="0" wp14:anchorId="5E9006D6" wp14:editId="566331C8">
                <wp:extent cx="5580000" cy="5923128"/>
                <wp:effectExtent l="38100" t="38100" r="135255" b="135255"/>
                <wp:docPr id="30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5923128"/>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211990" w:rsidRDefault="00394EBA" w:rsidP="002D12F3">
                            <w:pPr>
                              <w:spacing w:after="120" w:line="288" w:lineRule="auto"/>
                              <w:rPr>
                                <w:rFonts w:cs="Arial"/>
                                <w:b/>
                                <w:color w:val="1F497D" w:themeColor="text2"/>
                                <w:szCs w:val="20"/>
                                <w:u w:val="single"/>
                              </w:rPr>
                            </w:pPr>
                            <w:r w:rsidRPr="00211990">
                              <w:rPr>
                                <w:rFonts w:cs="Arial"/>
                                <w:b/>
                                <w:color w:val="1F497D" w:themeColor="text2"/>
                                <w:szCs w:val="20"/>
                                <w:u w:val="single"/>
                              </w:rPr>
                              <w:t>Case study example 2: Weak performance of Spain</w:t>
                            </w:r>
                          </w:p>
                          <w:p w:rsidR="00394EBA" w:rsidRDefault="00394EBA" w:rsidP="002D12F3">
                            <w:pPr>
                              <w:spacing w:after="120" w:line="288" w:lineRule="auto"/>
                              <w:rPr>
                                <w:rFonts w:cs="Arial"/>
                                <w:szCs w:val="20"/>
                              </w:rPr>
                            </w:pPr>
                            <w:r w:rsidRPr="001C37D7">
                              <w:rPr>
                                <w:rFonts w:cs="Arial"/>
                                <w:szCs w:val="20"/>
                              </w:rPr>
                              <w:t xml:space="preserve">According to interviewees, there are </w:t>
                            </w:r>
                            <w:r>
                              <w:rPr>
                                <w:rFonts w:cs="Arial"/>
                                <w:szCs w:val="20"/>
                              </w:rPr>
                              <w:t>a number of</w:t>
                            </w:r>
                            <w:r w:rsidRPr="001C37D7">
                              <w:rPr>
                                <w:rFonts w:cs="Arial"/>
                                <w:szCs w:val="20"/>
                              </w:rPr>
                              <w:t xml:space="preserve"> explanations for the low performance of the Spanish education system in equipping young pe</w:t>
                            </w:r>
                            <w:r>
                              <w:rPr>
                                <w:rFonts w:cs="Arial"/>
                                <w:szCs w:val="20"/>
                              </w:rPr>
                              <w:t>ople with basic competences:</w:t>
                            </w:r>
                          </w:p>
                          <w:p w:rsidR="00394EBA" w:rsidRPr="002D12F3" w:rsidRDefault="00394EBA" w:rsidP="002D12F3">
                            <w:pPr>
                              <w:spacing w:after="120" w:line="288" w:lineRule="auto"/>
                              <w:rPr>
                                <w:rFonts w:cs="Arial"/>
                                <w:szCs w:val="20"/>
                              </w:rPr>
                            </w:pPr>
                            <w:r w:rsidRPr="001C37D7">
                              <w:rPr>
                                <w:rFonts w:cs="Arial"/>
                                <w:szCs w:val="20"/>
                              </w:rPr>
                              <w:t>Technical explanations included</w:t>
                            </w:r>
                            <w:r>
                              <w:rPr>
                                <w:rFonts w:cs="Arial"/>
                                <w:szCs w:val="20"/>
                              </w:rPr>
                              <w:t xml:space="preserve"> the</w:t>
                            </w:r>
                            <w:r w:rsidRPr="001C37D7">
                              <w:rPr>
                                <w:rFonts w:cs="Arial"/>
                                <w:szCs w:val="20"/>
                              </w:rPr>
                              <w:t xml:space="preserve"> non-response due to the emigration of high</w:t>
                            </w:r>
                            <w:r>
                              <w:rPr>
                                <w:rFonts w:cs="Arial"/>
                                <w:szCs w:val="20"/>
                              </w:rPr>
                              <w:t>-</w:t>
                            </w:r>
                            <w:r w:rsidRPr="001C37D7">
                              <w:rPr>
                                <w:rFonts w:cs="Arial"/>
                                <w:szCs w:val="20"/>
                              </w:rPr>
                              <w:t>skilled young adults and the fact that many young people were not present at their registered place of residence</w:t>
                            </w:r>
                            <w:r>
                              <w:rPr>
                                <w:rFonts w:cs="Arial"/>
                                <w:szCs w:val="20"/>
                              </w:rPr>
                              <w:t xml:space="preserve"> at the time of the tests</w:t>
                            </w:r>
                            <w:r w:rsidRPr="001C37D7">
                              <w:rPr>
                                <w:rFonts w:cs="Arial"/>
                                <w:szCs w:val="20"/>
                              </w:rPr>
                              <w:t>, due to the fact that they live in university accommodation</w:t>
                            </w:r>
                            <w:r>
                              <w:rPr>
                                <w:rFonts w:cs="Arial"/>
                                <w:szCs w:val="20"/>
                              </w:rPr>
                              <w:t xml:space="preserve"> (but are registered at their parental home). </w:t>
                            </w:r>
                            <w:r w:rsidRPr="002D12F3">
                              <w:rPr>
                                <w:rFonts w:cs="Arial"/>
                                <w:szCs w:val="20"/>
                              </w:rPr>
                              <w:t>In spite of the use of weights to correct for this no</w:t>
                            </w:r>
                            <w:r>
                              <w:rPr>
                                <w:rFonts w:cs="Arial"/>
                                <w:szCs w:val="20"/>
                              </w:rPr>
                              <w:t xml:space="preserve">n-response issue, the sample is considered </w:t>
                            </w:r>
                            <w:r w:rsidRPr="002D12F3">
                              <w:rPr>
                                <w:rFonts w:cs="Arial"/>
                                <w:szCs w:val="20"/>
                              </w:rPr>
                              <w:t xml:space="preserve">to be </w:t>
                            </w:r>
                            <w:r>
                              <w:rPr>
                                <w:rFonts w:cs="Arial"/>
                                <w:szCs w:val="20"/>
                              </w:rPr>
                              <w:t>slightly</w:t>
                            </w:r>
                            <w:r w:rsidRPr="002D12F3">
                              <w:rPr>
                                <w:rFonts w:cs="Arial"/>
                                <w:szCs w:val="20"/>
                              </w:rPr>
                              <w:t xml:space="preserve"> downward</w:t>
                            </w:r>
                            <w:r>
                              <w:rPr>
                                <w:rFonts w:cs="Arial"/>
                                <w:szCs w:val="20"/>
                              </w:rPr>
                              <w:t>-</w:t>
                            </w:r>
                            <w:r w:rsidRPr="002D12F3">
                              <w:rPr>
                                <w:rFonts w:cs="Arial"/>
                                <w:szCs w:val="20"/>
                              </w:rPr>
                              <w:t>biased.</w:t>
                            </w:r>
                          </w:p>
                          <w:p w:rsidR="00394EBA" w:rsidRDefault="00394EBA" w:rsidP="002D12F3">
                            <w:pPr>
                              <w:spacing w:after="120" w:line="288" w:lineRule="auto"/>
                              <w:rPr>
                                <w:rFonts w:cs="Arial"/>
                                <w:szCs w:val="20"/>
                              </w:rPr>
                            </w:pPr>
                            <w:r>
                              <w:rPr>
                                <w:rFonts w:cs="Arial"/>
                                <w:szCs w:val="20"/>
                              </w:rPr>
                              <w:t>Other explanations named were:</w:t>
                            </w:r>
                          </w:p>
                          <w:p w:rsidR="00394EBA" w:rsidRDefault="00394EBA" w:rsidP="00F90C88">
                            <w:pPr>
                              <w:pStyle w:val="ListParagraph"/>
                              <w:numPr>
                                <w:ilvl w:val="0"/>
                                <w:numId w:val="43"/>
                              </w:numPr>
                              <w:spacing w:after="120" w:line="288" w:lineRule="auto"/>
                              <w:rPr>
                                <w:rFonts w:cs="Arial"/>
                                <w:szCs w:val="20"/>
                              </w:rPr>
                            </w:pPr>
                            <w:r>
                              <w:rPr>
                                <w:rFonts w:cs="Arial"/>
                                <w:szCs w:val="20"/>
                              </w:rPr>
                              <w:t>T</w:t>
                            </w:r>
                            <w:r w:rsidRPr="001C37D7">
                              <w:rPr>
                                <w:rFonts w:cs="Arial"/>
                                <w:szCs w:val="20"/>
                              </w:rPr>
                              <w:t>he strong focus of the Spanish education system on contents rather than competences. Policy</w:t>
                            </w:r>
                            <w:r>
                              <w:rPr>
                                <w:rFonts w:cs="Arial"/>
                                <w:szCs w:val="20"/>
                              </w:rPr>
                              <w:t>-</w:t>
                            </w:r>
                            <w:r w:rsidRPr="001C37D7">
                              <w:rPr>
                                <w:rFonts w:cs="Arial"/>
                                <w:szCs w:val="20"/>
                              </w:rPr>
                              <w:t xml:space="preserve">makers have introduced changes and new cohorts are benefiting from a different pedagogical framework since the introduction of the Bologna process. However, </w:t>
                            </w:r>
                            <w:r>
                              <w:rPr>
                                <w:rFonts w:cs="Arial"/>
                                <w:szCs w:val="20"/>
                              </w:rPr>
                              <w:t xml:space="preserve">certain </w:t>
                            </w:r>
                            <w:r w:rsidRPr="001C37D7">
                              <w:rPr>
                                <w:rFonts w:cs="Arial"/>
                                <w:szCs w:val="20"/>
                              </w:rPr>
                              <w:t>interviewees believe it is too soon to observe the effects of the la</w:t>
                            </w:r>
                            <w:r>
                              <w:rPr>
                                <w:rFonts w:cs="Arial"/>
                                <w:szCs w:val="20"/>
                              </w:rPr>
                              <w:t>test reform in higher education;</w:t>
                            </w:r>
                          </w:p>
                          <w:p w:rsidR="00394EBA" w:rsidRPr="001C37D7" w:rsidRDefault="00394EBA" w:rsidP="00F90C88">
                            <w:pPr>
                              <w:pStyle w:val="ListParagraph"/>
                              <w:numPr>
                                <w:ilvl w:val="0"/>
                                <w:numId w:val="43"/>
                              </w:numPr>
                              <w:spacing w:after="120" w:line="288" w:lineRule="auto"/>
                              <w:rPr>
                                <w:rFonts w:cs="Arial"/>
                                <w:szCs w:val="20"/>
                              </w:rPr>
                            </w:pPr>
                            <w:r>
                              <w:rPr>
                                <w:rFonts w:cs="Arial"/>
                                <w:szCs w:val="20"/>
                              </w:rPr>
                              <w:t>The difficulty</w:t>
                            </w:r>
                            <w:r w:rsidRPr="001C37D7">
                              <w:rPr>
                                <w:rFonts w:cs="Arial"/>
                                <w:szCs w:val="20"/>
                              </w:rPr>
                              <w:t xml:space="preserve"> for young people in Spain to maintain competences acquired in school when their labour market attachment is often weak, implying a fast deterioration of numeracy and literacy skills during spells of unemployment and inactivity (see Villar 2013, Jimeno, Lacuesta and Villanueva 2013). Even when employed, young people often experience low levels of investment in their human capital due to their often only temporary employment contracts (Cabrales, Dolado y Mora 2013)</w:t>
                            </w:r>
                            <w:r>
                              <w:rPr>
                                <w:rFonts w:cs="Arial"/>
                                <w:szCs w:val="20"/>
                              </w:rPr>
                              <w:t>;</w:t>
                            </w:r>
                          </w:p>
                          <w:p w:rsidR="00394EBA" w:rsidRPr="001C37D7" w:rsidRDefault="00394EBA" w:rsidP="00F90C88">
                            <w:pPr>
                              <w:pStyle w:val="ListParagraph"/>
                              <w:numPr>
                                <w:ilvl w:val="0"/>
                                <w:numId w:val="43"/>
                              </w:numPr>
                              <w:spacing w:after="120" w:line="288" w:lineRule="auto"/>
                              <w:rPr>
                                <w:rFonts w:cs="Arial"/>
                                <w:szCs w:val="20"/>
                              </w:rPr>
                            </w:pPr>
                            <w:r w:rsidRPr="001C37D7">
                              <w:rPr>
                                <w:rFonts w:cs="Arial"/>
                                <w:szCs w:val="20"/>
                              </w:rPr>
                              <w:t>The prevalence of early school leaving (Felguroso 2013</w:t>
                            </w:r>
                            <w:r>
                              <w:rPr>
                                <w:rFonts w:cs="Arial"/>
                                <w:szCs w:val="20"/>
                              </w:rPr>
                              <w:t>).</w:t>
                            </w:r>
                          </w:p>
                          <w:p w:rsidR="00394EBA" w:rsidRDefault="00394EBA" w:rsidP="002D12F3">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5E9006D6" id="_x0000_s1038" style="width:439.35pt;height:466.4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" fillcolor="white [3212]" strokecolor="gray [1629]" strokeweight="1.5pt">
                <v:shadow on="t" type="perspective" color="black" opacity="26214f" origin="-.5,-.5" offset=".74836mm,.74836mm" matrix="65864f,,,65864f"/>
                <v:textbox inset="21.6pt,21.6pt,21.6pt,21.6pt">
                  <w:txbxContent>
                    <w:p w:rsidR="00394EBA" w:rsidRPr="00211990" w:rsidRDefault="00394EBA" w:rsidP="002D12F3">
                      <w:pPr>
                        <w:spacing w:after="120" w:line="288" w:lineRule="auto"/>
                        <w:rPr>
                          <w:rFonts w:cs="Arial"/>
                          <w:b/>
                          <w:color w:val="1F497D" w:themeColor="text2"/>
                          <w:szCs w:val="20"/>
                          <w:u w:val="single"/>
                        </w:rPr>
                      </w:pPr>
                      <w:r w:rsidRPr="00211990">
                        <w:rPr>
                          <w:rFonts w:cs="Arial"/>
                          <w:b/>
                          <w:color w:val="1F497D" w:themeColor="text2"/>
                          <w:szCs w:val="20"/>
                          <w:u w:val="single"/>
                        </w:rPr>
                        <w:t>Case study example 2: Weak performance of Spain</w:t>
                      </w:r>
                    </w:p>
                    <w:p w:rsidR="00394EBA" w:rsidRDefault="00394EBA" w:rsidP="002D12F3">
                      <w:pPr>
                        <w:spacing w:after="120" w:line="288" w:lineRule="auto"/>
                        <w:rPr>
                          <w:rFonts w:cs="Arial"/>
                          <w:szCs w:val="20"/>
                        </w:rPr>
                      </w:pPr>
                      <w:r w:rsidRPr="001C37D7">
                        <w:rPr>
                          <w:rFonts w:cs="Arial"/>
                          <w:szCs w:val="20"/>
                        </w:rPr>
                        <w:t xml:space="preserve">According to interviewees, there are </w:t>
                      </w:r>
                      <w:r>
                        <w:rPr>
                          <w:rFonts w:cs="Arial"/>
                          <w:szCs w:val="20"/>
                        </w:rPr>
                        <w:t>a number of</w:t>
                      </w:r>
                      <w:r w:rsidRPr="001C37D7">
                        <w:rPr>
                          <w:rFonts w:cs="Arial"/>
                          <w:szCs w:val="20"/>
                        </w:rPr>
                        <w:t xml:space="preserve"> explanations for the low performance of the Spanish education system in equipping young pe</w:t>
                      </w:r>
                      <w:r>
                        <w:rPr>
                          <w:rFonts w:cs="Arial"/>
                          <w:szCs w:val="20"/>
                        </w:rPr>
                        <w:t>ople with basic competences:</w:t>
                      </w:r>
                    </w:p>
                    <w:p w:rsidR="00394EBA" w:rsidRPr="002D12F3" w:rsidRDefault="00394EBA" w:rsidP="002D12F3">
                      <w:pPr>
                        <w:spacing w:after="120" w:line="288" w:lineRule="auto"/>
                        <w:rPr>
                          <w:rFonts w:cs="Arial"/>
                          <w:szCs w:val="20"/>
                        </w:rPr>
                      </w:pPr>
                      <w:r w:rsidRPr="001C37D7">
                        <w:rPr>
                          <w:rFonts w:cs="Arial"/>
                          <w:szCs w:val="20"/>
                        </w:rPr>
                        <w:t>Technical explanations included</w:t>
                      </w:r>
                      <w:r>
                        <w:rPr>
                          <w:rFonts w:cs="Arial"/>
                          <w:szCs w:val="20"/>
                        </w:rPr>
                        <w:t xml:space="preserve"> the</w:t>
                      </w:r>
                      <w:r w:rsidRPr="001C37D7">
                        <w:rPr>
                          <w:rFonts w:cs="Arial"/>
                          <w:szCs w:val="20"/>
                        </w:rPr>
                        <w:t xml:space="preserve"> non-response due to the emigration of high</w:t>
                      </w:r>
                      <w:r>
                        <w:rPr>
                          <w:rFonts w:cs="Arial"/>
                          <w:szCs w:val="20"/>
                        </w:rPr>
                        <w:t>-</w:t>
                      </w:r>
                      <w:r w:rsidRPr="001C37D7">
                        <w:rPr>
                          <w:rFonts w:cs="Arial"/>
                          <w:szCs w:val="20"/>
                        </w:rPr>
                        <w:t>skilled young adults and the fact that many young people were not present at their registered place of residence</w:t>
                      </w:r>
                      <w:r>
                        <w:rPr>
                          <w:rFonts w:cs="Arial"/>
                          <w:szCs w:val="20"/>
                        </w:rPr>
                        <w:t xml:space="preserve"> at the time of the tests</w:t>
                      </w:r>
                      <w:r w:rsidRPr="001C37D7">
                        <w:rPr>
                          <w:rFonts w:cs="Arial"/>
                          <w:szCs w:val="20"/>
                        </w:rPr>
                        <w:t>, due to the fact that they live in university accommodation</w:t>
                      </w:r>
                      <w:r>
                        <w:rPr>
                          <w:rFonts w:cs="Arial"/>
                          <w:szCs w:val="20"/>
                        </w:rPr>
                        <w:t xml:space="preserve"> (but are registered at their parental home). </w:t>
                      </w:r>
                      <w:r w:rsidRPr="002D12F3">
                        <w:rPr>
                          <w:rFonts w:cs="Arial"/>
                          <w:szCs w:val="20"/>
                        </w:rPr>
                        <w:t>In spite of the use of weights to correct for this no</w:t>
                      </w:r>
                      <w:r>
                        <w:rPr>
                          <w:rFonts w:cs="Arial"/>
                          <w:szCs w:val="20"/>
                        </w:rPr>
                        <w:t xml:space="preserve">n-response issue, the sample is considered </w:t>
                      </w:r>
                      <w:r w:rsidRPr="002D12F3">
                        <w:rPr>
                          <w:rFonts w:cs="Arial"/>
                          <w:szCs w:val="20"/>
                        </w:rPr>
                        <w:t xml:space="preserve">to be </w:t>
                      </w:r>
                      <w:r>
                        <w:rPr>
                          <w:rFonts w:cs="Arial"/>
                          <w:szCs w:val="20"/>
                        </w:rPr>
                        <w:t>slightly</w:t>
                      </w:r>
                      <w:r w:rsidRPr="002D12F3">
                        <w:rPr>
                          <w:rFonts w:cs="Arial"/>
                          <w:szCs w:val="20"/>
                        </w:rPr>
                        <w:t xml:space="preserve"> downward</w:t>
                      </w:r>
                      <w:r>
                        <w:rPr>
                          <w:rFonts w:cs="Arial"/>
                          <w:szCs w:val="20"/>
                        </w:rPr>
                        <w:t>-</w:t>
                      </w:r>
                      <w:r w:rsidRPr="002D12F3">
                        <w:rPr>
                          <w:rFonts w:cs="Arial"/>
                          <w:szCs w:val="20"/>
                        </w:rPr>
                        <w:t>biased.</w:t>
                      </w:r>
                    </w:p>
                    <w:p w:rsidR="00394EBA" w:rsidRDefault="00394EBA" w:rsidP="002D12F3">
                      <w:pPr>
                        <w:spacing w:after="120" w:line="288" w:lineRule="auto"/>
                        <w:rPr>
                          <w:rFonts w:cs="Arial"/>
                          <w:szCs w:val="20"/>
                        </w:rPr>
                      </w:pPr>
                      <w:r>
                        <w:rPr>
                          <w:rFonts w:cs="Arial"/>
                          <w:szCs w:val="20"/>
                        </w:rPr>
                        <w:t>Other explanations named were:</w:t>
                      </w:r>
                    </w:p>
                    <w:p w:rsidR="00394EBA" w:rsidRDefault="00394EBA" w:rsidP="00F90C88">
                      <w:pPr>
                        <w:pStyle w:val="ListParagraph"/>
                        <w:numPr>
                          <w:ilvl w:val="0"/>
                          <w:numId w:val="43"/>
                        </w:numPr>
                        <w:spacing w:after="120" w:line="288" w:lineRule="auto"/>
                        <w:rPr>
                          <w:rFonts w:cs="Arial"/>
                          <w:szCs w:val="20"/>
                        </w:rPr>
                      </w:pPr>
                      <w:r>
                        <w:rPr>
                          <w:rFonts w:cs="Arial"/>
                          <w:szCs w:val="20"/>
                        </w:rPr>
                        <w:t>T</w:t>
                      </w:r>
                      <w:r w:rsidRPr="001C37D7">
                        <w:rPr>
                          <w:rFonts w:cs="Arial"/>
                          <w:szCs w:val="20"/>
                        </w:rPr>
                        <w:t>he strong focus of the Spanish education system on contents rather than competences. Policy</w:t>
                      </w:r>
                      <w:r>
                        <w:rPr>
                          <w:rFonts w:cs="Arial"/>
                          <w:szCs w:val="20"/>
                        </w:rPr>
                        <w:t>-</w:t>
                      </w:r>
                      <w:r w:rsidRPr="001C37D7">
                        <w:rPr>
                          <w:rFonts w:cs="Arial"/>
                          <w:szCs w:val="20"/>
                        </w:rPr>
                        <w:t xml:space="preserve">makers have introduced changes and new cohorts are benefiting from a different pedagogical framework since the introduction of the Bologna process. However, </w:t>
                      </w:r>
                      <w:r>
                        <w:rPr>
                          <w:rFonts w:cs="Arial"/>
                          <w:szCs w:val="20"/>
                        </w:rPr>
                        <w:t xml:space="preserve">certain </w:t>
                      </w:r>
                      <w:r w:rsidRPr="001C37D7">
                        <w:rPr>
                          <w:rFonts w:cs="Arial"/>
                          <w:szCs w:val="20"/>
                        </w:rPr>
                        <w:t>interviewees believe it is too soon to observe the effects of the la</w:t>
                      </w:r>
                      <w:r>
                        <w:rPr>
                          <w:rFonts w:cs="Arial"/>
                          <w:szCs w:val="20"/>
                        </w:rPr>
                        <w:t>test reform in higher education;</w:t>
                      </w:r>
                    </w:p>
                    <w:p w:rsidR="00394EBA" w:rsidRPr="001C37D7" w:rsidRDefault="00394EBA" w:rsidP="00F90C88">
                      <w:pPr>
                        <w:pStyle w:val="ListParagraph"/>
                        <w:numPr>
                          <w:ilvl w:val="0"/>
                          <w:numId w:val="43"/>
                        </w:numPr>
                        <w:spacing w:after="120" w:line="288" w:lineRule="auto"/>
                        <w:rPr>
                          <w:rFonts w:cs="Arial"/>
                          <w:szCs w:val="20"/>
                        </w:rPr>
                      </w:pPr>
                      <w:r>
                        <w:rPr>
                          <w:rFonts w:cs="Arial"/>
                          <w:szCs w:val="20"/>
                        </w:rPr>
                        <w:t>The difficulty</w:t>
                      </w:r>
                      <w:r w:rsidRPr="001C37D7">
                        <w:rPr>
                          <w:rFonts w:cs="Arial"/>
                          <w:szCs w:val="20"/>
                        </w:rPr>
                        <w:t xml:space="preserve"> for young people in Spain to maintain competences acquired in school when their labour market attachment is often weak, implying a fast deterioration of numeracy and literacy skills during spells of unemployment and inactivity (see Villar 2013, Jimeno, Lacuesta and Villanueva 2013). Even when employed, young people often experience low levels of investment in their human capital due to their often only temporary employment contracts (Cabrales, Dolado y Mora 2013)</w:t>
                      </w:r>
                      <w:r>
                        <w:rPr>
                          <w:rFonts w:cs="Arial"/>
                          <w:szCs w:val="20"/>
                        </w:rPr>
                        <w:t>;</w:t>
                      </w:r>
                    </w:p>
                    <w:p w:rsidR="00394EBA" w:rsidRPr="001C37D7" w:rsidRDefault="00394EBA" w:rsidP="00F90C88">
                      <w:pPr>
                        <w:pStyle w:val="ListParagraph"/>
                        <w:numPr>
                          <w:ilvl w:val="0"/>
                          <w:numId w:val="43"/>
                        </w:numPr>
                        <w:spacing w:after="120" w:line="288" w:lineRule="auto"/>
                        <w:rPr>
                          <w:rFonts w:cs="Arial"/>
                          <w:szCs w:val="20"/>
                        </w:rPr>
                      </w:pPr>
                      <w:r w:rsidRPr="001C37D7">
                        <w:rPr>
                          <w:rFonts w:cs="Arial"/>
                          <w:szCs w:val="20"/>
                        </w:rPr>
                        <w:t>The prevalence of early school leaving (Felguroso 2013</w:t>
                      </w:r>
                      <w:r>
                        <w:rPr>
                          <w:rFonts w:cs="Arial"/>
                          <w:szCs w:val="20"/>
                        </w:rPr>
                        <w:t>).</w:t>
                      </w:r>
                    </w:p>
                    <w:p w:rsidR="00394EBA" w:rsidRDefault="00394EBA" w:rsidP="002D12F3">
                      <w:pPr>
                        <w:rPr>
                          <w:color w:val="4F81BD" w:themeColor="accent1"/>
                          <w:szCs w:val="20"/>
                        </w:rPr>
                      </w:pPr>
                    </w:p>
                  </w:txbxContent>
                </v:textbox>
                <w10:anchorlock/>
              </v:rect>
            </w:pict>
          </mc:Fallback>
        </mc:AlternateContent>
      </w:r>
    </w:p>
    <w:p w:rsidR="00ED1867" w:rsidRPr="00CB46AB" w:rsidRDefault="00ED1867" w:rsidP="00ED1867">
      <w:pPr>
        <w:pStyle w:val="Caption"/>
        <w:rPr>
          <w:rFonts w:ascii="Verdana" w:hAnsi="Verdana"/>
          <w:b w:val="0"/>
          <w:i/>
          <w:sz w:val="16"/>
          <w:szCs w:val="16"/>
        </w:rPr>
      </w:pPr>
      <w:r w:rsidRPr="00CB46AB">
        <w:rPr>
          <w:rFonts w:ascii="Verdana" w:hAnsi="Verdana"/>
          <w:b w:val="0"/>
          <w:i/>
          <w:sz w:val="16"/>
          <w:szCs w:val="16"/>
        </w:rPr>
        <w:t>Note</w:t>
      </w:r>
      <w:r w:rsidR="00CB46AB">
        <w:rPr>
          <w:rFonts w:ascii="Verdana" w:hAnsi="Verdana"/>
          <w:b w:val="0"/>
          <w:i/>
          <w:sz w:val="16"/>
          <w:szCs w:val="16"/>
        </w:rPr>
        <w:t>s</w:t>
      </w:r>
      <w:r w:rsidRPr="00CB46AB">
        <w:rPr>
          <w:rFonts w:ascii="Verdana" w:hAnsi="Verdana"/>
          <w:b w:val="0"/>
          <w:i/>
          <w:sz w:val="16"/>
          <w:szCs w:val="16"/>
        </w:rPr>
        <w:t>: qualitative case study based on key informant interviews; the list of interviewees can be consulted in Annex II.</w:t>
      </w:r>
    </w:p>
    <w:p w:rsidR="00ED1867" w:rsidRDefault="00ED1867">
      <w:pPr>
        <w:jc w:val="left"/>
        <w:rPr>
          <w:rFonts w:cs="Arial"/>
          <w:b/>
          <w:bCs/>
          <w:color w:val="263673"/>
          <w:kern w:val="32"/>
          <w:sz w:val="28"/>
          <w:szCs w:val="32"/>
        </w:rPr>
      </w:pPr>
    </w:p>
    <w:p w:rsidR="00ED1867" w:rsidRDefault="00ED1867">
      <w:pPr>
        <w:jc w:val="left"/>
        <w:rPr>
          <w:rFonts w:cs="Arial"/>
          <w:b/>
          <w:bCs/>
          <w:color w:val="263673"/>
          <w:kern w:val="32"/>
          <w:sz w:val="28"/>
          <w:szCs w:val="32"/>
        </w:rPr>
      </w:pPr>
      <w:r>
        <w:br w:type="page"/>
      </w:r>
    </w:p>
    <w:p w:rsidR="002505F3" w:rsidRDefault="002524DF" w:rsidP="00363088">
      <w:pPr>
        <w:pStyle w:val="Heading1"/>
      </w:pPr>
      <w:bookmarkStart w:id="71" w:name="_Toc435802073"/>
      <w:r w:rsidRPr="002524DF">
        <w:t>4.</w:t>
      </w:r>
      <w:r>
        <w:t xml:space="preserve"> </w:t>
      </w:r>
      <w:r w:rsidR="002505F3">
        <w:t>Trends in educational attainment in Europe</w:t>
      </w:r>
      <w:bookmarkEnd w:id="71"/>
    </w:p>
    <w:p w:rsidR="005B7890" w:rsidRPr="000E4E30" w:rsidRDefault="005B7890" w:rsidP="000E4E30">
      <w:pPr>
        <w:spacing w:after="120" w:line="288" w:lineRule="auto"/>
        <w:rPr>
          <w:rFonts w:cs="Arial"/>
          <w:szCs w:val="20"/>
        </w:rPr>
      </w:pPr>
      <w:r w:rsidRPr="000E4E30">
        <w:t xml:space="preserve">Increasing educational attainment has traditionally been a key goal of EU education policy, as reflected in the </w:t>
      </w:r>
      <w:r w:rsidRPr="000E4E30">
        <w:rPr>
          <w:rFonts w:cs="Arial"/>
          <w:szCs w:val="20"/>
        </w:rPr>
        <w:t>Europe2020 strategy goals of reducing early school leaving to below 10% and ensuring that at least 40% of all 30-34 year olds attain a tertiary level qualific</w:t>
      </w:r>
      <w:r w:rsidR="00E9398D">
        <w:rPr>
          <w:rFonts w:cs="Arial"/>
          <w:szCs w:val="20"/>
        </w:rPr>
        <w:t>ation. This is based on the assumption that educational attainment is</w:t>
      </w:r>
      <w:r w:rsidRPr="000E4E30">
        <w:rPr>
          <w:rFonts w:cs="Arial"/>
          <w:szCs w:val="20"/>
        </w:rPr>
        <w:t xml:space="preserve"> not only a key determinant of individual labour market participation and employment, but also a determinant of </w:t>
      </w:r>
      <w:r w:rsidR="002505F3" w:rsidRPr="000E4E30">
        <w:rPr>
          <w:rFonts w:cs="Arial"/>
          <w:szCs w:val="20"/>
        </w:rPr>
        <w:t>an economy’s ability to satisfy the labour demand of increasingly knowledge-intensive economies and to effectively compete in the global market.</w:t>
      </w:r>
    </w:p>
    <w:p w:rsidR="005B7890" w:rsidRPr="000E4E30" w:rsidRDefault="00E072C4" w:rsidP="000E4E30">
      <w:pPr>
        <w:spacing w:after="120" w:line="288" w:lineRule="auto"/>
        <w:rPr>
          <w:rFonts w:cs="Arial"/>
          <w:szCs w:val="20"/>
        </w:rPr>
      </w:pPr>
      <w:r>
        <w:rPr>
          <w:rFonts w:cs="Arial"/>
          <w:szCs w:val="20"/>
        </w:rPr>
        <w:t>E</w:t>
      </w:r>
      <w:r w:rsidR="005B7890" w:rsidRPr="000E4E30">
        <w:rPr>
          <w:rFonts w:cs="Arial"/>
          <w:szCs w:val="20"/>
        </w:rPr>
        <w:t>ducational expansion policies in Europe</w:t>
      </w:r>
      <w:r w:rsidR="005F5ACB">
        <w:rPr>
          <w:rFonts w:cs="Arial"/>
          <w:szCs w:val="20"/>
        </w:rPr>
        <w:t xml:space="preserve"> and </w:t>
      </w:r>
      <w:r>
        <w:rPr>
          <w:rFonts w:cs="Arial"/>
          <w:szCs w:val="20"/>
        </w:rPr>
        <w:t xml:space="preserve">the </w:t>
      </w:r>
      <w:r w:rsidR="005F5ACB">
        <w:rPr>
          <w:rFonts w:cs="Arial"/>
          <w:szCs w:val="20"/>
        </w:rPr>
        <w:t>greater demand for qualifications</w:t>
      </w:r>
      <w:r w:rsidR="005B7890" w:rsidRPr="000E4E30">
        <w:rPr>
          <w:rFonts w:cs="Arial"/>
          <w:szCs w:val="20"/>
        </w:rPr>
        <w:t xml:space="preserve"> have enabled more people to achieve higher qualifications over the last decades. According to Eurostat data, the share of adults aged 3</w:t>
      </w:r>
      <w:r w:rsidR="005F5ACB">
        <w:rPr>
          <w:rFonts w:cs="Arial"/>
          <w:szCs w:val="20"/>
        </w:rPr>
        <w:t>0-34 having completed tertiary</w:t>
      </w:r>
      <w:r w:rsidR="005B7890" w:rsidRPr="000E4E30">
        <w:rPr>
          <w:rFonts w:cs="Arial"/>
          <w:szCs w:val="20"/>
        </w:rPr>
        <w:t xml:space="preserve"> education has increased from 23.6% in 2002 to 36.9% in 2013 in the EU. However, </w:t>
      </w:r>
      <w:r>
        <w:rPr>
          <w:rFonts w:cs="Arial"/>
          <w:szCs w:val="20"/>
        </w:rPr>
        <w:t>the degree to which</w:t>
      </w:r>
      <w:r w:rsidR="005B7890" w:rsidRPr="000E4E30">
        <w:rPr>
          <w:rFonts w:cs="Arial"/>
          <w:szCs w:val="20"/>
        </w:rPr>
        <w:t xml:space="preserve"> this educational expansion is accompanied by a similar increase in competences within the population</w:t>
      </w:r>
      <w:r>
        <w:rPr>
          <w:rFonts w:cs="Arial"/>
          <w:szCs w:val="20"/>
        </w:rPr>
        <w:t xml:space="preserve"> has been questioned</w:t>
      </w:r>
      <w:r w:rsidR="005B7890" w:rsidRPr="000E4E30">
        <w:rPr>
          <w:rFonts w:cs="Arial"/>
          <w:szCs w:val="20"/>
        </w:rPr>
        <w:t>.</w:t>
      </w:r>
      <w:r w:rsidR="00D9745B" w:rsidRPr="000E4E30">
        <w:rPr>
          <w:rFonts w:cs="Arial"/>
          <w:szCs w:val="20"/>
        </w:rPr>
        <w:t xml:space="preserve"> </w:t>
      </w:r>
      <w:r w:rsidR="005B7890" w:rsidRPr="000E4E30">
        <w:rPr>
          <w:rFonts w:cs="Arial"/>
          <w:szCs w:val="20"/>
        </w:rPr>
        <w:t xml:space="preserve">This chapter offers an overview of educational expansion across Europe over the past decades and analyses </w:t>
      </w:r>
      <w:r>
        <w:rPr>
          <w:rFonts w:cs="Arial"/>
          <w:szCs w:val="20"/>
        </w:rPr>
        <w:t>whether</w:t>
      </w:r>
      <w:r w:rsidR="005B7890" w:rsidRPr="000E4E30">
        <w:rPr>
          <w:rFonts w:cs="Arial"/>
          <w:szCs w:val="20"/>
        </w:rPr>
        <w:t xml:space="preserve"> this expansion has been accompanied by a similar increase in competences.</w:t>
      </w:r>
    </w:p>
    <w:p w:rsidR="002505F3" w:rsidRPr="00EB1A32" w:rsidRDefault="005B7890" w:rsidP="000E4E30">
      <w:pPr>
        <w:spacing w:after="120" w:line="288" w:lineRule="auto"/>
        <w:rPr>
          <w:rFonts w:cs="Arial"/>
          <w:szCs w:val="20"/>
          <w:vertAlign w:val="superscript"/>
        </w:rPr>
      </w:pPr>
      <w:r w:rsidRPr="005B7890">
        <w:rPr>
          <w:rFonts w:cs="Arial"/>
          <w:noProof/>
          <w:szCs w:val="20"/>
          <w:lang w:val="en-US" w:eastAsia="en-US"/>
        </w:rPr>
        <mc:AlternateContent>
          <mc:Choice Requires="wps">
            <w:drawing>
              <wp:inline distT="0" distB="0" distL="0" distR="0" wp14:anchorId="3679B108" wp14:editId="75893E8B">
                <wp:extent cx="5580000" cy="4940490"/>
                <wp:effectExtent l="38100" t="38100" r="135255" b="127000"/>
                <wp:docPr id="54"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4940490"/>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5B7890">
                            <w:pPr>
                              <w:jc w:val="center"/>
                              <w:rPr>
                                <w:b/>
                              </w:rPr>
                            </w:pPr>
                            <w:r w:rsidRPr="00EB1A32">
                              <w:rPr>
                                <w:b/>
                              </w:rPr>
                              <w:t>Key findings</w:t>
                            </w:r>
                          </w:p>
                          <w:p w:rsidR="00394EBA" w:rsidRDefault="00394EBA" w:rsidP="005B7890">
                            <w:pPr>
                              <w:jc w:val="center"/>
                              <w:rPr>
                                <w:b/>
                              </w:rPr>
                            </w:pPr>
                          </w:p>
                          <w:p w:rsidR="00394EBA" w:rsidRDefault="00394EBA" w:rsidP="005B7890">
                            <w:pPr>
                              <w:pStyle w:val="ListParagraph"/>
                              <w:spacing w:after="120" w:line="288" w:lineRule="auto"/>
                              <w:ind w:left="357" w:hanging="357"/>
                            </w:pPr>
                            <w:r>
                              <w:t>According to European Labour Force data, there has been a strong expansion of educational attainment in the EU-28 in the past 40 years. The share of people aged 25-34 with tertiary attainment is 15.8 percentage points higher than amongst the 55-64 age cohort. At the same time, the share of those with only lower secondary attainment is 16 percentage points lower in the youngest age group.</w:t>
                            </w:r>
                          </w:p>
                          <w:p w:rsidR="00394EBA" w:rsidRDefault="00394EBA" w:rsidP="005B7890">
                            <w:pPr>
                              <w:pStyle w:val="ListParagraph"/>
                              <w:spacing w:after="120" w:line="288" w:lineRule="auto"/>
                              <w:ind w:left="357" w:hanging="357"/>
                            </w:pPr>
                            <w:r>
                              <w:t>However, there are large differences between Member States. While the share of young people aged 25-34 with tertiary degrees is nearly 30 percentage points higher in Poland than in the 55-64, it is only 3 percentage points higher in Germany. This shows that countries have experienced varying levels of educational expansion in the last 40 years.</w:t>
                            </w:r>
                          </w:p>
                          <w:p w:rsidR="00394EBA" w:rsidRPr="001738E3" w:rsidRDefault="00394EBA" w:rsidP="005B7890">
                            <w:pPr>
                              <w:pStyle w:val="ListParagraph"/>
                              <w:spacing w:after="120" w:line="288" w:lineRule="auto"/>
                              <w:ind w:left="357" w:hanging="357"/>
                            </w:pPr>
                            <w:r>
                              <w:t>There is no evidence that educational expansion</w:t>
                            </w:r>
                            <w:r w:rsidRPr="001738E3">
                              <w:t xml:space="preserve"> is accompanied by a similar increase in competences. Comparing literacy competences of young adults in the mid</w:t>
                            </w:r>
                            <w:r>
                              <w:t>-</w:t>
                            </w:r>
                            <w:r w:rsidRPr="001738E3">
                              <w:t xml:space="preserve">1990s with those of young people 15 years later using </w:t>
                            </w:r>
                            <w:r>
                              <w:t>International Adult Literacy Survey (</w:t>
                            </w:r>
                            <w:r w:rsidRPr="001738E3">
                              <w:t>IALS</w:t>
                            </w:r>
                            <w:r>
                              <w:t>)</w:t>
                            </w:r>
                            <w:r w:rsidRPr="001738E3">
                              <w:t xml:space="preserve"> and PIAAC data, we show that most countries do not display a significant change of average literacy competence in this time period. In three countries - Belgium, Denmark and Sweden - average competences even significantly deteriorate in this time period. Only in Poland</w:t>
                            </w:r>
                            <w:r>
                              <w:t>, where substantial educational expansion took place,</w:t>
                            </w:r>
                            <w:r w:rsidRPr="001738E3">
                              <w:t xml:space="preserve"> can we observe significantly improved literacy competences of the 20-34 age cohorts.</w:t>
                            </w:r>
                          </w:p>
                          <w:p w:rsidR="00394EBA" w:rsidRDefault="00394EBA">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3679B108" id="_x0000_s1039" style="width:439.35pt;height:389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" fillcolor="#c6d9f1 [671]" strokecolor="gray [1629]" strokeweight="1.5pt">
                <v:shadow on="t" type="perspective" color="black" opacity="26214f" origin="-.5,-.5" offset=".74836mm,.74836mm" matrix="65864f,,,65864f"/>
                <v:textbox inset="21.6pt,21.6pt,21.6pt,21.6pt">
                  <w:txbxContent>
                    <w:p w:rsidR="00394EBA" w:rsidRDefault="00394EBA" w:rsidP="005B7890">
                      <w:pPr>
                        <w:jc w:val="center"/>
                        <w:rPr>
                          <w:b/>
                        </w:rPr>
                      </w:pPr>
                      <w:r w:rsidRPr="00EB1A32">
                        <w:rPr>
                          <w:b/>
                        </w:rPr>
                        <w:t>Key findings</w:t>
                      </w:r>
                    </w:p>
                    <w:p w:rsidR="00394EBA" w:rsidRDefault="00394EBA" w:rsidP="005B7890">
                      <w:pPr>
                        <w:jc w:val="center"/>
                        <w:rPr>
                          <w:b/>
                        </w:rPr>
                      </w:pPr>
                    </w:p>
                    <w:p w:rsidR="00394EBA" w:rsidRDefault="00394EBA" w:rsidP="005B7890">
                      <w:pPr>
                        <w:pStyle w:val="ListParagraph"/>
                        <w:spacing w:after="120" w:line="288" w:lineRule="auto"/>
                        <w:ind w:left="357" w:hanging="357"/>
                      </w:pPr>
                      <w:r>
                        <w:t>According to European Labour Force data, there has been a strong expansion of educational attainment in the EU-28 in the past 40 years. The share of people aged 25-34 with tertiary attainment is 15.8 percentage points higher than amongst the 55-64 age cohort. At the same time, the share of those with only lower secondary attainment is 16 percentage points lower in the youngest age group.</w:t>
                      </w:r>
                    </w:p>
                    <w:p w:rsidR="00394EBA" w:rsidRDefault="00394EBA" w:rsidP="005B7890">
                      <w:pPr>
                        <w:pStyle w:val="ListParagraph"/>
                        <w:spacing w:after="120" w:line="288" w:lineRule="auto"/>
                        <w:ind w:left="357" w:hanging="357"/>
                      </w:pPr>
                      <w:r>
                        <w:t>However, there are large differences between Member States. While the share of young people aged 25-34 with tertiary degrees is nearly 30 percentage points higher in Poland than in the 55-64, it is only 3 percentage points higher in Germany. This shows that countries have experienced varying levels of educational expansion in the last 40 years.</w:t>
                      </w:r>
                    </w:p>
                    <w:p w:rsidR="00394EBA" w:rsidRPr="001738E3" w:rsidRDefault="00394EBA" w:rsidP="005B7890">
                      <w:pPr>
                        <w:pStyle w:val="ListParagraph"/>
                        <w:spacing w:after="120" w:line="288" w:lineRule="auto"/>
                        <w:ind w:left="357" w:hanging="357"/>
                      </w:pPr>
                      <w:r>
                        <w:t>There is no evidence that educational expansion</w:t>
                      </w:r>
                      <w:r w:rsidRPr="001738E3">
                        <w:t xml:space="preserve"> is accompanied by a similar increase in competences. Comparing literacy competences of young adults in the mid</w:t>
                      </w:r>
                      <w:r>
                        <w:t>-</w:t>
                      </w:r>
                      <w:r w:rsidRPr="001738E3">
                        <w:t xml:space="preserve">1990s with those of young people 15 years later using </w:t>
                      </w:r>
                      <w:r>
                        <w:t>International Adult Literacy Survey (</w:t>
                      </w:r>
                      <w:r w:rsidRPr="001738E3">
                        <w:t>IALS</w:t>
                      </w:r>
                      <w:r>
                        <w:t>)</w:t>
                      </w:r>
                      <w:r w:rsidRPr="001738E3">
                        <w:t xml:space="preserve"> and PIAAC data, we show that most countries do not display a significant change of average literacy competence in this time period. In three countries - Belgium, Denmark and Sweden - average competences even significantly deteriorate in this time period. Only in Poland</w:t>
                      </w:r>
                      <w:r>
                        <w:t>, where substantial educational expansion took place,</w:t>
                      </w:r>
                      <w:r w:rsidRPr="001738E3">
                        <w:t xml:space="preserve"> can we observe significantly improved literacy competences of the 20-34 age cohorts.</w:t>
                      </w:r>
                    </w:p>
                    <w:p w:rsidR="00394EBA" w:rsidRDefault="00394EBA">
                      <w:pPr>
                        <w:rPr>
                          <w:color w:val="4F81BD" w:themeColor="accent1"/>
                          <w:szCs w:val="20"/>
                        </w:rPr>
                      </w:pPr>
                    </w:p>
                  </w:txbxContent>
                </v:textbox>
                <w10:anchorlock/>
              </v:rect>
            </w:pict>
          </mc:Fallback>
        </mc:AlternateContent>
      </w:r>
      <w:r w:rsidR="002505F3" w:rsidRPr="004F7DD2">
        <w:rPr>
          <w:rFonts w:cs="Arial"/>
          <w:szCs w:val="20"/>
        </w:rPr>
        <w:t xml:space="preserve"> </w:t>
      </w:r>
    </w:p>
    <w:p w:rsidR="00D9745B" w:rsidRPr="0037444D" w:rsidRDefault="002524DF" w:rsidP="00651009">
      <w:pPr>
        <w:pStyle w:val="Heading2"/>
      </w:pPr>
      <w:bookmarkStart w:id="72" w:name="_Toc435802074"/>
      <w:r>
        <w:t xml:space="preserve">4.1 </w:t>
      </w:r>
      <w:r w:rsidR="00D9745B">
        <w:t>Educational</w:t>
      </w:r>
      <w:r w:rsidR="00D9745B" w:rsidRPr="0037444D">
        <w:t xml:space="preserve"> expansion </w:t>
      </w:r>
      <w:r w:rsidR="00D9745B">
        <w:t>at EU-28 level</w:t>
      </w:r>
      <w:bookmarkEnd w:id="72"/>
    </w:p>
    <w:p w:rsidR="002505F3" w:rsidRPr="001738E3" w:rsidRDefault="0037444D" w:rsidP="000E4E30">
      <w:pPr>
        <w:spacing w:after="120" w:line="288" w:lineRule="auto"/>
        <w:rPr>
          <w:rFonts w:cs="Arial"/>
          <w:szCs w:val="20"/>
        </w:rPr>
      </w:pPr>
      <w:r>
        <w:rPr>
          <w:rFonts w:cs="Arial"/>
          <w:szCs w:val="20"/>
        </w:rPr>
        <w:t>To illustrate the extent of educational expansion in Europe over the last decades, this analysis uses European Labour Force Survey</w:t>
      </w:r>
      <w:r w:rsidR="0051512A">
        <w:rPr>
          <w:rFonts w:cs="Arial"/>
          <w:szCs w:val="20"/>
        </w:rPr>
        <w:t xml:space="preserve"> (EULFS)</w:t>
      </w:r>
      <w:r>
        <w:rPr>
          <w:rFonts w:cs="Arial"/>
          <w:szCs w:val="20"/>
        </w:rPr>
        <w:t xml:space="preserve"> data. It compares</w:t>
      </w:r>
      <w:r w:rsidR="00E24783">
        <w:rPr>
          <w:rFonts w:cs="Arial"/>
          <w:szCs w:val="20"/>
        </w:rPr>
        <w:t xml:space="preserve"> levels of</w:t>
      </w:r>
      <w:r>
        <w:rPr>
          <w:rFonts w:cs="Arial"/>
          <w:szCs w:val="20"/>
        </w:rPr>
        <w:t xml:space="preserve"> educational attainment of different age cohorts across and between countries. </w:t>
      </w:r>
      <w:r w:rsidR="002505F3" w:rsidRPr="003562E5">
        <w:rPr>
          <w:rFonts w:cs="Arial"/>
          <w:szCs w:val="20"/>
        </w:rPr>
        <w:t>Educational attainment refers to the highest level of education successfully completed by an individual and validated through a recognised qualification/credential</w:t>
      </w:r>
      <w:r w:rsidR="002505F3" w:rsidRPr="005F5ACB">
        <w:rPr>
          <w:vertAlign w:val="superscript"/>
        </w:rPr>
        <w:footnoteReference w:id="4"/>
      </w:r>
      <w:r w:rsidR="002505F3" w:rsidRPr="003562E5">
        <w:rPr>
          <w:rFonts w:cs="Arial"/>
          <w:szCs w:val="20"/>
        </w:rPr>
        <w:t xml:space="preserve">. Using Eurostat </w:t>
      </w:r>
      <w:r w:rsidR="002505F3" w:rsidRPr="001738E3">
        <w:rPr>
          <w:rFonts w:cs="Arial"/>
          <w:szCs w:val="20"/>
        </w:rPr>
        <w:t>data, the highest level of education follows the ISCED 2011 classification and has been recoded into three broad categories</w:t>
      </w:r>
      <w:r w:rsidR="002505F3" w:rsidRPr="005F5ACB">
        <w:rPr>
          <w:vertAlign w:val="superscript"/>
        </w:rPr>
        <w:footnoteReference w:id="5"/>
      </w:r>
      <w:r w:rsidR="002505F3" w:rsidRPr="001738E3">
        <w:rPr>
          <w:rFonts w:cs="Arial"/>
          <w:szCs w:val="20"/>
        </w:rPr>
        <w:t>:</w:t>
      </w:r>
    </w:p>
    <w:p w:rsidR="00E639C9" w:rsidRPr="00E639C9" w:rsidRDefault="002505F3" w:rsidP="00E639C9">
      <w:pPr>
        <w:pStyle w:val="ListParagraph"/>
        <w:numPr>
          <w:ilvl w:val="0"/>
          <w:numId w:val="24"/>
        </w:numPr>
        <w:spacing w:after="120" w:line="288" w:lineRule="auto"/>
        <w:rPr>
          <w:rFonts w:cs="Arial"/>
          <w:szCs w:val="20"/>
        </w:rPr>
      </w:pPr>
      <w:r w:rsidRPr="003562E5">
        <w:rPr>
          <w:rFonts w:cs="Arial"/>
          <w:szCs w:val="20"/>
        </w:rPr>
        <w:t>Lower secondary education attainment includes ISCED levels 0, 1 and 2, i.e. those who have attained at most lower secondary education, including those with highest educational attainment of less than primary and primary education</w:t>
      </w:r>
      <w:r w:rsidR="00E072C4" w:rsidRPr="005F5ACB">
        <w:rPr>
          <w:vertAlign w:val="superscript"/>
        </w:rPr>
        <w:footnoteReference w:id="6"/>
      </w:r>
      <w:r w:rsidRPr="003562E5">
        <w:rPr>
          <w:rFonts w:cs="Arial"/>
          <w:szCs w:val="20"/>
        </w:rPr>
        <w:t>.</w:t>
      </w:r>
      <w:r w:rsidRPr="005F5ACB">
        <w:rPr>
          <w:rFonts w:cs="Arial"/>
          <w:szCs w:val="20"/>
          <w:vertAlign w:val="superscript"/>
        </w:rPr>
        <w:t xml:space="preserve"> </w:t>
      </w:r>
    </w:p>
    <w:p w:rsidR="002505F3" w:rsidRPr="00E639C9" w:rsidRDefault="002505F3" w:rsidP="00E639C9">
      <w:pPr>
        <w:pStyle w:val="ListParagraph"/>
        <w:numPr>
          <w:ilvl w:val="0"/>
          <w:numId w:val="24"/>
        </w:numPr>
        <w:spacing w:after="120" w:line="288" w:lineRule="auto"/>
        <w:rPr>
          <w:rFonts w:cs="Arial"/>
          <w:szCs w:val="20"/>
        </w:rPr>
      </w:pPr>
      <w:r w:rsidRPr="00E639C9">
        <w:rPr>
          <w:rFonts w:cs="Arial"/>
          <w:szCs w:val="20"/>
        </w:rPr>
        <w:t>Upper secondary</w:t>
      </w:r>
      <w:r w:rsidR="0037444D" w:rsidRPr="00E639C9">
        <w:rPr>
          <w:rFonts w:cs="Arial"/>
          <w:szCs w:val="20"/>
        </w:rPr>
        <w:t xml:space="preserve"> and post-seco</w:t>
      </w:r>
      <w:r w:rsidR="00DA3A94" w:rsidRPr="00E639C9">
        <w:rPr>
          <w:rFonts w:cs="Arial"/>
          <w:szCs w:val="20"/>
        </w:rPr>
        <w:t>ndary/non-</w:t>
      </w:r>
      <w:r w:rsidR="0037444D" w:rsidRPr="00E639C9">
        <w:rPr>
          <w:rFonts w:cs="Arial"/>
          <w:szCs w:val="20"/>
        </w:rPr>
        <w:t>tertiary</w:t>
      </w:r>
      <w:r w:rsidRPr="00E639C9">
        <w:rPr>
          <w:rFonts w:cs="Arial"/>
          <w:szCs w:val="20"/>
        </w:rPr>
        <w:t xml:space="preserve"> education attainment includes ISCED levels 3 and 4, i.e. any educational programmes at upper secondary and post-secondary non-tertiary education</w:t>
      </w:r>
      <w:r w:rsidR="00E072C4" w:rsidRPr="005F5ACB">
        <w:rPr>
          <w:vertAlign w:val="superscript"/>
        </w:rPr>
        <w:footnoteReference w:id="7"/>
      </w:r>
      <w:r w:rsidRPr="0012655F">
        <w:rPr>
          <w:rFonts w:cs="Arial"/>
          <w:szCs w:val="20"/>
        </w:rPr>
        <w:t>.</w:t>
      </w:r>
    </w:p>
    <w:p w:rsidR="002E793E" w:rsidRPr="003562E5" w:rsidRDefault="002505F3" w:rsidP="00A05A88">
      <w:pPr>
        <w:pStyle w:val="ListParagraph"/>
        <w:numPr>
          <w:ilvl w:val="0"/>
          <w:numId w:val="24"/>
        </w:numPr>
        <w:spacing w:after="120" w:line="288" w:lineRule="auto"/>
        <w:rPr>
          <w:rFonts w:cs="Arial"/>
          <w:szCs w:val="20"/>
        </w:rPr>
      </w:pPr>
      <w:r w:rsidRPr="003562E5">
        <w:rPr>
          <w:rFonts w:cs="Arial"/>
          <w:szCs w:val="20"/>
        </w:rPr>
        <w:t>Tertiary education attainment includes ISCED levels 5, 6, 7 and 8, i.e. short-cycle tertiary, bachelor, master and doctoral degrees or equivalent</w:t>
      </w:r>
      <w:r w:rsidR="00E072C4" w:rsidRPr="00DD3484">
        <w:rPr>
          <w:vertAlign w:val="superscript"/>
        </w:rPr>
        <w:footnoteReference w:id="8"/>
      </w:r>
      <w:r w:rsidRPr="003562E5">
        <w:rPr>
          <w:rFonts w:cs="Arial"/>
          <w:szCs w:val="20"/>
        </w:rPr>
        <w:t xml:space="preserve">. </w:t>
      </w:r>
    </w:p>
    <w:p w:rsidR="00C62228" w:rsidRPr="00C27743" w:rsidRDefault="00E24783" w:rsidP="000E4E30">
      <w:pPr>
        <w:spacing w:after="120" w:line="288" w:lineRule="auto"/>
        <w:rPr>
          <w:rFonts w:cs="Arial"/>
          <w:szCs w:val="20"/>
        </w:rPr>
      </w:pPr>
      <w:r>
        <w:rPr>
          <w:rFonts w:cs="Arial"/>
          <w:szCs w:val="20"/>
        </w:rPr>
        <w:t xml:space="preserve">In the last 40 years, each age cohort across Europe displayed increasing </w:t>
      </w:r>
      <w:r w:rsidRPr="001738E3">
        <w:rPr>
          <w:rFonts w:cs="Arial"/>
          <w:szCs w:val="20"/>
        </w:rPr>
        <w:t>rates of tertiary attai</w:t>
      </w:r>
      <w:r w:rsidRPr="00C27743">
        <w:rPr>
          <w:rFonts w:cs="Arial"/>
          <w:szCs w:val="20"/>
        </w:rPr>
        <w:t xml:space="preserve">nment and decreasing rates of lower secondary attainment, indicating a general trend towards higher educational attainment (see </w:t>
      </w:r>
      <w:r w:rsidR="00E072C4">
        <w:rPr>
          <w:rFonts w:cs="Arial"/>
          <w:szCs w:val="20"/>
        </w:rPr>
        <w:t>F</w:t>
      </w:r>
      <w:r w:rsidRPr="00C27743">
        <w:rPr>
          <w:rFonts w:cs="Arial"/>
          <w:szCs w:val="20"/>
        </w:rPr>
        <w:t>igure 4.1 below)</w:t>
      </w:r>
      <w:r w:rsidR="002505F3" w:rsidRPr="00C27743">
        <w:rPr>
          <w:rFonts w:cs="Arial"/>
          <w:szCs w:val="20"/>
        </w:rPr>
        <w:t xml:space="preserve">. </w:t>
      </w:r>
    </w:p>
    <w:p w:rsidR="002505F3" w:rsidRPr="00C27743" w:rsidRDefault="002505F3" w:rsidP="000E4E30">
      <w:pPr>
        <w:pStyle w:val="Caption"/>
        <w:spacing w:before="0" w:after="120" w:line="288" w:lineRule="auto"/>
        <w:jc w:val="left"/>
        <w:rPr>
          <w:rFonts w:ascii="Verdana" w:hAnsi="Verdana"/>
          <w:b w:val="0"/>
          <w:sz w:val="20"/>
        </w:rPr>
      </w:pPr>
      <w:r w:rsidRPr="00C27743">
        <w:rPr>
          <w:rFonts w:ascii="Verdana" w:hAnsi="Verdana"/>
          <w:b w:val="0"/>
          <w:color w:val="1F497D" w:themeColor="text2"/>
          <w:sz w:val="20"/>
        </w:rPr>
        <w:t xml:space="preserve">Figure </w:t>
      </w:r>
      <w:r w:rsidR="00363088">
        <w:rPr>
          <w:rFonts w:ascii="Verdana" w:hAnsi="Verdana"/>
          <w:b w:val="0"/>
          <w:color w:val="1F497D" w:themeColor="text2"/>
          <w:sz w:val="20"/>
        </w:rPr>
        <w:t>4.1</w:t>
      </w:r>
      <w:r w:rsidRPr="00C27743">
        <w:rPr>
          <w:rFonts w:ascii="Verdana" w:hAnsi="Verdana"/>
          <w:b w:val="0"/>
          <w:color w:val="1F497D" w:themeColor="text2"/>
          <w:sz w:val="20"/>
        </w:rPr>
        <w:t xml:space="preserve"> Highest educational attainment by age cohort for all EU-28 countries in 2014 (%)</w:t>
      </w:r>
    </w:p>
    <w:p w:rsidR="002505F3" w:rsidRPr="005936AE" w:rsidRDefault="00140671" w:rsidP="000E4E30">
      <w:pPr>
        <w:spacing w:after="120" w:line="288" w:lineRule="auto"/>
        <w:rPr>
          <w:rFonts w:cs="Arial"/>
          <w:sz w:val="16"/>
          <w:szCs w:val="16"/>
        </w:rPr>
      </w:pPr>
      <w:r>
        <w:rPr>
          <w:noProof/>
          <w:lang w:val="en-US" w:eastAsia="en-US"/>
        </w:rPr>
        <w:drawing>
          <wp:inline distT="0" distB="0" distL="0" distR="0" wp14:anchorId="2D315501" wp14:editId="5896E09A">
            <wp:extent cx="5580000" cy="2635200"/>
            <wp:effectExtent l="0" t="0" r="1905" b="0"/>
            <wp:docPr id="288" name="Chart 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505F3" w:rsidRPr="00621E45" w:rsidRDefault="002505F3" w:rsidP="000E4E30">
      <w:pPr>
        <w:spacing w:after="120" w:line="288" w:lineRule="auto"/>
        <w:jc w:val="left"/>
        <w:rPr>
          <w:rFonts w:cs="Arial"/>
          <w:i/>
          <w:sz w:val="16"/>
          <w:szCs w:val="16"/>
        </w:rPr>
      </w:pPr>
      <w:r w:rsidRPr="00621E45">
        <w:rPr>
          <w:rFonts w:cs="Arial"/>
          <w:i/>
          <w:sz w:val="16"/>
          <w:szCs w:val="16"/>
        </w:rPr>
        <w:t>Notes: European Labour Force Survey, own illustration based on Eurostat data, edat_lfse_05, edat_lfse_06, edat_lfse_07, accessed 21.05.2015</w:t>
      </w:r>
    </w:p>
    <w:p w:rsidR="00E9398D" w:rsidRDefault="00E072C4" w:rsidP="000E4E30">
      <w:pPr>
        <w:spacing w:after="120" w:line="288" w:lineRule="auto"/>
        <w:rPr>
          <w:rFonts w:cs="Arial"/>
          <w:szCs w:val="20"/>
        </w:rPr>
      </w:pPr>
      <w:r>
        <w:rPr>
          <w:rFonts w:cs="Arial"/>
          <w:szCs w:val="20"/>
        </w:rPr>
        <w:t>In 2014, w</w:t>
      </w:r>
      <w:r w:rsidR="0037444D" w:rsidRPr="000E4E30">
        <w:rPr>
          <w:rFonts w:cs="Arial"/>
          <w:szCs w:val="20"/>
        </w:rPr>
        <w:t xml:space="preserve">hile </w:t>
      </w:r>
      <w:r w:rsidR="00E9398D">
        <w:rPr>
          <w:rFonts w:cs="Arial"/>
          <w:szCs w:val="20"/>
        </w:rPr>
        <w:t xml:space="preserve">only 21.3% of 55-64 year olds and 25.3% of 45-54 years olds hold a tertiary degree, </w:t>
      </w:r>
      <w:r w:rsidR="00E9398D" w:rsidRPr="000E4E30">
        <w:rPr>
          <w:rFonts w:cs="Arial"/>
          <w:szCs w:val="20"/>
        </w:rPr>
        <w:t>33.4% of adults aged 35-44</w:t>
      </w:r>
      <w:r w:rsidR="00E9398D">
        <w:rPr>
          <w:rFonts w:cs="Arial"/>
          <w:szCs w:val="20"/>
        </w:rPr>
        <w:t xml:space="preserve"> and </w:t>
      </w:r>
      <w:r w:rsidR="0037444D" w:rsidRPr="000E4E30">
        <w:rPr>
          <w:rFonts w:cs="Arial"/>
          <w:szCs w:val="20"/>
        </w:rPr>
        <w:t>37.2% of adults aged 25-34</w:t>
      </w:r>
      <w:r w:rsidR="00E9398D">
        <w:rPr>
          <w:rFonts w:cs="Arial"/>
          <w:szCs w:val="20"/>
        </w:rPr>
        <w:t xml:space="preserve"> </w:t>
      </w:r>
      <w:r>
        <w:rPr>
          <w:rFonts w:cs="Arial"/>
          <w:szCs w:val="20"/>
        </w:rPr>
        <w:t>have achieved this level of attainment</w:t>
      </w:r>
      <w:r w:rsidR="00E9398D">
        <w:rPr>
          <w:rFonts w:cs="Arial"/>
          <w:szCs w:val="20"/>
        </w:rPr>
        <w:t>.</w:t>
      </w:r>
      <w:r w:rsidR="0037444D" w:rsidRPr="000E4E30">
        <w:rPr>
          <w:rFonts w:cs="Arial"/>
          <w:szCs w:val="20"/>
        </w:rPr>
        <w:t xml:space="preserve"> </w:t>
      </w:r>
    </w:p>
    <w:p w:rsidR="0037444D" w:rsidRPr="000E4E30" w:rsidRDefault="0037444D" w:rsidP="000E4E30">
      <w:pPr>
        <w:spacing w:after="120" w:line="288" w:lineRule="auto"/>
        <w:rPr>
          <w:rFonts w:cs="Arial"/>
          <w:szCs w:val="20"/>
        </w:rPr>
      </w:pPr>
      <w:r w:rsidRPr="000E4E30">
        <w:rPr>
          <w:rFonts w:cs="Arial"/>
          <w:szCs w:val="20"/>
        </w:rPr>
        <w:t>Conversely, the share of people with only lower secondary attainment has decreased over the last decades, with 16.9% of the 25-34 age cohort achieving at most lower secondary qualifications compared to 33.0% amongst the 55-64 age cohort.</w:t>
      </w:r>
      <w:r w:rsidR="008E4735">
        <w:rPr>
          <w:rFonts w:cs="Arial"/>
          <w:szCs w:val="20"/>
        </w:rPr>
        <w:t xml:space="preserve"> </w:t>
      </w:r>
    </w:p>
    <w:p w:rsidR="00DA11CC" w:rsidRPr="00DA11CC" w:rsidRDefault="002505F3" w:rsidP="000E4E30">
      <w:pPr>
        <w:spacing w:after="120" w:line="288" w:lineRule="auto"/>
        <w:rPr>
          <w:rFonts w:cs="Arial"/>
          <w:szCs w:val="20"/>
        </w:rPr>
      </w:pPr>
      <w:r w:rsidRPr="000E4E30">
        <w:rPr>
          <w:rFonts w:cs="Arial"/>
          <w:szCs w:val="20"/>
        </w:rPr>
        <w:t>The percentage of people with at most upper secondary</w:t>
      </w:r>
      <w:r w:rsidR="00E9398D">
        <w:rPr>
          <w:rFonts w:cs="Arial"/>
          <w:szCs w:val="20"/>
        </w:rPr>
        <w:t xml:space="preserve"> and post-secondary/</w:t>
      </w:r>
      <w:r w:rsidR="005C383B" w:rsidRPr="000E4E30">
        <w:rPr>
          <w:rFonts w:cs="Arial"/>
          <w:szCs w:val="20"/>
        </w:rPr>
        <w:t>non-tertiary</w:t>
      </w:r>
      <w:r w:rsidRPr="000E4E30">
        <w:rPr>
          <w:rFonts w:cs="Arial"/>
          <w:szCs w:val="20"/>
        </w:rPr>
        <w:t xml:space="preserve"> education remains relatively stable across the four age cohorts. This may be due to the fact that two simultaneous developments influence the share of those holding at most upper secondary </w:t>
      </w:r>
      <w:r w:rsidR="00E072C4">
        <w:rPr>
          <w:rFonts w:cs="Arial"/>
          <w:szCs w:val="20"/>
        </w:rPr>
        <w:t>qualifications</w:t>
      </w:r>
      <w:r w:rsidR="0012655F">
        <w:rPr>
          <w:rFonts w:cs="Arial"/>
          <w:szCs w:val="20"/>
        </w:rPr>
        <w:t>/post-secondary non-tertiary</w:t>
      </w:r>
      <w:r w:rsidR="00E072C4">
        <w:rPr>
          <w:rFonts w:cs="Arial"/>
          <w:szCs w:val="20"/>
        </w:rPr>
        <w:t>. O</w:t>
      </w:r>
      <w:r w:rsidRPr="000E4E30">
        <w:rPr>
          <w:rFonts w:cs="Arial"/>
          <w:szCs w:val="20"/>
        </w:rPr>
        <w:t xml:space="preserve">n the one hand, people who </w:t>
      </w:r>
      <w:r w:rsidR="00E072C4">
        <w:rPr>
          <w:rFonts w:cs="Arial"/>
          <w:szCs w:val="20"/>
        </w:rPr>
        <w:t xml:space="preserve">would </w:t>
      </w:r>
      <w:r w:rsidRPr="000E4E30">
        <w:rPr>
          <w:rFonts w:cs="Arial"/>
          <w:szCs w:val="20"/>
        </w:rPr>
        <w:t>have previously obtained upper secondary qualifications move up to achieve tertiary qualifications and hence lower the share of upper secondary</w:t>
      </w:r>
      <w:r w:rsidR="005C383B" w:rsidRPr="000E4E30">
        <w:rPr>
          <w:rFonts w:cs="Arial"/>
          <w:szCs w:val="20"/>
        </w:rPr>
        <w:t xml:space="preserve"> and post-secondary non-tertiary</w:t>
      </w:r>
      <w:r w:rsidRPr="000E4E30">
        <w:rPr>
          <w:rFonts w:cs="Arial"/>
          <w:szCs w:val="20"/>
        </w:rPr>
        <w:t xml:space="preserve"> graduates. On the other hand, people who</w:t>
      </w:r>
      <w:r w:rsidR="00E072C4">
        <w:rPr>
          <w:rFonts w:cs="Arial"/>
          <w:szCs w:val="20"/>
        </w:rPr>
        <w:t xml:space="preserve"> would</w:t>
      </w:r>
      <w:r w:rsidRPr="000E4E30">
        <w:rPr>
          <w:rFonts w:cs="Arial"/>
          <w:szCs w:val="20"/>
        </w:rPr>
        <w:t xml:space="preserve"> have previously obtained </w:t>
      </w:r>
      <w:r w:rsidR="00E072C4">
        <w:rPr>
          <w:rFonts w:cs="Arial"/>
          <w:szCs w:val="20"/>
        </w:rPr>
        <w:t xml:space="preserve">only </w:t>
      </w:r>
      <w:r w:rsidRPr="000E4E30">
        <w:rPr>
          <w:rFonts w:cs="Arial"/>
          <w:szCs w:val="20"/>
        </w:rPr>
        <w:t xml:space="preserve">lower secondary education </w:t>
      </w:r>
      <w:r w:rsidR="00E072C4">
        <w:rPr>
          <w:rFonts w:cs="Arial"/>
          <w:szCs w:val="20"/>
        </w:rPr>
        <w:t xml:space="preserve">are </w:t>
      </w:r>
      <w:r w:rsidRPr="000E4E30">
        <w:rPr>
          <w:rFonts w:cs="Arial"/>
          <w:szCs w:val="20"/>
        </w:rPr>
        <w:t>achiev</w:t>
      </w:r>
      <w:r w:rsidR="00E072C4">
        <w:rPr>
          <w:rFonts w:cs="Arial"/>
          <w:szCs w:val="20"/>
        </w:rPr>
        <w:t>ing</w:t>
      </w:r>
      <w:r w:rsidRPr="000E4E30">
        <w:rPr>
          <w:rFonts w:cs="Arial"/>
          <w:szCs w:val="20"/>
        </w:rPr>
        <w:t xml:space="preserve"> upper secondary</w:t>
      </w:r>
      <w:r w:rsidR="005C383B" w:rsidRPr="000E4E30">
        <w:rPr>
          <w:rFonts w:cs="Arial"/>
          <w:szCs w:val="20"/>
        </w:rPr>
        <w:t xml:space="preserve"> and post-secondary non-tertiary</w:t>
      </w:r>
      <w:r w:rsidRPr="000E4E30">
        <w:rPr>
          <w:rFonts w:cs="Arial"/>
          <w:szCs w:val="20"/>
        </w:rPr>
        <w:t xml:space="preserve"> qualifications. </w:t>
      </w:r>
      <w:r w:rsidR="00DA11CC">
        <w:rPr>
          <w:rFonts w:cs="Arial"/>
          <w:szCs w:val="20"/>
        </w:rPr>
        <w:t>As these changes are of similar magnitude</w:t>
      </w:r>
      <w:r w:rsidRPr="000E4E30">
        <w:rPr>
          <w:rFonts w:cs="Arial"/>
          <w:szCs w:val="20"/>
        </w:rPr>
        <w:t>, the overall share of people with educationa</w:t>
      </w:r>
      <w:r w:rsidR="005C383B" w:rsidRPr="000E4E30">
        <w:rPr>
          <w:rFonts w:cs="Arial"/>
          <w:szCs w:val="20"/>
        </w:rPr>
        <w:t xml:space="preserve">l attainment at upper </w:t>
      </w:r>
      <w:r w:rsidR="005C383B" w:rsidRPr="00DA11CC">
        <w:rPr>
          <w:rFonts w:cs="Arial"/>
          <w:szCs w:val="20"/>
        </w:rPr>
        <w:t xml:space="preserve">secondary and post-secondary non-tertiary </w:t>
      </w:r>
      <w:r w:rsidRPr="00DA11CC">
        <w:rPr>
          <w:rFonts w:cs="Arial"/>
          <w:szCs w:val="20"/>
        </w:rPr>
        <w:t>level seems to remain stable.</w:t>
      </w:r>
    </w:p>
    <w:p w:rsidR="00DA11CC" w:rsidRPr="000E4E30" w:rsidRDefault="00764821" w:rsidP="000E4E30">
      <w:pPr>
        <w:spacing w:after="120" w:line="288" w:lineRule="auto"/>
        <w:rPr>
          <w:rFonts w:cs="Arial"/>
          <w:szCs w:val="20"/>
        </w:rPr>
      </w:pPr>
      <w:r w:rsidRPr="00DA11CC">
        <w:rPr>
          <w:rFonts w:cs="Arial"/>
          <w:szCs w:val="20"/>
        </w:rPr>
        <w:t>It should be noted that comparing cohorts</w:t>
      </w:r>
      <w:r w:rsidR="00DA11CC" w:rsidRPr="00DA11CC">
        <w:rPr>
          <w:rFonts w:cs="Arial"/>
          <w:szCs w:val="20"/>
        </w:rPr>
        <w:t xml:space="preserve"> may underestimate the level of educational expansion occurring</w:t>
      </w:r>
      <w:r w:rsidR="00E072C4">
        <w:rPr>
          <w:rFonts w:cs="Arial"/>
          <w:szCs w:val="20"/>
        </w:rPr>
        <w:t xml:space="preserve"> at the level of initial education</w:t>
      </w:r>
      <w:r w:rsidR="00DA11CC" w:rsidRPr="00DA11CC">
        <w:rPr>
          <w:rFonts w:cs="Arial"/>
          <w:szCs w:val="20"/>
        </w:rPr>
        <w:t>, as older cohorts have had more time to acquire formal qualifications</w:t>
      </w:r>
      <w:r w:rsidR="00DA11CC">
        <w:rPr>
          <w:rFonts w:cs="Arial"/>
          <w:szCs w:val="20"/>
        </w:rPr>
        <w:t>, for example in the context of adult learning.</w:t>
      </w:r>
    </w:p>
    <w:p w:rsidR="00F2695A" w:rsidRDefault="00F2695A">
      <w:pPr>
        <w:jc w:val="left"/>
        <w:rPr>
          <w:rFonts w:cs="Arial"/>
          <w:b/>
          <w:bCs/>
          <w:iCs/>
          <w:color w:val="263673"/>
          <w:sz w:val="22"/>
          <w:szCs w:val="28"/>
        </w:rPr>
      </w:pPr>
      <w:bookmarkStart w:id="73" w:name="_Toc435802075"/>
      <w:r>
        <w:br w:type="page"/>
      </w:r>
    </w:p>
    <w:p w:rsidR="00E24783" w:rsidRPr="00E24783" w:rsidRDefault="002524DF" w:rsidP="00363088">
      <w:pPr>
        <w:pStyle w:val="Heading2"/>
      </w:pPr>
      <w:r>
        <w:t xml:space="preserve">4.2 </w:t>
      </w:r>
      <w:r w:rsidR="00C27743">
        <w:t>Educational expansion at Member State level</w:t>
      </w:r>
      <w:bookmarkEnd w:id="73"/>
      <w:r w:rsidR="00C27743">
        <w:t xml:space="preserve"> </w:t>
      </w:r>
    </w:p>
    <w:p w:rsidR="002505F3" w:rsidRPr="00E24783" w:rsidRDefault="002524DF" w:rsidP="00363088">
      <w:pPr>
        <w:pStyle w:val="Heading3"/>
      </w:pPr>
      <w:bookmarkStart w:id="74" w:name="_Toc427154751"/>
      <w:bookmarkStart w:id="75" w:name="_Toc427232479"/>
      <w:bookmarkStart w:id="76" w:name="_Toc432873755"/>
      <w:bookmarkStart w:id="77" w:name="_Toc435620155"/>
      <w:bookmarkStart w:id="78" w:name="_Toc435802076"/>
      <w:r>
        <w:rPr>
          <w:szCs w:val="20"/>
        </w:rPr>
        <w:t xml:space="preserve">4.2.1 </w:t>
      </w:r>
      <w:r w:rsidR="002505F3" w:rsidRPr="00E24783">
        <w:t>Increasing tertiary attainment</w:t>
      </w:r>
      <w:bookmarkEnd w:id="74"/>
      <w:bookmarkEnd w:id="75"/>
      <w:bookmarkEnd w:id="76"/>
      <w:bookmarkEnd w:id="77"/>
      <w:bookmarkEnd w:id="78"/>
    </w:p>
    <w:p w:rsidR="002505F3" w:rsidRPr="000E4E30" w:rsidRDefault="002505F3" w:rsidP="000E4E30">
      <w:pPr>
        <w:spacing w:after="120" w:line="288" w:lineRule="auto"/>
        <w:rPr>
          <w:rFonts w:cs="Arial"/>
          <w:szCs w:val="20"/>
        </w:rPr>
      </w:pPr>
      <w:r w:rsidRPr="000E4E30">
        <w:rPr>
          <w:rFonts w:cs="Arial"/>
          <w:szCs w:val="20"/>
        </w:rPr>
        <w:t xml:space="preserve">Looking further into more detailed developments by qualification level, </w:t>
      </w:r>
      <w:r w:rsidR="00E072C4">
        <w:rPr>
          <w:rFonts w:cs="Arial"/>
          <w:szCs w:val="20"/>
        </w:rPr>
        <w:t>F</w:t>
      </w:r>
      <w:r w:rsidRPr="000E4E30">
        <w:rPr>
          <w:rFonts w:cs="Arial"/>
          <w:szCs w:val="20"/>
        </w:rPr>
        <w:t xml:space="preserve">igure 4.2 shows the share of people with tertiary degrees by Member State and age group, ranked </w:t>
      </w:r>
      <w:r w:rsidR="00E072C4" w:rsidRPr="000E4E30">
        <w:rPr>
          <w:rFonts w:cs="Arial"/>
          <w:szCs w:val="20"/>
        </w:rPr>
        <w:t xml:space="preserve">in descending order </w:t>
      </w:r>
      <w:r w:rsidRPr="000E4E30">
        <w:rPr>
          <w:rFonts w:cs="Arial"/>
          <w:szCs w:val="20"/>
        </w:rPr>
        <w:t xml:space="preserve">by the share of 25-34 year olds with </w:t>
      </w:r>
      <w:r w:rsidR="00810364">
        <w:rPr>
          <w:rFonts w:cs="Arial"/>
          <w:szCs w:val="20"/>
        </w:rPr>
        <w:t>tertiary educational attainment</w:t>
      </w:r>
      <w:r w:rsidRPr="000E4E30">
        <w:rPr>
          <w:rFonts w:cs="Arial"/>
          <w:szCs w:val="20"/>
        </w:rPr>
        <w:t xml:space="preserve">. </w:t>
      </w:r>
    </w:p>
    <w:p w:rsidR="002505F3" w:rsidRPr="00C27743" w:rsidRDefault="002505F3" w:rsidP="000E4E30">
      <w:pPr>
        <w:pStyle w:val="Caption"/>
        <w:spacing w:before="0" w:after="120" w:line="288" w:lineRule="auto"/>
        <w:rPr>
          <w:rFonts w:ascii="Verdana" w:hAnsi="Verdana"/>
          <w:b w:val="0"/>
          <w:color w:val="1F497D" w:themeColor="text2"/>
          <w:sz w:val="20"/>
        </w:rPr>
      </w:pPr>
      <w:r w:rsidRPr="00C27743">
        <w:rPr>
          <w:rFonts w:ascii="Verdana" w:hAnsi="Verdana"/>
          <w:b w:val="0"/>
          <w:color w:val="1F497D" w:themeColor="text2"/>
          <w:sz w:val="20"/>
        </w:rPr>
        <w:t xml:space="preserve">Figure </w:t>
      </w:r>
      <w:r w:rsidR="00363088">
        <w:rPr>
          <w:rFonts w:ascii="Verdana" w:hAnsi="Verdana"/>
          <w:b w:val="0"/>
          <w:color w:val="1F497D" w:themeColor="text2"/>
          <w:sz w:val="20"/>
        </w:rPr>
        <w:t>4.2</w:t>
      </w:r>
      <w:r w:rsidR="00DA11CC">
        <w:rPr>
          <w:rFonts w:ascii="Verdana" w:hAnsi="Verdana"/>
          <w:b w:val="0"/>
          <w:color w:val="1F497D" w:themeColor="text2"/>
          <w:sz w:val="20"/>
        </w:rPr>
        <w:t xml:space="preserve"> </w:t>
      </w:r>
      <w:r w:rsidRPr="00C27743">
        <w:rPr>
          <w:rFonts w:ascii="Verdana" w:hAnsi="Verdana"/>
          <w:b w:val="0"/>
          <w:color w:val="1F497D" w:themeColor="text2"/>
          <w:sz w:val="20"/>
        </w:rPr>
        <w:t>Share of population with tertiary educational attainment, by age cohort, 2014 (%)</w:t>
      </w:r>
    </w:p>
    <w:p w:rsidR="002505F3" w:rsidRPr="00C27743" w:rsidRDefault="002505F3" w:rsidP="000E4E30">
      <w:pPr>
        <w:spacing w:after="120" w:line="288" w:lineRule="auto"/>
        <w:jc w:val="center"/>
        <w:rPr>
          <w:rFonts w:cs="Arial"/>
          <w:noProof/>
          <w:szCs w:val="20"/>
        </w:rPr>
      </w:pPr>
      <w:r w:rsidRPr="00C27743">
        <w:rPr>
          <w:noProof/>
          <w:lang w:val="en-US" w:eastAsia="en-US"/>
        </w:rPr>
        <w:drawing>
          <wp:inline distT="0" distB="0" distL="0" distR="0" wp14:anchorId="2F335A99" wp14:editId="60277393">
            <wp:extent cx="5580000" cy="3240000"/>
            <wp:effectExtent l="0" t="0" r="1905" b="1778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505F3" w:rsidRPr="001128D5" w:rsidRDefault="002505F3" w:rsidP="000E4E30">
      <w:pPr>
        <w:spacing w:after="120" w:line="288" w:lineRule="auto"/>
        <w:rPr>
          <w:rFonts w:cs="Arial"/>
          <w:i/>
          <w:sz w:val="16"/>
          <w:szCs w:val="16"/>
        </w:rPr>
      </w:pPr>
      <w:r w:rsidRPr="001128D5">
        <w:rPr>
          <w:rFonts w:cs="Arial"/>
          <w:i/>
          <w:sz w:val="16"/>
          <w:szCs w:val="16"/>
        </w:rPr>
        <w:t>Notes: European Labour Force Survey, own illustration based on Eurostat data, edat_lfse_07, accessed 21.05.2015, countries are ranked according to attainment in the 25-34 age-group</w:t>
      </w:r>
    </w:p>
    <w:p w:rsidR="00E24783" w:rsidRPr="000E4E30" w:rsidRDefault="00E24783" w:rsidP="000E4E30">
      <w:pPr>
        <w:spacing w:after="120" w:line="288" w:lineRule="auto"/>
        <w:rPr>
          <w:rFonts w:cs="Arial"/>
          <w:szCs w:val="20"/>
        </w:rPr>
      </w:pPr>
      <w:r w:rsidRPr="000E4E30">
        <w:rPr>
          <w:rFonts w:cs="Arial"/>
          <w:szCs w:val="20"/>
        </w:rPr>
        <w:t>The data indicates a general expansion of tertiary education, with the vast majority of countries displaying the highest share of people achieving tertiary education in the youngest age cohort and the smallest share of people achieving tertiary education levels in the oldest cohort. However there are large differences in the rate and extent of expansion in tertiary education across the different countries. The mean percentage point difference between the youngest (25-34) and oldest (55-64) cohorts for tertiary attainment is 15.8. Yet, in the majority of countries (19 out of 28), the difference between these two groups is above average, suggesting that in many Member States the increase in tertiary attainment has been considerable over the past 40 years</w:t>
      </w:r>
      <w:r w:rsidR="00E9398D">
        <w:rPr>
          <w:rFonts w:cs="Arial"/>
          <w:szCs w:val="20"/>
        </w:rPr>
        <w:t xml:space="preserve"> (see Figure 4.3)</w:t>
      </w:r>
      <w:r w:rsidRPr="000E4E30">
        <w:rPr>
          <w:rFonts w:cs="Arial"/>
          <w:szCs w:val="20"/>
        </w:rPr>
        <w:t xml:space="preserve">. </w:t>
      </w:r>
    </w:p>
    <w:p w:rsidR="00F2695A" w:rsidRDefault="00F2695A">
      <w:pPr>
        <w:jc w:val="left"/>
        <w:rPr>
          <w:rFonts w:cs="Arial"/>
          <w:color w:val="1F497D" w:themeColor="text2"/>
          <w:szCs w:val="20"/>
        </w:rPr>
      </w:pPr>
      <w:r>
        <w:rPr>
          <w:rFonts w:cs="Arial"/>
          <w:color w:val="1F497D" w:themeColor="text2"/>
          <w:szCs w:val="20"/>
        </w:rPr>
        <w:br w:type="page"/>
      </w:r>
    </w:p>
    <w:p w:rsidR="002505F3" w:rsidRPr="00C27743" w:rsidRDefault="001128D5" w:rsidP="000E4E30">
      <w:pPr>
        <w:spacing w:after="120" w:line="288" w:lineRule="auto"/>
        <w:rPr>
          <w:rFonts w:cs="Arial"/>
          <w:noProof/>
          <w:color w:val="1F497D" w:themeColor="text2"/>
        </w:rPr>
      </w:pPr>
      <w:r w:rsidRPr="00C27743">
        <w:rPr>
          <w:rFonts w:cs="Arial"/>
          <w:color w:val="1F497D" w:themeColor="text2"/>
          <w:szCs w:val="20"/>
        </w:rPr>
        <w:t>F</w:t>
      </w:r>
      <w:r w:rsidR="002505F3" w:rsidRPr="00C27743">
        <w:rPr>
          <w:rFonts w:cs="Arial"/>
          <w:color w:val="1F497D" w:themeColor="text2"/>
        </w:rPr>
        <w:t xml:space="preserve">igure </w:t>
      </w:r>
      <w:r w:rsidR="00363088">
        <w:rPr>
          <w:rFonts w:cs="Arial"/>
          <w:color w:val="1F497D" w:themeColor="text2"/>
        </w:rPr>
        <w:t>4.3</w:t>
      </w:r>
      <w:r w:rsidR="002505F3" w:rsidRPr="00C27743">
        <w:rPr>
          <w:rFonts w:cs="Arial"/>
          <w:color w:val="1F497D" w:themeColor="text2"/>
        </w:rPr>
        <w:t xml:space="preserve"> Percentage point change of tertiary attainment between those aged 25-34 and 55-64 </w:t>
      </w:r>
    </w:p>
    <w:p w:rsidR="002505F3" w:rsidRDefault="002505F3" w:rsidP="000E4E30">
      <w:pPr>
        <w:spacing w:after="120" w:line="288" w:lineRule="auto"/>
        <w:rPr>
          <w:rFonts w:cs="Arial"/>
          <w:i/>
          <w:sz w:val="16"/>
          <w:szCs w:val="16"/>
        </w:rPr>
      </w:pPr>
      <w:r w:rsidRPr="005936AE">
        <w:rPr>
          <w:noProof/>
          <w:lang w:val="en-US" w:eastAsia="en-US"/>
        </w:rPr>
        <w:drawing>
          <wp:inline distT="0" distB="0" distL="0" distR="0" wp14:anchorId="6489BFFE" wp14:editId="13975B34">
            <wp:extent cx="5580000" cy="2700000"/>
            <wp:effectExtent l="0" t="0" r="1905" b="5715"/>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1128D5">
        <w:rPr>
          <w:rFonts w:cs="Arial"/>
          <w:i/>
          <w:sz w:val="16"/>
          <w:szCs w:val="16"/>
        </w:rPr>
        <w:t xml:space="preserve">Notes: European Labour Force Survey, own illustration based on Eurostat data, edat_lfse_07, accessed 21.05.2015, countries are ranked according to percentage point change between 25-34 and 55-64 age groups. </w:t>
      </w:r>
    </w:p>
    <w:p w:rsidR="00621E45" w:rsidRDefault="00621E45" w:rsidP="000E4E30">
      <w:pPr>
        <w:spacing w:after="120" w:line="288" w:lineRule="auto"/>
        <w:rPr>
          <w:rFonts w:cs="Arial"/>
          <w:i/>
          <w:sz w:val="16"/>
          <w:szCs w:val="16"/>
        </w:rPr>
      </w:pPr>
    </w:p>
    <w:p w:rsidR="00621E45" w:rsidRPr="001E31D3" w:rsidRDefault="00621E45" w:rsidP="000E4E30">
      <w:pPr>
        <w:spacing w:after="120" w:line="288" w:lineRule="auto"/>
        <w:rPr>
          <w:rFonts w:cs="Arial"/>
          <w:szCs w:val="20"/>
        </w:rPr>
      </w:pPr>
      <w:r w:rsidRPr="001E31D3">
        <w:rPr>
          <w:rFonts w:cs="Arial"/>
          <w:szCs w:val="20"/>
        </w:rPr>
        <w:t>Countries which have shown the greatest increase in tertiary attainment levels in the past 40 years</w:t>
      </w:r>
      <w:r w:rsidR="00E9398D" w:rsidRPr="001E31D3">
        <w:rPr>
          <w:rFonts w:cs="Arial"/>
          <w:szCs w:val="20"/>
        </w:rPr>
        <w:t>, and hence substantial educational expansion,</w:t>
      </w:r>
      <w:r w:rsidRPr="001E31D3">
        <w:rPr>
          <w:rFonts w:cs="Arial"/>
          <w:szCs w:val="20"/>
        </w:rPr>
        <w:t xml:space="preserve"> are Poland (29.0 percentage points increase), Cyprus (28.4), Ireland (26.5)</w:t>
      </w:r>
      <w:r w:rsidR="00013103" w:rsidRPr="001E31D3">
        <w:rPr>
          <w:rFonts w:cs="Arial"/>
          <w:szCs w:val="20"/>
        </w:rPr>
        <w:t>,</w:t>
      </w:r>
      <w:r w:rsidR="001E31D3">
        <w:rPr>
          <w:rFonts w:cs="Arial"/>
          <w:szCs w:val="20"/>
        </w:rPr>
        <w:t xml:space="preserve"> </w:t>
      </w:r>
      <w:r w:rsidRPr="001E31D3">
        <w:rPr>
          <w:rFonts w:cs="Arial"/>
          <w:szCs w:val="20"/>
        </w:rPr>
        <w:t>Lithuania (25.0)</w:t>
      </w:r>
      <w:r w:rsidR="00013103" w:rsidRPr="001E31D3">
        <w:rPr>
          <w:rFonts w:cs="Arial"/>
          <w:szCs w:val="20"/>
        </w:rPr>
        <w:t xml:space="preserve"> and France (23.0)</w:t>
      </w:r>
      <w:r w:rsidRPr="001E31D3">
        <w:rPr>
          <w:rFonts w:cs="Arial"/>
          <w:szCs w:val="20"/>
        </w:rPr>
        <w:t>. The smallest changes can be observed in Germany (2.9), Finland (6.1), Bulgaria (8.4) and Estonia (8.6)</w:t>
      </w:r>
      <w:r w:rsidR="00C62228" w:rsidRPr="001E31D3">
        <w:rPr>
          <w:rFonts w:cs="Arial"/>
          <w:szCs w:val="20"/>
        </w:rPr>
        <w:t>.</w:t>
      </w:r>
    </w:p>
    <w:p w:rsidR="00FE7A13" w:rsidRPr="001E31D3" w:rsidRDefault="00FE7A13" w:rsidP="000E4E30">
      <w:pPr>
        <w:spacing w:after="120" w:line="288" w:lineRule="auto"/>
        <w:rPr>
          <w:rFonts w:cs="Arial"/>
          <w:szCs w:val="20"/>
        </w:rPr>
      </w:pPr>
      <w:r w:rsidRPr="001E31D3">
        <w:rPr>
          <w:rFonts w:cs="Arial"/>
          <w:szCs w:val="20"/>
        </w:rPr>
        <w:t>Case study example</w:t>
      </w:r>
      <w:r w:rsidR="00211990" w:rsidRPr="001E31D3">
        <w:rPr>
          <w:rFonts w:cs="Arial"/>
          <w:szCs w:val="20"/>
        </w:rPr>
        <w:t xml:space="preserve"> 3</w:t>
      </w:r>
      <w:r w:rsidRPr="001E31D3">
        <w:rPr>
          <w:rFonts w:cs="Arial"/>
          <w:szCs w:val="20"/>
        </w:rPr>
        <w:t xml:space="preserve"> below illustrates the process of and drivers for educational expansion using the example of France – one of the countries, which has experienced one of the largest tertiary educational expansions in the European Union in the last 40 years. </w:t>
      </w:r>
    </w:p>
    <w:p w:rsidR="00FE7A13" w:rsidRDefault="00FE7A13" w:rsidP="00FE7A13">
      <w:pPr>
        <w:keepNext/>
        <w:spacing w:after="120" w:line="288" w:lineRule="auto"/>
      </w:pPr>
      <w:r w:rsidRPr="00FE7A13">
        <w:rPr>
          <w:rFonts w:cs="Arial"/>
          <w:noProof/>
          <w:szCs w:val="20"/>
          <w:lang w:val="en-US" w:eastAsia="en-US"/>
        </w:rPr>
        <mc:AlternateContent>
          <mc:Choice Requires="wps">
            <w:drawing>
              <wp:inline distT="0" distB="0" distL="0" distR="0" wp14:anchorId="30928AE5" wp14:editId="00E74518">
                <wp:extent cx="5580000" cy="6209732"/>
                <wp:effectExtent l="38100" t="38100" r="135255" b="133985"/>
                <wp:docPr id="49"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6209732"/>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FE7A13" w:rsidRDefault="00394EBA" w:rsidP="00FE7A13">
                            <w:pPr>
                              <w:spacing w:after="120"/>
                              <w:rPr>
                                <w:rFonts w:eastAsiaTheme="majorEastAsia" w:cs="Arial"/>
                                <w:b/>
                                <w:bCs/>
                                <w:color w:val="1F497D" w:themeColor="text2"/>
                                <w:u w:val="single"/>
                              </w:rPr>
                            </w:pPr>
                            <w:r w:rsidRPr="00FE7A13">
                              <w:rPr>
                                <w:rFonts w:eastAsiaTheme="majorEastAsia" w:cs="Arial"/>
                                <w:b/>
                                <w:bCs/>
                                <w:color w:val="1F497D" w:themeColor="text2"/>
                                <w:u w:val="single"/>
                              </w:rPr>
                              <w:t xml:space="preserve">Case study </w:t>
                            </w:r>
                            <w:r>
                              <w:rPr>
                                <w:rFonts w:eastAsiaTheme="majorEastAsia" w:cs="Arial"/>
                                <w:b/>
                                <w:bCs/>
                                <w:color w:val="1F497D" w:themeColor="text2"/>
                                <w:u w:val="single"/>
                              </w:rPr>
                              <w:t>example 3</w:t>
                            </w:r>
                            <w:r w:rsidRPr="00211990">
                              <w:rPr>
                                <w:rFonts w:eastAsiaTheme="majorEastAsia" w:cs="Arial"/>
                                <w:b/>
                                <w:bCs/>
                                <w:color w:val="1F497D" w:themeColor="text2"/>
                                <w:u w:val="single"/>
                              </w:rPr>
                              <w:t>: E</w:t>
                            </w:r>
                            <w:r w:rsidRPr="00FE7A13">
                              <w:rPr>
                                <w:rFonts w:eastAsiaTheme="majorEastAsia" w:cs="Arial"/>
                                <w:b/>
                                <w:bCs/>
                                <w:color w:val="1F497D" w:themeColor="text2"/>
                                <w:u w:val="single"/>
                              </w:rPr>
                              <w:t>ducational expansion in France</w:t>
                            </w:r>
                          </w:p>
                          <w:p w:rsidR="00394EBA" w:rsidRPr="00FE7A13" w:rsidRDefault="00394EBA" w:rsidP="00FE7A13">
                            <w:pPr>
                              <w:spacing w:after="120" w:line="288" w:lineRule="auto"/>
                              <w:rPr>
                                <w:rFonts w:cs="Arial"/>
                                <w:szCs w:val="20"/>
                              </w:rPr>
                            </w:pPr>
                            <w:r w:rsidRPr="00FE7A13">
                              <w:rPr>
                                <w:rFonts w:cs="Arial"/>
                                <w:szCs w:val="20"/>
                              </w:rPr>
                              <w:t xml:space="preserve">France has seen a high degree of educational expansion at both upper secondary and tertiary levels, with one of the highest increases in tertiary </w:t>
                            </w:r>
                            <w:r w:rsidRPr="00FE7A13">
                              <w:rPr>
                                <w:rFonts w:cs="Arial"/>
                                <w:szCs w:val="18"/>
                              </w:rPr>
                              <w:t>attainment between those aged 25-34 years and those aged 55-64 years</w:t>
                            </w:r>
                            <w:r w:rsidRPr="00FE7A13">
                              <w:rPr>
                                <w:rFonts w:cs="Arial"/>
                                <w:szCs w:val="20"/>
                              </w:rPr>
                              <w:t xml:space="preserve"> in the EU. </w:t>
                            </w:r>
                          </w:p>
                          <w:p w:rsidR="00394EBA" w:rsidRPr="00FE7A13" w:rsidRDefault="00394EBA" w:rsidP="00FE7A13">
                            <w:pPr>
                              <w:spacing w:after="120" w:line="288" w:lineRule="auto"/>
                              <w:rPr>
                                <w:rFonts w:cs="Arial"/>
                                <w:szCs w:val="20"/>
                              </w:rPr>
                            </w:pPr>
                            <w:r w:rsidRPr="00FE7A13">
                              <w:rPr>
                                <w:rFonts w:cs="Arial"/>
                                <w:szCs w:val="20"/>
                              </w:rPr>
                              <w:t>Both the literature (e.g. OECD 2014</w:t>
                            </w:r>
                            <w:r>
                              <w:rPr>
                                <w:rFonts w:cs="Arial"/>
                                <w:szCs w:val="20"/>
                              </w:rPr>
                              <w:t>b</w:t>
                            </w:r>
                            <w:r w:rsidRPr="00FE7A13">
                              <w:rPr>
                                <w:rFonts w:cs="Arial"/>
                                <w:szCs w:val="20"/>
                              </w:rPr>
                              <w:t>) and interviewees however stressed that this expansion has been the result of France, similar to other Southern European Member States, catching up with other EU/OECD countries. After the Second World War, only about 10% of French learners went on to complete upper secondary education, whereas this proportion was already around 80% in the USA. Despite the goal of the French revolution to educate the masses, higher levels of education remained reserved for</w:t>
                            </w:r>
                            <w:r>
                              <w:rPr>
                                <w:rFonts w:cs="Arial"/>
                                <w:szCs w:val="20"/>
                              </w:rPr>
                              <w:t xml:space="preserve"> a restricted number</w:t>
                            </w:r>
                            <w:r w:rsidRPr="00FE7A13">
                              <w:rPr>
                                <w:rFonts w:cs="Arial"/>
                                <w:szCs w:val="20"/>
                              </w:rPr>
                              <w:t xml:space="preserve"> until the late 1960s.</w:t>
                            </w:r>
                            <w:r>
                              <w:rPr>
                                <w:rFonts w:cs="Arial"/>
                                <w:szCs w:val="20"/>
                              </w:rPr>
                              <w:t xml:space="preserve"> 2.3 million students were enrolled in higher education in 2010 compared to 310,000 in 1960, representing an increase of over 700% over fifty years (MENESR 2013:29).</w:t>
                            </w:r>
                          </w:p>
                          <w:p w:rsidR="00394EBA" w:rsidRPr="00FE7A13" w:rsidRDefault="00394EBA" w:rsidP="00FE7A13">
                            <w:pPr>
                              <w:spacing w:after="120" w:line="288" w:lineRule="auto"/>
                              <w:rPr>
                                <w:rFonts w:cs="Arial"/>
                                <w:szCs w:val="20"/>
                              </w:rPr>
                            </w:pPr>
                            <w:r w:rsidRPr="00FE7A13">
                              <w:rPr>
                                <w:rFonts w:cs="Arial"/>
                                <w:szCs w:val="20"/>
                              </w:rPr>
                              <w:t>A key factor in increasing completion of upper secondary education has been the creation of higher vocational diplomas, such as the technological baccalaureate in 1965 or the vocational baccalaureate in 1987 (Bonnal and Favard 2007). The 1989 Law on the Orientation of Education also set down an aim that at least 80% of any cohort should successfully achieve baccalaureate level (awarded at the end of upper secondary education). Although this was not achieved within the 10-year timeframe stipulated, it is now a reality.</w:t>
                            </w:r>
                          </w:p>
                          <w:p w:rsidR="00394EBA" w:rsidRPr="00FE7A13" w:rsidRDefault="00394EBA" w:rsidP="00FE7A13">
                            <w:pPr>
                              <w:spacing w:after="120" w:line="288" w:lineRule="auto"/>
                              <w:rPr>
                                <w:rFonts w:cs="Arial"/>
                                <w:szCs w:val="18"/>
                              </w:rPr>
                            </w:pPr>
                            <w:r w:rsidRPr="00FE7A13">
                              <w:rPr>
                                <w:rFonts w:cs="Arial"/>
                                <w:szCs w:val="20"/>
                              </w:rPr>
                              <w:t xml:space="preserve">Expansion at tertiary level was of course partially driven by the greater access facilitated by the higher levels of achievement at upper secondary level. Other factors included the </w:t>
                            </w:r>
                            <w:r>
                              <w:rPr>
                                <w:rFonts w:cs="Arial"/>
                                <w:szCs w:val="18"/>
                              </w:rPr>
                              <w:t>creation of IUTs (‘</w:t>
                            </w:r>
                            <w:r w:rsidRPr="00FE7A13">
                              <w:rPr>
                                <w:rFonts w:cs="Arial"/>
                                <w:szCs w:val="18"/>
                              </w:rPr>
                              <w:t>univ</w:t>
                            </w:r>
                            <w:r>
                              <w:rPr>
                                <w:rFonts w:cs="Arial"/>
                                <w:szCs w:val="18"/>
                              </w:rPr>
                              <w:t>ersity institutes of technology’</w:t>
                            </w:r>
                            <w:r w:rsidRPr="00FE7A13">
                              <w:rPr>
                                <w:rFonts w:cs="Arial"/>
                                <w:szCs w:val="18"/>
                              </w:rPr>
                              <w:t>) in 1966 and the development of university-level curricular pathways and G</w:t>
                            </w:r>
                            <w:r w:rsidRPr="00FE7A13">
                              <w:rPr>
                                <w:rFonts w:cs="Arial"/>
                                <w:i/>
                                <w:szCs w:val="18"/>
                              </w:rPr>
                              <w:t>randes Ecoles</w:t>
                            </w:r>
                            <w:r w:rsidRPr="00FE7A13">
                              <w:rPr>
                                <w:rFonts w:cs="Arial"/>
                                <w:szCs w:val="18"/>
                              </w:rPr>
                              <w:t xml:space="preserve"> (OECD 2014). Interviewees highlighted that a large part of the increase can also be explained by the huge influx of women into higher education since the late 1960s.</w:t>
                            </w:r>
                          </w:p>
                          <w:p w:rsidR="00394EBA" w:rsidRDefault="00394EBA">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30928AE5" id="_x0000_s1040" style="width:439.35pt;height:488.9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" fillcolor="white [3212]" strokecolor="gray [1629]" strokeweight="1.5pt">
                <v:shadow on="t" type="perspective" color="black" opacity="26214f" origin="-.5,-.5" offset=".74836mm,.74836mm" matrix="65864f,,,65864f"/>
                <v:textbox inset="21.6pt,21.6pt,21.6pt,21.6pt">
                  <w:txbxContent>
                    <w:p w:rsidR="00394EBA" w:rsidRPr="00FE7A13" w:rsidRDefault="00394EBA" w:rsidP="00FE7A13">
                      <w:pPr>
                        <w:spacing w:after="120"/>
                        <w:rPr>
                          <w:rFonts w:eastAsiaTheme="majorEastAsia" w:cs="Arial"/>
                          <w:b/>
                          <w:bCs/>
                          <w:color w:val="1F497D" w:themeColor="text2"/>
                          <w:u w:val="single"/>
                        </w:rPr>
                      </w:pPr>
                      <w:r w:rsidRPr="00FE7A13">
                        <w:rPr>
                          <w:rFonts w:eastAsiaTheme="majorEastAsia" w:cs="Arial"/>
                          <w:b/>
                          <w:bCs/>
                          <w:color w:val="1F497D" w:themeColor="text2"/>
                          <w:u w:val="single"/>
                        </w:rPr>
                        <w:t xml:space="preserve">Case study </w:t>
                      </w:r>
                      <w:r>
                        <w:rPr>
                          <w:rFonts w:eastAsiaTheme="majorEastAsia" w:cs="Arial"/>
                          <w:b/>
                          <w:bCs/>
                          <w:color w:val="1F497D" w:themeColor="text2"/>
                          <w:u w:val="single"/>
                        </w:rPr>
                        <w:t>example 3</w:t>
                      </w:r>
                      <w:r w:rsidRPr="00211990">
                        <w:rPr>
                          <w:rFonts w:eastAsiaTheme="majorEastAsia" w:cs="Arial"/>
                          <w:b/>
                          <w:bCs/>
                          <w:color w:val="1F497D" w:themeColor="text2"/>
                          <w:u w:val="single"/>
                        </w:rPr>
                        <w:t>: E</w:t>
                      </w:r>
                      <w:r w:rsidRPr="00FE7A13">
                        <w:rPr>
                          <w:rFonts w:eastAsiaTheme="majorEastAsia" w:cs="Arial"/>
                          <w:b/>
                          <w:bCs/>
                          <w:color w:val="1F497D" w:themeColor="text2"/>
                          <w:u w:val="single"/>
                        </w:rPr>
                        <w:t>ducational expansion in France</w:t>
                      </w:r>
                    </w:p>
                    <w:p w:rsidR="00394EBA" w:rsidRPr="00FE7A13" w:rsidRDefault="00394EBA" w:rsidP="00FE7A13">
                      <w:pPr>
                        <w:spacing w:after="120" w:line="288" w:lineRule="auto"/>
                        <w:rPr>
                          <w:rFonts w:cs="Arial"/>
                          <w:szCs w:val="20"/>
                        </w:rPr>
                      </w:pPr>
                      <w:r w:rsidRPr="00FE7A13">
                        <w:rPr>
                          <w:rFonts w:cs="Arial"/>
                          <w:szCs w:val="20"/>
                        </w:rPr>
                        <w:t xml:space="preserve">France has seen a high degree of educational expansion at both upper secondary and tertiary levels, with one of the highest increases in tertiary </w:t>
                      </w:r>
                      <w:r w:rsidRPr="00FE7A13">
                        <w:rPr>
                          <w:rFonts w:cs="Arial"/>
                          <w:szCs w:val="18"/>
                        </w:rPr>
                        <w:t>attainment between those aged 25-34 years and those aged 55-64 years</w:t>
                      </w:r>
                      <w:r w:rsidRPr="00FE7A13">
                        <w:rPr>
                          <w:rFonts w:cs="Arial"/>
                          <w:szCs w:val="20"/>
                        </w:rPr>
                        <w:t xml:space="preserve"> in the EU. </w:t>
                      </w:r>
                    </w:p>
                    <w:p w:rsidR="00394EBA" w:rsidRPr="00FE7A13" w:rsidRDefault="00394EBA" w:rsidP="00FE7A13">
                      <w:pPr>
                        <w:spacing w:after="120" w:line="288" w:lineRule="auto"/>
                        <w:rPr>
                          <w:rFonts w:cs="Arial"/>
                          <w:szCs w:val="20"/>
                        </w:rPr>
                      </w:pPr>
                      <w:r w:rsidRPr="00FE7A13">
                        <w:rPr>
                          <w:rFonts w:cs="Arial"/>
                          <w:szCs w:val="20"/>
                        </w:rPr>
                        <w:t>Both the literature (e.g. OECD 2014</w:t>
                      </w:r>
                      <w:r>
                        <w:rPr>
                          <w:rFonts w:cs="Arial"/>
                          <w:szCs w:val="20"/>
                        </w:rPr>
                        <w:t>b</w:t>
                      </w:r>
                      <w:r w:rsidRPr="00FE7A13">
                        <w:rPr>
                          <w:rFonts w:cs="Arial"/>
                          <w:szCs w:val="20"/>
                        </w:rPr>
                        <w:t>) and interviewees however stressed that this expansion has been the result of France, similar to other Southern European Member States, catching up with other EU/OECD countries. After the Second World War, only about 10% of French learners went on to complete upper secondary education, whereas this proportion was already around 80% in the USA. Despite the goal of the French revolution to educate the masses, higher levels of education remained reserved for</w:t>
                      </w:r>
                      <w:r>
                        <w:rPr>
                          <w:rFonts w:cs="Arial"/>
                          <w:szCs w:val="20"/>
                        </w:rPr>
                        <w:t xml:space="preserve"> a restricted number</w:t>
                      </w:r>
                      <w:r w:rsidRPr="00FE7A13">
                        <w:rPr>
                          <w:rFonts w:cs="Arial"/>
                          <w:szCs w:val="20"/>
                        </w:rPr>
                        <w:t xml:space="preserve"> until the late 1960s.</w:t>
                      </w:r>
                      <w:r>
                        <w:rPr>
                          <w:rFonts w:cs="Arial"/>
                          <w:szCs w:val="20"/>
                        </w:rPr>
                        <w:t xml:space="preserve"> 2.3 million students were enrolled in higher education in 2010 compared to 310,000 in 1960, representing an increase of over 700% over fifty years (MENESR 2013:29).</w:t>
                      </w:r>
                    </w:p>
                    <w:p w:rsidR="00394EBA" w:rsidRPr="00FE7A13" w:rsidRDefault="00394EBA" w:rsidP="00FE7A13">
                      <w:pPr>
                        <w:spacing w:after="120" w:line="288" w:lineRule="auto"/>
                        <w:rPr>
                          <w:rFonts w:cs="Arial"/>
                          <w:szCs w:val="20"/>
                        </w:rPr>
                      </w:pPr>
                      <w:r w:rsidRPr="00FE7A13">
                        <w:rPr>
                          <w:rFonts w:cs="Arial"/>
                          <w:szCs w:val="20"/>
                        </w:rPr>
                        <w:t>A key factor in increasing completion of upper secondary education has been the creation of higher vocational diplomas, such as the technological baccalaureate in 1965 or the vocational baccalaureate in 1987 (Bonnal and Favard 2007). The 1989 Law on the Orientation of Education also set down an aim that at least 80% of any cohort should successfully achieve baccalaureate level (awarded at the end of upper secondary education). Although this was not achieved within the 10-year timeframe stipulated, it is now a reality.</w:t>
                      </w:r>
                    </w:p>
                    <w:p w:rsidR="00394EBA" w:rsidRPr="00FE7A13" w:rsidRDefault="00394EBA" w:rsidP="00FE7A13">
                      <w:pPr>
                        <w:spacing w:after="120" w:line="288" w:lineRule="auto"/>
                        <w:rPr>
                          <w:rFonts w:cs="Arial"/>
                          <w:szCs w:val="18"/>
                        </w:rPr>
                      </w:pPr>
                      <w:r w:rsidRPr="00FE7A13">
                        <w:rPr>
                          <w:rFonts w:cs="Arial"/>
                          <w:szCs w:val="20"/>
                        </w:rPr>
                        <w:t xml:space="preserve">Expansion at tertiary level was of course partially driven by the greater access facilitated by the higher levels of achievement at upper secondary level. Other factors included the </w:t>
                      </w:r>
                      <w:r>
                        <w:rPr>
                          <w:rFonts w:cs="Arial"/>
                          <w:szCs w:val="18"/>
                        </w:rPr>
                        <w:t>creation of IUTs (‘</w:t>
                      </w:r>
                      <w:r w:rsidRPr="00FE7A13">
                        <w:rPr>
                          <w:rFonts w:cs="Arial"/>
                          <w:szCs w:val="18"/>
                        </w:rPr>
                        <w:t>univ</w:t>
                      </w:r>
                      <w:r>
                        <w:rPr>
                          <w:rFonts w:cs="Arial"/>
                          <w:szCs w:val="18"/>
                        </w:rPr>
                        <w:t>ersity institutes of technology’</w:t>
                      </w:r>
                      <w:r w:rsidRPr="00FE7A13">
                        <w:rPr>
                          <w:rFonts w:cs="Arial"/>
                          <w:szCs w:val="18"/>
                        </w:rPr>
                        <w:t>) in 1966 and the development of university-level curricular pathways and G</w:t>
                      </w:r>
                      <w:r w:rsidRPr="00FE7A13">
                        <w:rPr>
                          <w:rFonts w:cs="Arial"/>
                          <w:i/>
                          <w:szCs w:val="18"/>
                        </w:rPr>
                        <w:t>randes Ecoles</w:t>
                      </w:r>
                      <w:r w:rsidRPr="00FE7A13">
                        <w:rPr>
                          <w:rFonts w:cs="Arial"/>
                          <w:szCs w:val="18"/>
                        </w:rPr>
                        <w:t xml:space="preserve"> (OECD 2014). Interviewees highlighted that a large part of the increase can also be explained by the huge influx of women into higher education since the late 1960s.</w:t>
                      </w:r>
                    </w:p>
                    <w:p w:rsidR="00394EBA" w:rsidRDefault="00394EBA">
                      <w:pPr>
                        <w:rPr>
                          <w:color w:val="4F81BD" w:themeColor="accent1"/>
                          <w:szCs w:val="20"/>
                        </w:rPr>
                      </w:pPr>
                    </w:p>
                  </w:txbxContent>
                </v:textbox>
                <w10:anchorlock/>
              </v:rect>
            </w:pict>
          </mc:Fallback>
        </mc:AlternateContent>
      </w:r>
    </w:p>
    <w:p w:rsidR="00FE7A13" w:rsidRPr="00CB46AB" w:rsidRDefault="00FE7A13" w:rsidP="00FE7A13">
      <w:pPr>
        <w:pStyle w:val="Caption"/>
        <w:rPr>
          <w:rFonts w:ascii="Verdana" w:hAnsi="Verdana" w:cs="Arial"/>
          <w:b w:val="0"/>
          <w:i/>
          <w:sz w:val="16"/>
          <w:szCs w:val="16"/>
        </w:rPr>
      </w:pPr>
      <w:r w:rsidRPr="00CB46AB">
        <w:rPr>
          <w:rFonts w:ascii="Verdana" w:hAnsi="Verdana"/>
          <w:b w:val="0"/>
          <w:i/>
          <w:sz w:val="16"/>
          <w:szCs w:val="16"/>
        </w:rPr>
        <w:t>Note</w:t>
      </w:r>
      <w:r w:rsidR="00CB46AB">
        <w:rPr>
          <w:rFonts w:ascii="Verdana" w:hAnsi="Verdana"/>
          <w:b w:val="0"/>
          <w:i/>
          <w:sz w:val="16"/>
          <w:szCs w:val="16"/>
        </w:rPr>
        <w:t>s</w:t>
      </w:r>
      <w:r w:rsidRPr="00CB46AB">
        <w:rPr>
          <w:rFonts w:ascii="Verdana" w:hAnsi="Verdana"/>
          <w:b w:val="0"/>
          <w:i/>
          <w:sz w:val="16"/>
          <w:szCs w:val="16"/>
        </w:rPr>
        <w:t>: qualitative case study based on key informant interviews; the list of interviewees can be consulted in Annex I</w:t>
      </w:r>
      <w:r w:rsidR="000E2F69" w:rsidRPr="00CB46AB">
        <w:rPr>
          <w:rFonts w:ascii="Verdana" w:hAnsi="Verdana"/>
          <w:b w:val="0"/>
          <w:i/>
          <w:sz w:val="16"/>
          <w:szCs w:val="16"/>
        </w:rPr>
        <w:t>I</w:t>
      </w:r>
      <w:r w:rsidRPr="00CB46AB">
        <w:rPr>
          <w:rFonts w:ascii="Verdana" w:hAnsi="Verdana"/>
          <w:b w:val="0"/>
          <w:i/>
          <w:sz w:val="16"/>
          <w:szCs w:val="16"/>
        </w:rPr>
        <w:t>.</w:t>
      </w:r>
    </w:p>
    <w:p w:rsidR="002505F3" w:rsidRPr="00FE7A13" w:rsidRDefault="002524DF" w:rsidP="00363088">
      <w:pPr>
        <w:pStyle w:val="Heading3"/>
      </w:pPr>
      <w:bookmarkStart w:id="79" w:name="_Toc427154754"/>
      <w:bookmarkStart w:id="80" w:name="_Toc427232482"/>
      <w:bookmarkStart w:id="81" w:name="_Toc432873756"/>
      <w:bookmarkStart w:id="82" w:name="_Toc435620156"/>
      <w:bookmarkStart w:id="83" w:name="_Toc435802077"/>
      <w:r w:rsidRPr="00FE7A13">
        <w:t xml:space="preserve">4.2.2 </w:t>
      </w:r>
      <w:r w:rsidR="002505F3" w:rsidRPr="00FE7A13">
        <w:t>Decreasing</w:t>
      </w:r>
      <w:r w:rsidR="009F0C67" w:rsidRPr="00FE7A13">
        <w:t xml:space="preserve"> shares of</w:t>
      </w:r>
      <w:r w:rsidR="002505F3" w:rsidRPr="00FE7A13">
        <w:t xml:space="preserve"> ‘Early School Leavers’</w:t>
      </w:r>
      <w:bookmarkEnd w:id="79"/>
      <w:bookmarkEnd w:id="80"/>
      <w:bookmarkEnd w:id="81"/>
      <w:bookmarkEnd w:id="82"/>
      <w:bookmarkEnd w:id="83"/>
    </w:p>
    <w:p w:rsidR="002505F3" w:rsidRPr="000E4E30" w:rsidRDefault="002505F3" w:rsidP="000E4E30">
      <w:pPr>
        <w:spacing w:after="120" w:line="288" w:lineRule="auto"/>
        <w:rPr>
          <w:b/>
          <w:bCs/>
          <w:szCs w:val="20"/>
          <w:lang w:eastAsia="en-US"/>
        </w:rPr>
      </w:pPr>
      <w:r w:rsidRPr="00FE7A13">
        <w:rPr>
          <w:rFonts w:cs="Arial"/>
          <w:szCs w:val="20"/>
        </w:rPr>
        <w:t>The other side of the education expansion is a reduced number of ‘early school</w:t>
      </w:r>
      <w:r w:rsidRPr="000E4E30">
        <w:rPr>
          <w:rFonts w:cs="Arial"/>
          <w:szCs w:val="20"/>
        </w:rPr>
        <w:t xml:space="preserve"> leavers’</w:t>
      </w:r>
      <w:r w:rsidRPr="000E4E30">
        <w:rPr>
          <w:rStyle w:val="FootnoteReference"/>
          <w:rFonts w:cs="Arial"/>
          <w:szCs w:val="20"/>
        </w:rPr>
        <w:footnoteReference w:id="9"/>
      </w:r>
      <w:r w:rsidRPr="000E4E30">
        <w:rPr>
          <w:rFonts w:cs="Arial"/>
          <w:szCs w:val="20"/>
        </w:rPr>
        <w:t>, people who leave school with a low level of formal educational attainment. In line with the Europe 2020 targets, the aim is to lower this share to a maximum of 10% in the 18-24 age group. Figure 4.</w:t>
      </w:r>
      <w:r w:rsidR="00C27743" w:rsidRPr="000E4E30">
        <w:rPr>
          <w:rFonts w:cs="Arial"/>
          <w:szCs w:val="20"/>
        </w:rPr>
        <w:t>4</w:t>
      </w:r>
      <w:r w:rsidRPr="000E4E30">
        <w:rPr>
          <w:rFonts w:cs="Arial"/>
          <w:szCs w:val="20"/>
        </w:rPr>
        <w:t xml:space="preserve"> shows the</w:t>
      </w:r>
      <w:r w:rsidR="00C62228" w:rsidRPr="000E4E30">
        <w:rPr>
          <w:rFonts w:cs="Arial"/>
          <w:szCs w:val="20"/>
        </w:rPr>
        <w:t xml:space="preserve"> shares</w:t>
      </w:r>
      <w:r w:rsidRPr="000E4E30">
        <w:rPr>
          <w:rFonts w:cs="Arial"/>
          <w:szCs w:val="20"/>
        </w:rPr>
        <w:t xml:space="preserve"> of those who can be considered as early leavers (albeit for different age cohorts than the EU2020 target) for each of the EU-28 countries ranked by the attainment in the 25-34 age cohorts. Nine countries display an early school leaving rate of 10% or less in the youngest age cohort: Croatia, Czech Republic, Poland, Slovenia, Slovakia, Lithuania, Finland, Ireland and Austria.</w:t>
      </w:r>
    </w:p>
    <w:p w:rsidR="00F2695A" w:rsidRDefault="002505F3" w:rsidP="00651009">
      <w:pPr>
        <w:pStyle w:val="Caption"/>
        <w:spacing w:before="0" w:after="120" w:line="288" w:lineRule="auto"/>
        <w:rPr>
          <w:rFonts w:ascii="Verdana" w:hAnsi="Verdana"/>
          <w:b w:val="0"/>
          <w:color w:val="1F497D" w:themeColor="text2"/>
          <w:sz w:val="20"/>
        </w:rPr>
      </w:pPr>
      <w:r w:rsidRPr="00651009">
        <w:rPr>
          <w:rFonts w:ascii="Verdana" w:hAnsi="Verdana"/>
          <w:b w:val="0"/>
          <w:color w:val="1F497D" w:themeColor="text2"/>
          <w:sz w:val="20"/>
        </w:rPr>
        <w:t xml:space="preserve">Figure </w:t>
      </w:r>
      <w:r w:rsidR="007501FB" w:rsidRPr="00651009">
        <w:rPr>
          <w:rFonts w:ascii="Verdana" w:hAnsi="Verdana"/>
          <w:b w:val="0"/>
          <w:color w:val="1F497D" w:themeColor="text2"/>
          <w:sz w:val="20"/>
        </w:rPr>
        <w:t>4</w:t>
      </w:r>
      <w:r w:rsidRPr="00651009">
        <w:rPr>
          <w:rFonts w:ascii="Verdana" w:hAnsi="Verdana"/>
          <w:b w:val="0"/>
          <w:color w:val="1F497D" w:themeColor="text2"/>
          <w:sz w:val="20"/>
        </w:rPr>
        <w:t>.</w:t>
      </w:r>
      <w:r w:rsidR="00C27743" w:rsidRPr="00651009">
        <w:rPr>
          <w:rFonts w:ascii="Verdana" w:hAnsi="Verdana"/>
          <w:b w:val="0"/>
          <w:color w:val="1F497D" w:themeColor="text2"/>
          <w:sz w:val="20"/>
        </w:rPr>
        <w:t>4</w:t>
      </w:r>
      <w:r w:rsidRPr="00651009">
        <w:rPr>
          <w:rFonts w:ascii="Verdana" w:hAnsi="Verdana"/>
          <w:b w:val="0"/>
          <w:color w:val="1F497D" w:themeColor="text2"/>
          <w:sz w:val="20"/>
        </w:rPr>
        <w:t xml:space="preserve"> Share of population with only lower secondary educational attainment, by age cohort, 2014</w:t>
      </w:r>
    </w:p>
    <w:p w:rsidR="002505F3" w:rsidRDefault="002505F3" w:rsidP="00651009">
      <w:pPr>
        <w:pStyle w:val="Caption"/>
        <w:spacing w:before="0" w:after="120" w:line="288" w:lineRule="auto"/>
        <w:rPr>
          <w:b w:val="0"/>
          <w:i/>
          <w:sz w:val="16"/>
          <w:szCs w:val="16"/>
        </w:rPr>
      </w:pPr>
      <w:r w:rsidRPr="00843D1A">
        <w:rPr>
          <w:noProof/>
          <w:sz w:val="16"/>
          <w:szCs w:val="16"/>
          <w:lang w:val="en-US"/>
        </w:rPr>
        <w:drawing>
          <wp:inline distT="0" distB="0" distL="0" distR="0" wp14:anchorId="43524B49" wp14:editId="471F17BF">
            <wp:extent cx="5580000" cy="3240000"/>
            <wp:effectExtent l="0" t="0" r="1905" b="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Pr="00621E45">
        <w:rPr>
          <w:b w:val="0"/>
          <w:i/>
          <w:sz w:val="16"/>
          <w:szCs w:val="16"/>
        </w:rPr>
        <w:t>Notes: European Labour Force Survey, own illustration based on Eurostat data, edat_lfse_05, edat_lfse_06, edat_lfse_07, accessed 21.05.2015, countries are ranked according to attainment in the 25-34 age-group</w:t>
      </w:r>
    </w:p>
    <w:p w:rsidR="00621E45" w:rsidRPr="00621E45" w:rsidRDefault="00621E45" w:rsidP="000E4E30">
      <w:pPr>
        <w:pStyle w:val="BodyText"/>
        <w:spacing w:line="288" w:lineRule="auto"/>
        <w:rPr>
          <w:lang w:eastAsia="en-US"/>
        </w:rPr>
      </w:pPr>
    </w:p>
    <w:p w:rsidR="002505F3" w:rsidRPr="000E4E30" w:rsidRDefault="002505F3" w:rsidP="000E4E30">
      <w:pPr>
        <w:spacing w:after="120" w:line="288" w:lineRule="auto"/>
        <w:rPr>
          <w:rFonts w:cs="Arial"/>
          <w:szCs w:val="20"/>
        </w:rPr>
      </w:pPr>
      <w:r w:rsidRPr="000E4E30">
        <w:rPr>
          <w:rFonts w:cs="Arial"/>
          <w:szCs w:val="20"/>
        </w:rPr>
        <w:t>On average the percentage difference between the oldest and youngest cohort is -16 percentage points. This supports the earlier finding that educational expansion is an observable effect at lower secondary and tertiary level, as the population moves into higher level</w:t>
      </w:r>
      <w:r w:rsidR="00402AD6">
        <w:rPr>
          <w:rFonts w:cs="Arial"/>
          <w:szCs w:val="20"/>
        </w:rPr>
        <w:t>s</w:t>
      </w:r>
      <w:r w:rsidRPr="000E4E30">
        <w:rPr>
          <w:rFonts w:cs="Arial"/>
          <w:szCs w:val="20"/>
        </w:rPr>
        <w:t xml:space="preserve"> of education, while the middle level may appear relatively stable. The countries with the largest differences between age groups are Portugal (-42 percentage points), Malta (-35) and Greece (-31). However some countries have seen an increase in low education attainment over time: Lithuania (4 percentage points), Estonia (3) and Latvia (3). </w:t>
      </w:r>
    </w:p>
    <w:p w:rsidR="00775FDB" w:rsidRPr="008E4735" w:rsidRDefault="002505F3" w:rsidP="000E4E30">
      <w:pPr>
        <w:spacing w:after="120" w:line="288" w:lineRule="auto"/>
        <w:rPr>
          <w:rFonts w:cs="Arial"/>
          <w:szCs w:val="20"/>
        </w:rPr>
      </w:pPr>
      <w:r w:rsidRPr="000E4E30">
        <w:rPr>
          <w:rFonts w:cs="Arial"/>
          <w:szCs w:val="20"/>
        </w:rPr>
        <w:t xml:space="preserve">Some countries identified earlier as having experienced </w:t>
      </w:r>
      <w:r w:rsidR="00E9398D">
        <w:rPr>
          <w:rFonts w:cs="Arial"/>
          <w:szCs w:val="20"/>
        </w:rPr>
        <w:t>substantial t</w:t>
      </w:r>
      <w:r w:rsidRPr="000E4E30">
        <w:rPr>
          <w:rFonts w:cs="Arial"/>
          <w:szCs w:val="20"/>
        </w:rPr>
        <w:t xml:space="preserve">ertiary expansion, such </w:t>
      </w:r>
      <w:r w:rsidRPr="008E4735">
        <w:rPr>
          <w:rFonts w:cs="Arial"/>
          <w:szCs w:val="20"/>
        </w:rPr>
        <w:t xml:space="preserve">as Cyprus and Ireland, also have a comparably high decrease in early school leavers (31 and 28 percentage points respectively); some countries with a </w:t>
      </w:r>
      <w:r w:rsidR="00775FDB" w:rsidRPr="008E4735">
        <w:rPr>
          <w:rFonts w:cs="Arial"/>
          <w:szCs w:val="20"/>
        </w:rPr>
        <w:t>small to medium-sized</w:t>
      </w:r>
      <w:r w:rsidRPr="008E4735">
        <w:rPr>
          <w:rFonts w:cs="Arial"/>
          <w:szCs w:val="20"/>
        </w:rPr>
        <w:t xml:space="preserve"> change in tertiary attainment (</w:t>
      </w:r>
      <w:r w:rsidR="00402AD6" w:rsidRPr="008E4735">
        <w:rPr>
          <w:rFonts w:cs="Arial"/>
          <w:szCs w:val="20"/>
        </w:rPr>
        <w:t xml:space="preserve">e.g. </w:t>
      </w:r>
      <w:r w:rsidRPr="008E4735">
        <w:rPr>
          <w:rFonts w:cs="Arial"/>
          <w:szCs w:val="20"/>
        </w:rPr>
        <w:t xml:space="preserve">Germany, Bulgaria, UK and Denmark) also have a similar decrease in early leavers. Conversely however Poland and Lithuania are countries with </w:t>
      </w:r>
      <w:r w:rsidR="00775FDB" w:rsidRPr="008E4735">
        <w:rPr>
          <w:rFonts w:cs="Arial"/>
          <w:szCs w:val="20"/>
        </w:rPr>
        <w:t>substantial</w:t>
      </w:r>
      <w:r w:rsidRPr="008E4735">
        <w:rPr>
          <w:rFonts w:cs="Arial"/>
          <w:szCs w:val="20"/>
        </w:rPr>
        <w:t xml:space="preserve"> tertiary expansion but no similar decrease in early school leavers; in both countries levels of lower secondary attainment are below 10% and have been for several decades.  </w:t>
      </w:r>
    </w:p>
    <w:p w:rsidR="008850AF" w:rsidRPr="008E4735" w:rsidRDefault="008E4735" w:rsidP="00651009">
      <w:pPr>
        <w:spacing w:after="120" w:line="288" w:lineRule="auto"/>
        <w:rPr>
          <w:rFonts w:cs="Arial"/>
          <w:szCs w:val="20"/>
        </w:rPr>
      </w:pPr>
      <w:r w:rsidRPr="008E4735">
        <w:rPr>
          <w:rFonts w:cs="Arial"/>
          <w:szCs w:val="20"/>
        </w:rPr>
        <w:t>Additional graphs using time series data</w:t>
      </w:r>
      <w:r w:rsidR="002B0882">
        <w:rPr>
          <w:rFonts w:cs="Arial"/>
          <w:szCs w:val="20"/>
        </w:rPr>
        <w:t xml:space="preserve"> to illustrate educational expansion</w:t>
      </w:r>
      <w:r w:rsidRPr="008E4735">
        <w:rPr>
          <w:rFonts w:cs="Arial"/>
          <w:szCs w:val="20"/>
        </w:rPr>
        <w:t xml:space="preserve"> for each Member State can be found in Annex IV.</w:t>
      </w:r>
    </w:p>
    <w:p w:rsidR="002505F3" w:rsidRPr="005C383B" w:rsidRDefault="00C27743" w:rsidP="00363088">
      <w:pPr>
        <w:pStyle w:val="Heading2"/>
      </w:pPr>
      <w:bookmarkStart w:id="84" w:name="_Toc435802078"/>
      <w:r>
        <w:t xml:space="preserve">4.3 </w:t>
      </w:r>
      <w:r w:rsidR="003562E5">
        <w:t>Expanding competences</w:t>
      </w:r>
      <w:r w:rsidR="00402AD6">
        <w:t xml:space="preserve"> alongside educational attainment</w:t>
      </w:r>
      <w:r w:rsidR="00C62228">
        <w:t>?</w:t>
      </w:r>
      <w:bookmarkEnd w:id="84"/>
    </w:p>
    <w:p w:rsidR="002505F3" w:rsidRPr="000E4E30" w:rsidRDefault="002505F3" w:rsidP="000E4E30">
      <w:pPr>
        <w:spacing w:after="120" w:line="288" w:lineRule="auto"/>
        <w:ind w:right="170"/>
        <w:rPr>
          <w:rFonts w:cs="Arial"/>
          <w:szCs w:val="20"/>
        </w:rPr>
      </w:pPr>
      <w:r w:rsidRPr="000E4E30">
        <w:rPr>
          <w:rFonts w:cs="Arial"/>
          <w:szCs w:val="20"/>
        </w:rPr>
        <w:t xml:space="preserve">While the above findings show a clear trend of increasing educational attainment across Europe, it has been questioned </w:t>
      </w:r>
      <w:r w:rsidR="00402AD6">
        <w:rPr>
          <w:rFonts w:cs="Arial"/>
          <w:szCs w:val="20"/>
        </w:rPr>
        <w:t>whether</w:t>
      </w:r>
      <w:r w:rsidRPr="000E4E30">
        <w:rPr>
          <w:rFonts w:cs="Arial"/>
          <w:szCs w:val="20"/>
        </w:rPr>
        <w:t xml:space="preserve"> this rise is accompanied by a similar increase in competences of young people</w:t>
      </w:r>
      <w:r w:rsidR="00B446BC" w:rsidRPr="000E4E30">
        <w:rPr>
          <w:rFonts w:cs="Arial"/>
          <w:szCs w:val="20"/>
        </w:rPr>
        <w:t xml:space="preserve"> aged 20-34</w:t>
      </w:r>
      <w:r w:rsidR="003562E5" w:rsidRPr="000E4E30">
        <w:rPr>
          <w:rFonts w:cs="Arial"/>
          <w:szCs w:val="20"/>
        </w:rPr>
        <w:t>, or if educational expa</w:t>
      </w:r>
      <w:r w:rsidR="00775FDB">
        <w:rPr>
          <w:rFonts w:cs="Arial"/>
          <w:szCs w:val="20"/>
        </w:rPr>
        <w:t xml:space="preserve">nsion primarily leads to ‘credential </w:t>
      </w:r>
      <w:r w:rsidR="003562E5" w:rsidRPr="000E4E30">
        <w:rPr>
          <w:rFonts w:cs="Arial"/>
          <w:szCs w:val="20"/>
        </w:rPr>
        <w:t xml:space="preserve">inflation’ without impacting on competence levels. </w:t>
      </w:r>
      <w:r w:rsidRPr="000E4E30">
        <w:rPr>
          <w:rFonts w:cs="Arial"/>
          <w:szCs w:val="20"/>
        </w:rPr>
        <w:t>The below analysis uses data on adult competences collected through the International Adult Literacy Survey (IALS) in the mid-1990s and compares this to the P</w:t>
      </w:r>
      <w:r w:rsidR="00C62228" w:rsidRPr="000E4E30">
        <w:rPr>
          <w:rFonts w:cs="Arial"/>
          <w:szCs w:val="20"/>
        </w:rPr>
        <w:t>IAAC data</w:t>
      </w:r>
      <w:r w:rsidRPr="000E4E30">
        <w:rPr>
          <w:rFonts w:cs="Arial"/>
          <w:szCs w:val="20"/>
        </w:rPr>
        <w:t>. This allows for assessing the changes in average (literacy) proficiency levels of young people, as well as their distribution, over time.</w:t>
      </w:r>
    </w:p>
    <w:bookmarkStart w:id="85" w:name="_Toc432873758"/>
    <w:bookmarkStart w:id="86" w:name="_Toc435620158"/>
    <w:bookmarkStart w:id="87" w:name="_Toc435802081"/>
    <w:bookmarkStart w:id="88" w:name="_Toc427154758"/>
    <w:bookmarkStart w:id="89" w:name="_Toc427232486"/>
    <w:p w:rsidR="00C62228" w:rsidRDefault="00DA3A94" w:rsidP="000E4E30">
      <w:pPr>
        <w:pStyle w:val="Heading3"/>
        <w:spacing w:before="0" w:after="120" w:line="288" w:lineRule="auto"/>
        <w:rPr>
          <w:szCs w:val="20"/>
        </w:rPr>
      </w:pPr>
      <w:r w:rsidRPr="00DA3A94">
        <w:rPr>
          <w:noProof/>
          <w:szCs w:val="20"/>
          <w:lang w:val="en-US" w:eastAsia="en-US"/>
        </w:rPr>
        <mc:AlternateContent>
          <mc:Choice Requires="wps">
            <w:drawing>
              <wp:inline distT="0" distB="0" distL="0" distR="0" wp14:anchorId="0EDED2BB" wp14:editId="15470955">
                <wp:extent cx="5580000" cy="5568287"/>
                <wp:effectExtent l="38100" t="38100" r="135255" b="128270"/>
                <wp:docPr id="53"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5568287"/>
                        </a:xfrm>
                        <a:prstGeom prst="rect">
                          <a:avLst/>
                        </a:prstGeom>
                        <a:solidFill>
                          <a:schemeClr val="bg1">
                            <a:lumMod val="85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9409BE" w:rsidRDefault="00394EBA" w:rsidP="00E639C9">
                            <w:pPr>
                              <w:pStyle w:val="Heading3"/>
                              <w:shd w:val="clear" w:color="auto" w:fill="D9D9D9" w:themeFill="background1" w:themeFillShade="D9"/>
                              <w:spacing w:before="0" w:after="120" w:line="288" w:lineRule="auto"/>
                              <w:rPr>
                                <w:szCs w:val="20"/>
                                <w:shd w:val="clear" w:color="auto" w:fill="D9D9D9" w:themeFill="background1" w:themeFillShade="D9"/>
                                <w:lang w:eastAsia="de-DE"/>
                              </w:rPr>
                            </w:pPr>
                            <w:bookmarkStart w:id="90" w:name="_Toc432873759"/>
                            <w:bookmarkStart w:id="91" w:name="_Toc435620159"/>
                            <w:bookmarkStart w:id="92" w:name="_Toc435802079"/>
                            <w:r w:rsidRPr="009409BE">
                              <w:rPr>
                                <w:szCs w:val="20"/>
                                <w:shd w:val="clear" w:color="auto" w:fill="D9D9D9" w:themeFill="background1" w:themeFillShade="D9"/>
                              </w:rPr>
                              <w:t>The International Adult Literacy Survey (IALS)</w:t>
                            </w:r>
                            <w:bookmarkEnd w:id="90"/>
                            <w:bookmarkEnd w:id="91"/>
                            <w:bookmarkEnd w:id="92"/>
                          </w:p>
                          <w:p w:rsidR="00394EBA" w:rsidRPr="001E31D3" w:rsidRDefault="00394EBA" w:rsidP="009409BE">
                            <w:pPr>
                              <w:pStyle w:val="Heading3"/>
                              <w:shd w:val="clear" w:color="auto" w:fill="D9D9D9" w:themeFill="background1" w:themeFillShade="D9"/>
                              <w:spacing w:before="0" w:after="120" w:line="288" w:lineRule="auto"/>
                              <w:rPr>
                                <w:rFonts w:cs="Times New Roman"/>
                                <w:b w:val="0"/>
                                <w:color w:val="333333"/>
                                <w:szCs w:val="20"/>
                                <w:shd w:val="clear" w:color="auto" w:fill="D9D9D9" w:themeFill="background1" w:themeFillShade="D9"/>
                              </w:rPr>
                            </w:pPr>
                            <w:bookmarkStart w:id="93" w:name="_Toc426636408"/>
                            <w:bookmarkStart w:id="94" w:name="_Toc426718855"/>
                            <w:bookmarkStart w:id="95" w:name="_Toc426719051"/>
                            <w:bookmarkStart w:id="96" w:name="_Toc427069121"/>
                            <w:bookmarkStart w:id="97" w:name="_Toc427154757"/>
                            <w:bookmarkStart w:id="98" w:name="_Toc427232485"/>
                            <w:bookmarkStart w:id="99" w:name="_Toc432873760"/>
                            <w:bookmarkStart w:id="100" w:name="_Toc435620160"/>
                            <w:bookmarkStart w:id="101" w:name="_Toc435802080"/>
                            <w:r w:rsidRPr="001E31D3">
                              <w:rPr>
                                <w:rFonts w:cs="Times New Roman"/>
                                <w:b w:val="0"/>
                                <w:color w:val="333333"/>
                                <w:szCs w:val="20"/>
                                <w:shd w:val="clear" w:color="auto" w:fill="D9D9D9" w:themeFill="background1" w:themeFillShade="D9"/>
                              </w:rPr>
                              <w:t xml:space="preserve">The International Adult Literacy Survey (IALS) aimed to understand the magnitude and nature of </w:t>
                            </w:r>
                            <w:r w:rsidRPr="001E31D3">
                              <w:rPr>
                                <w:rFonts w:cs="Times New Roman"/>
                                <w:color w:val="1F497D" w:themeColor="text2"/>
                                <w:szCs w:val="20"/>
                                <w:shd w:val="clear" w:color="auto" w:fill="D9D9D9" w:themeFill="background1" w:themeFillShade="D9"/>
                              </w:rPr>
                              <w:t>literacy proficiency</w:t>
                            </w:r>
                            <w:r w:rsidRPr="001E31D3">
                              <w:rPr>
                                <w:rFonts w:cs="Times New Roman"/>
                                <w:b w:val="0"/>
                                <w:color w:val="1F497D" w:themeColor="text2"/>
                                <w:szCs w:val="20"/>
                                <w:shd w:val="clear" w:color="auto" w:fill="D9D9D9" w:themeFill="background1" w:themeFillShade="D9"/>
                              </w:rPr>
                              <w:t xml:space="preserve"> </w:t>
                            </w:r>
                            <w:r w:rsidRPr="001E31D3">
                              <w:rPr>
                                <w:rFonts w:cs="Times New Roman"/>
                                <w:b w:val="0"/>
                                <w:color w:val="333333"/>
                                <w:szCs w:val="20"/>
                                <w:shd w:val="clear" w:color="auto" w:fill="D9D9D9" w:themeFill="background1" w:themeFillShade="D9"/>
                              </w:rPr>
                              <w:t>across 20 countries and was a collaborative effort of national governments and international organisations. Data was collected on nationally representative samples of the adult population aged 16 to 65 between 1994 and 1998 (OECD 2000).</w:t>
                            </w:r>
                            <w:bookmarkEnd w:id="93"/>
                            <w:bookmarkEnd w:id="94"/>
                            <w:bookmarkEnd w:id="95"/>
                            <w:bookmarkEnd w:id="96"/>
                            <w:bookmarkEnd w:id="97"/>
                            <w:bookmarkEnd w:id="98"/>
                            <w:bookmarkEnd w:id="99"/>
                            <w:bookmarkEnd w:id="100"/>
                            <w:bookmarkEnd w:id="101"/>
                          </w:p>
                          <w:p w:rsidR="00394EBA" w:rsidRPr="001E31D3" w:rsidRDefault="00394EBA" w:rsidP="009409BE">
                            <w:pPr>
                              <w:pStyle w:val="BodyText"/>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It assessed three domains of literacy: prose literacy, document literacy and quantitative literacy. Each domain was scored from 0 to 500 and proficiency was divided into 5 different levels:</w:t>
                            </w:r>
                          </w:p>
                          <w:p w:rsidR="00394EBA" w:rsidRPr="001E31D3" w:rsidRDefault="00394EBA" w:rsidP="00A05A88">
                            <w:pPr>
                              <w:pStyle w:val="BodyText"/>
                              <w:numPr>
                                <w:ilvl w:val="0"/>
                                <w:numId w:val="21"/>
                              </w:numPr>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Level 1 corresponds to poor literacy skills;</w:t>
                            </w:r>
                          </w:p>
                          <w:p w:rsidR="00394EBA" w:rsidRPr="001E31D3" w:rsidRDefault="00394EBA" w:rsidP="00A05A88">
                            <w:pPr>
                              <w:pStyle w:val="BodyText"/>
                              <w:numPr>
                                <w:ilvl w:val="0"/>
                                <w:numId w:val="21"/>
                              </w:numPr>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Level 2 corresponds to the ability to deal with elementary material, but not with not complex tasks;</w:t>
                            </w:r>
                          </w:p>
                          <w:p w:rsidR="00394EBA" w:rsidRPr="001E31D3" w:rsidRDefault="00394EBA" w:rsidP="00A05A88">
                            <w:pPr>
                              <w:pStyle w:val="BodyText"/>
                              <w:numPr>
                                <w:ilvl w:val="0"/>
                                <w:numId w:val="21"/>
                              </w:numPr>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Level 3 is the minimum level of literacy required to deal with the demands of private and working life, and corresponds to a level expected to be achieved by the successful completion of high-school;</w:t>
                            </w:r>
                          </w:p>
                          <w:p w:rsidR="00394EBA" w:rsidRPr="001E31D3" w:rsidRDefault="00394EBA" w:rsidP="00A05A88">
                            <w:pPr>
                              <w:pStyle w:val="BodyText"/>
                              <w:numPr>
                                <w:ilvl w:val="0"/>
                                <w:numId w:val="21"/>
                              </w:numPr>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Level 4 and 5 imply a high command of information processing skills.</w:t>
                            </w:r>
                          </w:p>
                          <w:p w:rsidR="00394EBA" w:rsidRPr="001E31D3" w:rsidRDefault="00394EBA" w:rsidP="00651009">
                            <w:pPr>
                              <w:pStyle w:val="BodyText"/>
                              <w:shd w:val="clear" w:color="auto" w:fill="D9D9D9" w:themeFill="background1" w:themeFillShade="D9"/>
                              <w:spacing w:line="288" w:lineRule="auto"/>
                              <w:rPr>
                                <w:shd w:val="clear" w:color="auto" w:fill="D9D9D9" w:themeFill="background1" w:themeFillShade="D9"/>
                              </w:rPr>
                            </w:pPr>
                            <w:r w:rsidRPr="001E31D3">
                              <w:rPr>
                                <w:szCs w:val="20"/>
                                <w:shd w:val="clear" w:color="auto" w:fill="D9D9D9" w:themeFill="background1" w:themeFillShade="D9"/>
                              </w:rPr>
                              <w:t xml:space="preserve">11 countries are included both in IALS and PIAAC: </w:t>
                            </w:r>
                            <w:r>
                              <w:rPr>
                                <w:szCs w:val="20"/>
                                <w:shd w:val="clear" w:color="auto" w:fill="D9D9D9" w:themeFill="background1" w:themeFillShade="D9"/>
                              </w:rPr>
                              <w:t>BE</w:t>
                            </w:r>
                            <w:r w:rsidRPr="001E31D3">
                              <w:rPr>
                                <w:rStyle w:val="FootnoteReference"/>
                                <w:szCs w:val="20"/>
                                <w:shd w:val="clear" w:color="auto" w:fill="D9D9D9" w:themeFill="background1" w:themeFillShade="D9"/>
                              </w:rPr>
                              <w:t xml:space="preserve"> </w:t>
                            </w:r>
                            <w:r w:rsidRPr="001E31D3">
                              <w:rPr>
                                <w:szCs w:val="20"/>
                                <w:shd w:val="clear" w:color="auto" w:fill="D9D9D9" w:themeFill="background1" w:themeFillShade="D9"/>
                              </w:rPr>
                              <w:t>(</w:t>
                            </w:r>
                            <w:r>
                              <w:rPr>
                                <w:szCs w:val="20"/>
                                <w:shd w:val="clear" w:color="auto" w:fill="D9D9D9" w:themeFill="background1" w:themeFillShade="D9"/>
                              </w:rPr>
                              <w:t>FL</w:t>
                            </w:r>
                            <w:r w:rsidRPr="001E31D3">
                              <w:rPr>
                                <w:szCs w:val="20"/>
                                <w:shd w:val="clear" w:color="auto" w:fill="D9D9D9" w:themeFill="background1" w:themeFillShade="D9"/>
                              </w:rPr>
                              <w:t xml:space="preserve">), </w:t>
                            </w:r>
                            <w:r>
                              <w:rPr>
                                <w:szCs w:val="20"/>
                                <w:shd w:val="clear" w:color="auto" w:fill="D9D9D9" w:themeFill="background1" w:themeFillShade="D9"/>
                              </w:rPr>
                              <w:t>CZ</w:t>
                            </w:r>
                            <w:r w:rsidRPr="001E31D3">
                              <w:rPr>
                                <w:szCs w:val="20"/>
                                <w:shd w:val="clear" w:color="auto" w:fill="D9D9D9" w:themeFill="background1" w:themeFillShade="D9"/>
                              </w:rPr>
                              <w:t xml:space="preserve">, </w:t>
                            </w:r>
                            <w:r>
                              <w:rPr>
                                <w:szCs w:val="20"/>
                                <w:shd w:val="clear" w:color="auto" w:fill="D9D9D9" w:themeFill="background1" w:themeFillShade="D9"/>
                              </w:rPr>
                              <w:t>DE, DK, FI</w:t>
                            </w:r>
                            <w:r w:rsidRPr="001E31D3">
                              <w:rPr>
                                <w:szCs w:val="20"/>
                                <w:shd w:val="clear" w:color="auto" w:fill="D9D9D9" w:themeFill="background1" w:themeFillShade="D9"/>
                              </w:rPr>
                              <w:t xml:space="preserve">, </w:t>
                            </w:r>
                            <w:r>
                              <w:rPr>
                                <w:szCs w:val="20"/>
                                <w:shd w:val="clear" w:color="auto" w:fill="D9D9D9" w:themeFill="background1" w:themeFillShade="D9"/>
                              </w:rPr>
                              <w:t>IE</w:t>
                            </w:r>
                            <w:r w:rsidRPr="001E31D3">
                              <w:rPr>
                                <w:szCs w:val="20"/>
                                <w:shd w:val="clear" w:color="auto" w:fill="D9D9D9" w:themeFill="background1" w:themeFillShade="D9"/>
                              </w:rPr>
                              <w:t>, I</w:t>
                            </w:r>
                            <w:r>
                              <w:rPr>
                                <w:szCs w:val="20"/>
                                <w:shd w:val="clear" w:color="auto" w:fill="D9D9D9" w:themeFill="background1" w:themeFillShade="D9"/>
                              </w:rPr>
                              <w:t>T</w:t>
                            </w:r>
                            <w:r w:rsidRPr="001E31D3">
                              <w:rPr>
                                <w:szCs w:val="20"/>
                                <w:shd w:val="clear" w:color="auto" w:fill="D9D9D9" w:themeFill="background1" w:themeFillShade="D9"/>
                              </w:rPr>
                              <w:t>, N</w:t>
                            </w:r>
                            <w:r>
                              <w:rPr>
                                <w:szCs w:val="20"/>
                                <w:shd w:val="clear" w:color="auto" w:fill="D9D9D9" w:themeFill="background1" w:themeFillShade="D9"/>
                              </w:rPr>
                              <w:t>L</w:t>
                            </w:r>
                            <w:r w:rsidRPr="001E31D3">
                              <w:rPr>
                                <w:szCs w:val="20"/>
                                <w:shd w:val="clear" w:color="auto" w:fill="D9D9D9" w:themeFill="background1" w:themeFillShade="D9"/>
                              </w:rPr>
                              <w:t>,</w:t>
                            </w:r>
                            <w:r>
                              <w:rPr>
                                <w:szCs w:val="20"/>
                                <w:shd w:val="clear" w:color="auto" w:fill="D9D9D9" w:themeFill="background1" w:themeFillShade="D9"/>
                              </w:rPr>
                              <w:t xml:space="preserve"> PL</w:t>
                            </w:r>
                            <w:r w:rsidRPr="001E31D3">
                              <w:rPr>
                                <w:szCs w:val="20"/>
                                <w:shd w:val="clear" w:color="auto" w:fill="D9D9D9" w:themeFill="background1" w:themeFillShade="D9"/>
                              </w:rPr>
                              <w:t>, S</w:t>
                            </w:r>
                            <w:r>
                              <w:rPr>
                                <w:szCs w:val="20"/>
                                <w:shd w:val="clear" w:color="auto" w:fill="D9D9D9" w:themeFill="background1" w:themeFillShade="D9"/>
                              </w:rPr>
                              <w:t>E</w:t>
                            </w:r>
                            <w:r w:rsidRPr="001E31D3">
                              <w:rPr>
                                <w:szCs w:val="20"/>
                                <w:shd w:val="clear" w:color="auto" w:fill="D9D9D9" w:themeFill="background1" w:themeFillShade="D9"/>
                              </w:rPr>
                              <w:t xml:space="preserve"> and </w:t>
                            </w:r>
                            <w:r>
                              <w:rPr>
                                <w:szCs w:val="20"/>
                                <w:shd w:val="clear" w:color="auto" w:fill="D9D9D9" w:themeFill="background1" w:themeFillShade="D9"/>
                              </w:rPr>
                              <w:t>UK</w:t>
                            </w:r>
                            <w:r w:rsidRPr="001E31D3">
                              <w:rPr>
                                <w:rStyle w:val="FootnoteReference"/>
                                <w:szCs w:val="20"/>
                                <w:shd w:val="clear" w:color="auto" w:fill="D9D9D9" w:themeFill="background1" w:themeFillShade="D9"/>
                              </w:rPr>
                              <w:t xml:space="preserve"> </w:t>
                            </w:r>
                            <w:r w:rsidRPr="001E31D3">
                              <w:rPr>
                                <w:szCs w:val="20"/>
                                <w:shd w:val="clear" w:color="auto" w:fill="D9D9D9" w:themeFill="background1" w:themeFillShade="D9"/>
                              </w:rPr>
                              <w:t>(</w:t>
                            </w:r>
                            <w:r>
                              <w:rPr>
                                <w:szCs w:val="20"/>
                                <w:shd w:val="clear" w:color="auto" w:fill="D9D9D9" w:themeFill="background1" w:themeFillShade="D9"/>
                              </w:rPr>
                              <w:t>EN and NI</w:t>
                            </w:r>
                            <w:r w:rsidRPr="001E31D3">
                              <w:rPr>
                                <w:szCs w:val="20"/>
                                <w:shd w:val="clear" w:color="auto" w:fill="D9D9D9" w:themeFill="background1" w:themeFillShade="D9"/>
                              </w:rPr>
                              <w:t>).</w:t>
                            </w:r>
                            <w:r w:rsidRPr="001E31D3">
                              <w:rPr>
                                <w:shd w:val="clear" w:color="auto" w:fill="D9D9D9" w:themeFill="background1" w:themeFillShade="D9"/>
                              </w:rPr>
                              <w:t>The OECD has recalibrated the IALS data on literacy skills to make it comparable with the PIAAC data on literacy skills. Hence, the files have been updated with the addition of plausible value variables following the same methodology as in PIAAC and literacy levels and scores for both surveys are equivalent with regards to what each level implies (Statistics Canada 2015). As defined earlier, both the PIAAC and IALS sample is restricted to the group of young adults aged 20-34.</w:t>
                            </w:r>
                          </w:p>
                          <w:p w:rsidR="00394EBA" w:rsidRPr="009409BE" w:rsidRDefault="00394EBA">
                            <w:pPr>
                              <w:rPr>
                                <w:color w:val="4F81BD" w:themeColor="accent1"/>
                                <w:szCs w:val="20"/>
                                <w:shd w:val="clear" w:color="auto" w:fill="D9D9D9" w:themeFill="background1" w:themeFillShade="D9"/>
                              </w:rPr>
                            </w:pPr>
                          </w:p>
                        </w:txbxContent>
                      </wps:txbx>
                      <wps:bodyPr rot="0" vert="horz" wrap="square" lIns="274320" tIns="274320" rIns="274320" bIns="274320" anchor="ctr" anchorCtr="0">
                        <a:noAutofit/>
                      </wps:bodyPr>
                    </wps:wsp>
                  </a:graphicData>
                </a:graphic>
              </wp:inline>
            </w:drawing>
          </mc:Choice>
          <mc:Fallback>
            <w:pict>
              <v:rect w14:anchorId="0EDED2BB" id="_x0000_s1041" style="width:439.35pt;height:438.4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" fillcolor="#d8d8d8 [2732]" strokecolor="gray [1629]" strokeweight="1.5pt">
                <v:shadow on="t" type="perspective" color="black" opacity="26214f" origin="-.5,-.5" offset=".74836mm,.74836mm" matrix="65864f,,,65864f"/>
                <v:textbox inset="21.6pt,21.6pt,21.6pt,21.6pt">
                  <w:txbxContent>
                    <w:p w:rsidR="00394EBA" w:rsidRPr="009409BE" w:rsidRDefault="00394EBA" w:rsidP="00E639C9">
                      <w:pPr>
                        <w:pStyle w:val="Heading3"/>
                        <w:shd w:val="clear" w:color="auto" w:fill="D9D9D9" w:themeFill="background1" w:themeFillShade="D9"/>
                        <w:spacing w:before="0" w:after="120" w:line="288" w:lineRule="auto"/>
                        <w:rPr>
                          <w:szCs w:val="20"/>
                          <w:shd w:val="clear" w:color="auto" w:fill="D9D9D9" w:themeFill="background1" w:themeFillShade="D9"/>
                          <w:lang w:eastAsia="de-DE"/>
                        </w:rPr>
                      </w:pPr>
                      <w:bookmarkStart w:id="107" w:name="_Toc432873759"/>
                      <w:bookmarkStart w:id="108" w:name="_Toc435620159"/>
                      <w:bookmarkStart w:id="109" w:name="_Toc435802079"/>
                      <w:r w:rsidRPr="009409BE">
                        <w:rPr>
                          <w:szCs w:val="20"/>
                          <w:shd w:val="clear" w:color="auto" w:fill="D9D9D9" w:themeFill="background1" w:themeFillShade="D9"/>
                        </w:rPr>
                        <w:t>The International Adult Literacy Survey (IALS)</w:t>
                      </w:r>
                      <w:bookmarkEnd w:id="107"/>
                      <w:bookmarkEnd w:id="108"/>
                      <w:bookmarkEnd w:id="109"/>
                    </w:p>
                    <w:p w:rsidR="00394EBA" w:rsidRPr="001E31D3" w:rsidRDefault="00394EBA" w:rsidP="009409BE">
                      <w:pPr>
                        <w:pStyle w:val="Heading3"/>
                        <w:shd w:val="clear" w:color="auto" w:fill="D9D9D9" w:themeFill="background1" w:themeFillShade="D9"/>
                        <w:spacing w:before="0" w:after="120" w:line="288" w:lineRule="auto"/>
                        <w:rPr>
                          <w:rFonts w:cs="Times New Roman"/>
                          <w:b w:val="0"/>
                          <w:color w:val="333333"/>
                          <w:szCs w:val="20"/>
                          <w:shd w:val="clear" w:color="auto" w:fill="D9D9D9" w:themeFill="background1" w:themeFillShade="D9"/>
                        </w:rPr>
                      </w:pPr>
                      <w:bookmarkStart w:id="110" w:name="_Toc426636408"/>
                      <w:bookmarkStart w:id="111" w:name="_Toc426718855"/>
                      <w:bookmarkStart w:id="112" w:name="_Toc426719051"/>
                      <w:bookmarkStart w:id="113" w:name="_Toc427069121"/>
                      <w:bookmarkStart w:id="114" w:name="_Toc427154757"/>
                      <w:bookmarkStart w:id="115" w:name="_Toc427232485"/>
                      <w:bookmarkStart w:id="116" w:name="_Toc432873760"/>
                      <w:bookmarkStart w:id="117" w:name="_Toc435620160"/>
                      <w:bookmarkStart w:id="118" w:name="_Toc435802080"/>
                      <w:r w:rsidRPr="001E31D3">
                        <w:rPr>
                          <w:rFonts w:cs="Times New Roman"/>
                          <w:b w:val="0"/>
                          <w:color w:val="333333"/>
                          <w:szCs w:val="20"/>
                          <w:shd w:val="clear" w:color="auto" w:fill="D9D9D9" w:themeFill="background1" w:themeFillShade="D9"/>
                        </w:rPr>
                        <w:t xml:space="preserve">The International Adult Literacy Survey (IALS) aimed to understand the magnitude and nature of </w:t>
                      </w:r>
                      <w:r w:rsidRPr="001E31D3">
                        <w:rPr>
                          <w:rFonts w:cs="Times New Roman"/>
                          <w:color w:val="1F497D" w:themeColor="text2"/>
                          <w:szCs w:val="20"/>
                          <w:shd w:val="clear" w:color="auto" w:fill="D9D9D9" w:themeFill="background1" w:themeFillShade="D9"/>
                        </w:rPr>
                        <w:t>literacy proficiency</w:t>
                      </w:r>
                      <w:r w:rsidRPr="001E31D3">
                        <w:rPr>
                          <w:rFonts w:cs="Times New Roman"/>
                          <w:b w:val="0"/>
                          <w:color w:val="1F497D" w:themeColor="text2"/>
                          <w:szCs w:val="20"/>
                          <w:shd w:val="clear" w:color="auto" w:fill="D9D9D9" w:themeFill="background1" w:themeFillShade="D9"/>
                        </w:rPr>
                        <w:t xml:space="preserve"> </w:t>
                      </w:r>
                      <w:r w:rsidRPr="001E31D3">
                        <w:rPr>
                          <w:rFonts w:cs="Times New Roman"/>
                          <w:b w:val="0"/>
                          <w:color w:val="333333"/>
                          <w:szCs w:val="20"/>
                          <w:shd w:val="clear" w:color="auto" w:fill="D9D9D9" w:themeFill="background1" w:themeFillShade="D9"/>
                        </w:rPr>
                        <w:t>across 20 countries and was a collaborative effort of national governments and international organisations. Data was collected on nationally representative samples of the adult population aged 16 to 65 between 1994 and 1998 (OECD 2000).</w:t>
                      </w:r>
                      <w:bookmarkEnd w:id="110"/>
                      <w:bookmarkEnd w:id="111"/>
                      <w:bookmarkEnd w:id="112"/>
                      <w:bookmarkEnd w:id="113"/>
                      <w:bookmarkEnd w:id="114"/>
                      <w:bookmarkEnd w:id="115"/>
                      <w:bookmarkEnd w:id="116"/>
                      <w:bookmarkEnd w:id="117"/>
                      <w:bookmarkEnd w:id="118"/>
                    </w:p>
                    <w:p w:rsidR="00394EBA" w:rsidRPr="001E31D3" w:rsidRDefault="00394EBA" w:rsidP="009409BE">
                      <w:pPr>
                        <w:pStyle w:val="BodyText"/>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It assessed three domains of literacy: prose literacy, document literacy and quantitative literacy. Each domain was scored from 0 to 500 and proficiency was divided into 5 different levels:</w:t>
                      </w:r>
                    </w:p>
                    <w:p w:rsidR="00394EBA" w:rsidRPr="001E31D3" w:rsidRDefault="00394EBA" w:rsidP="00A05A88">
                      <w:pPr>
                        <w:pStyle w:val="BodyText"/>
                        <w:numPr>
                          <w:ilvl w:val="0"/>
                          <w:numId w:val="21"/>
                        </w:numPr>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Level 1 corresponds to poor literacy skills;</w:t>
                      </w:r>
                    </w:p>
                    <w:p w:rsidR="00394EBA" w:rsidRPr="001E31D3" w:rsidRDefault="00394EBA" w:rsidP="00A05A88">
                      <w:pPr>
                        <w:pStyle w:val="BodyText"/>
                        <w:numPr>
                          <w:ilvl w:val="0"/>
                          <w:numId w:val="21"/>
                        </w:numPr>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Level 2 corresponds to the ability to deal with elementary material, but not with not complex tasks;</w:t>
                      </w:r>
                    </w:p>
                    <w:p w:rsidR="00394EBA" w:rsidRPr="001E31D3" w:rsidRDefault="00394EBA" w:rsidP="00A05A88">
                      <w:pPr>
                        <w:pStyle w:val="BodyText"/>
                        <w:numPr>
                          <w:ilvl w:val="0"/>
                          <w:numId w:val="21"/>
                        </w:numPr>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Level 3 is the minimum level of literacy required to deal with the demands of private and working life, and corresponds to a level expected to be achieved by the successful completion of high-school;</w:t>
                      </w:r>
                    </w:p>
                    <w:p w:rsidR="00394EBA" w:rsidRPr="001E31D3" w:rsidRDefault="00394EBA" w:rsidP="00A05A88">
                      <w:pPr>
                        <w:pStyle w:val="BodyText"/>
                        <w:numPr>
                          <w:ilvl w:val="0"/>
                          <w:numId w:val="21"/>
                        </w:numPr>
                        <w:shd w:val="clear" w:color="auto" w:fill="D9D9D9" w:themeFill="background1" w:themeFillShade="D9"/>
                        <w:spacing w:line="288" w:lineRule="auto"/>
                        <w:rPr>
                          <w:szCs w:val="20"/>
                          <w:shd w:val="clear" w:color="auto" w:fill="D9D9D9" w:themeFill="background1" w:themeFillShade="D9"/>
                        </w:rPr>
                      </w:pPr>
                      <w:r w:rsidRPr="001E31D3">
                        <w:rPr>
                          <w:szCs w:val="20"/>
                          <w:shd w:val="clear" w:color="auto" w:fill="D9D9D9" w:themeFill="background1" w:themeFillShade="D9"/>
                        </w:rPr>
                        <w:t>Level 4 and 5 imply a high command of information processing skills.</w:t>
                      </w:r>
                    </w:p>
                    <w:p w:rsidR="00394EBA" w:rsidRPr="001E31D3" w:rsidRDefault="00394EBA" w:rsidP="00651009">
                      <w:pPr>
                        <w:pStyle w:val="BodyText"/>
                        <w:shd w:val="clear" w:color="auto" w:fill="D9D9D9" w:themeFill="background1" w:themeFillShade="D9"/>
                        <w:spacing w:line="288" w:lineRule="auto"/>
                        <w:rPr>
                          <w:shd w:val="clear" w:color="auto" w:fill="D9D9D9" w:themeFill="background1" w:themeFillShade="D9"/>
                        </w:rPr>
                      </w:pPr>
                      <w:r w:rsidRPr="001E31D3">
                        <w:rPr>
                          <w:szCs w:val="20"/>
                          <w:shd w:val="clear" w:color="auto" w:fill="D9D9D9" w:themeFill="background1" w:themeFillShade="D9"/>
                        </w:rPr>
                        <w:t xml:space="preserve">11 countries are included both in IALS and PIAAC: </w:t>
                      </w:r>
                      <w:r>
                        <w:rPr>
                          <w:szCs w:val="20"/>
                          <w:shd w:val="clear" w:color="auto" w:fill="D9D9D9" w:themeFill="background1" w:themeFillShade="D9"/>
                        </w:rPr>
                        <w:t>BE</w:t>
                      </w:r>
                      <w:r w:rsidRPr="001E31D3">
                        <w:rPr>
                          <w:rStyle w:val="FootnoteReference"/>
                          <w:szCs w:val="20"/>
                          <w:shd w:val="clear" w:color="auto" w:fill="D9D9D9" w:themeFill="background1" w:themeFillShade="D9"/>
                        </w:rPr>
                        <w:t xml:space="preserve"> </w:t>
                      </w:r>
                      <w:r w:rsidRPr="001E31D3">
                        <w:rPr>
                          <w:szCs w:val="20"/>
                          <w:shd w:val="clear" w:color="auto" w:fill="D9D9D9" w:themeFill="background1" w:themeFillShade="D9"/>
                        </w:rPr>
                        <w:t>(</w:t>
                      </w:r>
                      <w:r>
                        <w:rPr>
                          <w:szCs w:val="20"/>
                          <w:shd w:val="clear" w:color="auto" w:fill="D9D9D9" w:themeFill="background1" w:themeFillShade="D9"/>
                        </w:rPr>
                        <w:t>FL</w:t>
                      </w:r>
                      <w:r w:rsidRPr="001E31D3">
                        <w:rPr>
                          <w:szCs w:val="20"/>
                          <w:shd w:val="clear" w:color="auto" w:fill="D9D9D9" w:themeFill="background1" w:themeFillShade="D9"/>
                        </w:rPr>
                        <w:t xml:space="preserve">), </w:t>
                      </w:r>
                      <w:r>
                        <w:rPr>
                          <w:szCs w:val="20"/>
                          <w:shd w:val="clear" w:color="auto" w:fill="D9D9D9" w:themeFill="background1" w:themeFillShade="D9"/>
                        </w:rPr>
                        <w:t>CZ</w:t>
                      </w:r>
                      <w:r w:rsidRPr="001E31D3">
                        <w:rPr>
                          <w:szCs w:val="20"/>
                          <w:shd w:val="clear" w:color="auto" w:fill="D9D9D9" w:themeFill="background1" w:themeFillShade="D9"/>
                        </w:rPr>
                        <w:t xml:space="preserve">, </w:t>
                      </w:r>
                      <w:r>
                        <w:rPr>
                          <w:szCs w:val="20"/>
                          <w:shd w:val="clear" w:color="auto" w:fill="D9D9D9" w:themeFill="background1" w:themeFillShade="D9"/>
                        </w:rPr>
                        <w:t>DE, DK, FI</w:t>
                      </w:r>
                      <w:r w:rsidRPr="001E31D3">
                        <w:rPr>
                          <w:szCs w:val="20"/>
                          <w:shd w:val="clear" w:color="auto" w:fill="D9D9D9" w:themeFill="background1" w:themeFillShade="D9"/>
                        </w:rPr>
                        <w:t xml:space="preserve">, </w:t>
                      </w:r>
                      <w:r>
                        <w:rPr>
                          <w:szCs w:val="20"/>
                          <w:shd w:val="clear" w:color="auto" w:fill="D9D9D9" w:themeFill="background1" w:themeFillShade="D9"/>
                        </w:rPr>
                        <w:t>IE</w:t>
                      </w:r>
                      <w:r w:rsidRPr="001E31D3">
                        <w:rPr>
                          <w:szCs w:val="20"/>
                          <w:shd w:val="clear" w:color="auto" w:fill="D9D9D9" w:themeFill="background1" w:themeFillShade="D9"/>
                        </w:rPr>
                        <w:t>, I</w:t>
                      </w:r>
                      <w:r>
                        <w:rPr>
                          <w:szCs w:val="20"/>
                          <w:shd w:val="clear" w:color="auto" w:fill="D9D9D9" w:themeFill="background1" w:themeFillShade="D9"/>
                        </w:rPr>
                        <w:t>T</w:t>
                      </w:r>
                      <w:r w:rsidRPr="001E31D3">
                        <w:rPr>
                          <w:szCs w:val="20"/>
                          <w:shd w:val="clear" w:color="auto" w:fill="D9D9D9" w:themeFill="background1" w:themeFillShade="D9"/>
                        </w:rPr>
                        <w:t>, N</w:t>
                      </w:r>
                      <w:r>
                        <w:rPr>
                          <w:szCs w:val="20"/>
                          <w:shd w:val="clear" w:color="auto" w:fill="D9D9D9" w:themeFill="background1" w:themeFillShade="D9"/>
                        </w:rPr>
                        <w:t>L</w:t>
                      </w:r>
                      <w:r w:rsidRPr="001E31D3">
                        <w:rPr>
                          <w:szCs w:val="20"/>
                          <w:shd w:val="clear" w:color="auto" w:fill="D9D9D9" w:themeFill="background1" w:themeFillShade="D9"/>
                        </w:rPr>
                        <w:t>,</w:t>
                      </w:r>
                      <w:r>
                        <w:rPr>
                          <w:szCs w:val="20"/>
                          <w:shd w:val="clear" w:color="auto" w:fill="D9D9D9" w:themeFill="background1" w:themeFillShade="D9"/>
                        </w:rPr>
                        <w:t xml:space="preserve"> PL</w:t>
                      </w:r>
                      <w:r w:rsidRPr="001E31D3">
                        <w:rPr>
                          <w:szCs w:val="20"/>
                          <w:shd w:val="clear" w:color="auto" w:fill="D9D9D9" w:themeFill="background1" w:themeFillShade="D9"/>
                        </w:rPr>
                        <w:t>, S</w:t>
                      </w:r>
                      <w:r>
                        <w:rPr>
                          <w:szCs w:val="20"/>
                          <w:shd w:val="clear" w:color="auto" w:fill="D9D9D9" w:themeFill="background1" w:themeFillShade="D9"/>
                        </w:rPr>
                        <w:t>E</w:t>
                      </w:r>
                      <w:r w:rsidRPr="001E31D3">
                        <w:rPr>
                          <w:szCs w:val="20"/>
                          <w:shd w:val="clear" w:color="auto" w:fill="D9D9D9" w:themeFill="background1" w:themeFillShade="D9"/>
                        </w:rPr>
                        <w:t xml:space="preserve"> and </w:t>
                      </w:r>
                      <w:r>
                        <w:rPr>
                          <w:szCs w:val="20"/>
                          <w:shd w:val="clear" w:color="auto" w:fill="D9D9D9" w:themeFill="background1" w:themeFillShade="D9"/>
                        </w:rPr>
                        <w:t>UK</w:t>
                      </w:r>
                      <w:r w:rsidRPr="001E31D3">
                        <w:rPr>
                          <w:rStyle w:val="FootnoteReference"/>
                          <w:szCs w:val="20"/>
                          <w:shd w:val="clear" w:color="auto" w:fill="D9D9D9" w:themeFill="background1" w:themeFillShade="D9"/>
                        </w:rPr>
                        <w:t xml:space="preserve"> </w:t>
                      </w:r>
                      <w:r w:rsidRPr="001E31D3">
                        <w:rPr>
                          <w:szCs w:val="20"/>
                          <w:shd w:val="clear" w:color="auto" w:fill="D9D9D9" w:themeFill="background1" w:themeFillShade="D9"/>
                        </w:rPr>
                        <w:t>(</w:t>
                      </w:r>
                      <w:r>
                        <w:rPr>
                          <w:szCs w:val="20"/>
                          <w:shd w:val="clear" w:color="auto" w:fill="D9D9D9" w:themeFill="background1" w:themeFillShade="D9"/>
                        </w:rPr>
                        <w:t>EN and NI</w:t>
                      </w:r>
                      <w:r w:rsidRPr="001E31D3">
                        <w:rPr>
                          <w:szCs w:val="20"/>
                          <w:shd w:val="clear" w:color="auto" w:fill="D9D9D9" w:themeFill="background1" w:themeFillShade="D9"/>
                        </w:rPr>
                        <w:t>).</w:t>
                      </w:r>
                      <w:r w:rsidRPr="001E31D3">
                        <w:rPr>
                          <w:shd w:val="clear" w:color="auto" w:fill="D9D9D9" w:themeFill="background1" w:themeFillShade="D9"/>
                        </w:rPr>
                        <w:t>The OECD has recalibrated the IALS data on literacy skills to make it comparable with the PIAAC data on literacy skills. Hence, the files have been updated with the addition of plausible value variables following the same methodology as in PIAAC and literacy levels and scores for both surveys are equivalent with regards to what each level implies (Statistics Canada 2015). As defined earlier, both the PIAAC and IALS sample is restricted to the group of young adults aged 20-34.</w:t>
                      </w:r>
                    </w:p>
                    <w:p w:rsidR="00394EBA" w:rsidRPr="009409BE" w:rsidRDefault="00394EBA">
                      <w:pPr>
                        <w:rPr>
                          <w:color w:val="4F81BD" w:themeColor="accent1"/>
                          <w:szCs w:val="20"/>
                          <w:shd w:val="clear" w:color="auto" w:fill="D9D9D9" w:themeFill="background1" w:themeFillShade="D9"/>
                        </w:rPr>
                      </w:pPr>
                    </w:p>
                  </w:txbxContent>
                </v:textbox>
                <w10:anchorlock/>
              </v:rect>
            </w:pict>
          </mc:Fallback>
        </mc:AlternateContent>
      </w:r>
      <w:bookmarkEnd w:id="85"/>
      <w:bookmarkEnd w:id="86"/>
      <w:bookmarkEnd w:id="87"/>
    </w:p>
    <w:p w:rsidR="00C62228" w:rsidRDefault="00C62228" w:rsidP="000E4E30">
      <w:pPr>
        <w:spacing w:after="120" w:line="288" w:lineRule="auto"/>
        <w:jc w:val="left"/>
        <w:rPr>
          <w:rFonts w:cs="Arial"/>
          <w:b/>
          <w:bCs/>
          <w:color w:val="263673"/>
          <w:szCs w:val="20"/>
        </w:rPr>
      </w:pPr>
      <w:r>
        <w:rPr>
          <w:szCs w:val="20"/>
        </w:rPr>
        <w:br w:type="page"/>
      </w:r>
    </w:p>
    <w:p w:rsidR="002505F3" w:rsidRPr="0037444D" w:rsidRDefault="002524DF" w:rsidP="00363088">
      <w:pPr>
        <w:pStyle w:val="Heading3"/>
      </w:pPr>
      <w:bookmarkStart w:id="102" w:name="_Toc432873761"/>
      <w:bookmarkStart w:id="103" w:name="_Toc435620161"/>
      <w:bookmarkStart w:id="104" w:name="_Toc435802082"/>
      <w:r>
        <w:t xml:space="preserve">4.3.1 </w:t>
      </w:r>
      <w:r w:rsidR="002505F3" w:rsidRPr="0037444D">
        <w:t>Changes in average literacy proficiency over time</w:t>
      </w:r>
      <w:bookmarkEnd w:id="88"/>
      <w:bookmarkEnd w:id="89"/>
      <w:bookmarkEnd w:id="102"/>
      <w:bookmarkEnd w:id="103"/>
      <w:bookmarkEnd w:id="104"/>
      <w:r w:rsidR="002505F3" w:rsidRPr="0037444D">
        <w:t xml:space="preserve"> </w:t>
      </w:r>
    </w:p>
    <w:p w:rsidR="00C77964" w:rsidRDefault="00C77964" w:rsidP="000E4E30">
      <w:pPr>
        <w:pStyle w:val="Heading3"/>
        <w:spacing w:before="0" w:after="120" w:line="288" w:lineRule="auto"/>
        <w:rPr>
          <w:b w:val="0"/>
          <w:color w:val="333333"/>
          <w:szCs w:val="20"/>
        </w:rPr>
      </w:pPr>
      <w:bookmarkStart w:id="105" w:name="_Toc435620162"/>
      <w:bookmarkStart w:id="106" w:name="_Toc435802083"/>
      <w:bookmarkStart w:id="107" w:name="_Toc426636410"/>
      <w:bookmarkStart w:id="108" w:name="_Toc426718857"/>
      <w:bookmarkStart w:id="109" w:name="_Toc426719053"/>
      <w:bookmarkStart w:id="110" w:name="_Toc427069123"/>
      <w:bookmarkStart w:id="111" w:name="_Toc427154759"/>
      <w:bookmarkStart w:id="112" w:name="_Toc427232487"/>
      <w:bookmarkStart w:id="113" w:name="_Toc432873762"/>
      <w:r>
        <w:rPr>
          <w:b w:val="0"/>
          <w:color w:val="333333"/>
          <w:szCs w:val="20"/>
        </w:rPr>
        <w:t>When comparing the</w:t>
      </w:r>
      <w:r w:rsidR="002505F3" w:rsidRPr="000E4E30">
        <w:rPr>
          <w:b w:val="0"/>
          <w:color w:val="333333"/>
          <w:szCs w:val="20"/>
        </w:rPr>
        <w:t xml:space="preserve"> average literacy proficiency of young adults in the mid-1990s</w:t>
      </w:r>
      <w:r w:rsidR="00E04F1A" w:rsidRPr="000E4E30">
        <w:rPr>
          <w:rStyle w:val="FootnoteReference"/>
          <w:b w:val="0"/>
          <w:color w:val="333333"/>
          <w:szCs w:val="20"/>
        </w:rPr>
        <w:footnoteReference w:id="10"/>
      </w:r>
      <w:r>
        <w:rPr>
          <w:b w:val="0"/>
          <w:color w:val="333333"/>
          <w:szCs w:val="20"/>
        </w:rPr>
        <w:t xml:space="preserve"> </w:t>
      </w:r>
      <w:r w:rsidR="002505F3" w:rsidRPr="000E4E30">
        <w:rPr>
          <w:b w:val="0"/>
          <w:color w:val="333333"/>
          <w:szCs w:val="20"/>
        </w:rPr>
        <w:t>with that of young adults around 15 years later</w:t>
      </w:r>
      <w:r w:rsidR="00E04F1A" w:rsidRPr="000E4E30">
        <w:rPr>
          <w:rStyle w:val="FootnoteReference"/>
          <w:b w:val="0"/>
          <w:color w:val="333333"/>
          <w:szCs w:val="20"/>
        </w:rPr>
        <w:footnoteReference w:id="11"/>
      </w:r>
      <w:r>
        <w:rPr>
          <w:b w:val="0"/>
          <w:color w:val="333333"/>
          <w:szCs w:val="20"/>
        </w:rPr>
        <w:t xml:space="preserve">, we find </w:t>
      </w:r>
      <w:r w:rsidR="002505F3" w:rsidRPr="000E4E30">
        <w:rPr>
          <w:b w:val="0"/>
          <w:color w:val="333333"/>
          <w:szCs w:val="20"/>
        </w:rPr>
        <w:t>that proficiency in the sample has slightly decreased from 287 (IALS) to 284 (PIAAC). In fact, average literacy proficiency has decreased in eight of the eleven countries under analysis, although not all changes are significant.</w:t>
      </w:r>
      <w:bookmarkEnd w:id="105"/>
      <w:bookmarkEnd w:id="106"/>
    </w:p>
    <w:p w:rsidR="002505F3" w:rsidRPr="000E4E30" w:rsidRDefault="002505F3" w:rsidP="000E4E30">
      <w:pPr>
        <w:pStyle w:val="Heading3"/>
        <w:spacing w:before="0" w:after="120" w:line="288" w:lineRule="auto"/>
        <w:rPr>
          <w:b w:val="0"/>
          <w:color w:val="333333"/>
          <w:szCs w:val="20"/>
        </w:rPr>
      </w:pPr>
      <w:bookmarkStart w:id="114" w:name="_Toc435620163"/>
      <w:bookmarkStart w:id="115" w:name="_Toc435802084"/>
      <w:r w:rsidRPr="000E4E30">
        <w:rPr>
          <w:b w:val="0"/>
          <w:color w:val="333333"/>
          <w:szCs w:val="20"/>
        </w:rPr>
        <w:t>Significantly lower performance of young adults in PIAAC compared with IALS can be observed in Belgium</w:t>
      </w:r>
      <w:r w:rsidR="00311A5A">
        <w:rPr>
          <w:b w:val="0"/>
          <w:color w:val="333333"/>
          <w:szCs w:val="20"/>
        </w:rPr>
        <w:t xml:space="preserve"> (FL)</w:t>
      </w:r>
      <w:r w:rsidRPr="000E4E30">
        <w:rPr>
          <w:b w:val="0"/>
          <w:color w:val="333333"/>
          <w:szCs w:val="20"/>
        </w:rPr>
        <w:t>, Denmark and Sweden, with Denmark and Sweden displaying a relatively strong deterioration of literacy proficiency of around 7 and 8 percent respectively. The only country with significantly increased literacy proficiency amongst young adults is Poland, which saw an increase of 13% in the 15 years between IALS and PIAAC.</w:t>
      </w:r>
      <w:bookmarkEnd w:id="107"/>
      <w:bookmarkEnd w:id="108"/>
      <w:bookmarkEnd w:id="109"/>
      <w:bookmarkEnd w:id="110"/>
      <w:bookmarkEnd w:id="111"/>
      <w:bookmarkEnd w:id="112"/>
      <w:r w:rsidR="00C62228" w:rsidRPr="000E4E30">
        <w:rPr>
          <w:b w:val="0"/>
          <w:color w:val="333333"/>
          <w:szCs w:val="20"/>
        </w:rPr>
        <w:t xml:space="preserve"> </w:t>
      </w:r>
      <w:r w:rsidRPr="000E4E30">
        <w:rPr>
          <w:b w:val="0"/>
          <w:color w:val="333333"/>
          <w:szCs w:val="20"/>
        </w:rPr>
        <w:t>Table 4.1 displays mean scores for IALS and PIAAC with the percentage variation between both surveys. It also highlights where changes are statistically significant.</w:t>
      </w:r>
      <w:bookmarkEnd w:id="113"/>
      <w:bookmarkEnd w:id="114"/>
      <w:bookmarkEnd w:id="115"/>
      <w:r w:rsidRPr="000E4E30">
        <w:rPr>
          <w:b w:val="0"/>
          <w:color w:val="333333"/>
          <w:szCs w:val="20"/>
        </w:rPr>
        <w:t xml:space="preserve"> </w:t>
      </w:r>
    </w:p>
    <w:p w:rsidR="002505F3" w:rsidRPr="00C27743" w:rsidRDefault="002505F3" w:rsidP="000E4E30">
      <w:pPr>
        <w:pStyle w:val="Caption"/>
        <w:spacing w:before="0" w:after="120" w:line="288" w:lineRule="auto"/>
        <w:rPr>
          <w:rFonts w:ascii="Verdana" w:hAnsi="Verdana"/>
          <w:b w:val="0"/>
          <w:color w:val="1F497D" w:themeColor="text2"/>
          <w:sz w:val="20"/>
        </w:rPr>
      </w:pPr>
      <w:r w:rsidRPr="00C27743">
        <w:rPr>
          <w:rFonts w:ascii="Verdana" w:hAnsi="Verdana" w:cs="Arial"/>
          <w:b w:val="0"/>
          <w:color w:val="1F497D" w:themeColor="text2"/>
          <w:sz w:val="20"/>
        </w:rPr>
        <w:t xml:space="preserve">Table </w:t>
      </w:r>
      <w:r w:rsidR="00E639C9">
        <w:rPr>
          <w:rFonts w:ascii="Verdana" w:hAnsi="Verdana" w:cs="Arial"/>
          <w:b w:val="0"/>
          <w:color w:val="1F497D" w:themeColor="text2"/>
          <w:sz w:val="20"/>
        </w:rPr>
        <w:t>4.1</w:t>
      </w:r>
      <w:r w:rsidRPr="00C27743">
        <w:rPr>
          <w:rFonts w:ascii="Verdana" w:hAnsi="Verdana" w:cs="Arial"/>
          <w:b w:val="0"/>
          <w:color w:val="1F497D" w:themeColor="text2"/>
          <w:sz w:val="20"/>
        </w:rPr>
        <w:t xml:space="preserve"> </w:t>
      </w:r>
      <w:r w:rsidRPr="00C27743">
        <w:rPr>
          <w:rFonts w:ascii="Verdana" w:hAnsi="Verdana"/>
          <w:b w:val="0"/>
          <w:color w:val="1F497D" w:themeColor="text2"/>
          <w:sz w:val="20"/>
        </w:rPr>
        <w:t>Average literacy proficiency, comparison IALS and PIAAC, age group 20-34</w:t>
      </w:r>
    </w:p>
    <w:tbl>
      <w:tblPr>
        <w:tblStyle w:val="TableGrid"/>
        <w:tblW w:w="0" w:type="auto"/>
        <w:tblInd w:w="108" w:type="dxa"/>
        <w:tblLook w:val="04A0" w:firstRow="1" w:lastRow="0" w:firstColumn="1" w:lastColumn="0" w:noHBand="0" w:noVBand="1"/>
      </w:tblPr>
      <w:tblGrid>
        <w:gridCol w:w="1701"/>
        <w:gridCol w:w="1807"/>
        <w:gridCol w:w="1732"/>
        <w:gridCol w:w="1221"/>
        <w:gridCol w:w="2208"/>
      </w:tblGrid>
      <w:tr w:rsidR="002505F3" w:rsidRPr="00E639C9" w:rsidTr="00E639C9">
        <w:trPr>
          <w:trHeight w:val="283"/>
        </w:trPr>
        <w:tc>
          <w:tcPr>
            <w:tcW w:w="1701" w:type="dxa"/>
            <w:shd w:val="clear" w:color="auto" w:fill="17365D" w:themeFill="text2" w:themeFillShade="BF"/>
            <w:vAlign w:val="center"/>
            <w:hideMark/>
          </w:tcPr>
          <w:p w:rsidR="002505F3" w:rsidRPr="00E639C9" w:rsidRDefault="002505F3" w:rsidP="000E4E30">
            <w:pPr>
              <w:keepNext/>
              <w:spacing w:after="120"/>
              <w:jc w:val="center"/>
              <w:rPr>
                <w:rFonts w:cs="Arial"/>
                <w:b/>
                <w:color w:val="FFFFFF" w:themeColor="background1"/>
                <w:szCs w:val="20"/>
              </w:rPr>
            </w:pPr>
            <w:r w:rsidRPr="00E639C9">
              <w:rPr>
                <w:rFonts w:cs="Arial"/>
                <w:b/>
                <w:color w:val="FFFFFF" w:themeColor="background1"/>
                <w:szCs w:val="20"/>
              </w:rPr>
              <w:t>Country</w:t>
            </w:r>
          </w:p>
        </w:tc>
        <w:tc>
          <w:tcPr>
            <w:tcW w:w="1807" w:type="dxa"/>
            <w:shd w:val="clear" w:color="auto" w:fill="17365D" w:themeFill="text2" w:themeFillShade="BF"/>
            <w:vAlign w:val="center"/>
            <w:hideMark/>
          </w:tcPr>
          <w:p w:rsidR="002505F3" w:rsidRPr="00E639C9" w:rsidRDefault="002505F3" w:rsidP="000E4E30">
            <w:pPr>
              <w:keepNext/>
              <w:spacing w:after="120"/>
              <w:jc w:val="center"/>
              <w:rPr>
                <w:rFonts w:cs="Arial"/>
                <w:b/>
                <w:color w:val="FFFFFF" w:themeColor="background1"/>
                <w:szCs w:val="20"/>
              </w:rPr>
            </w:pPr>
            <w:r w:rsidRPr="00E639C9">
              <w:rPr>
                <w:rFonts w:cs="Arial"/>
                <w:b/>
                <w:color w:val="FFFFFF" w:themeColor="background1"/>
                <w:szCs w:val="20"/>
              </w:rPr>
              <w:t xml:space="preserve">IALS Average score </w:t>
            </w:r>
          </w:p>
        </w:tc>
        <w:tc>
          <w:tcPr>
            <w:tcW w:w="1879" w:type="dxa"/>
            <w:shd w:val="clear" w:color="auto" w:fill="17365D" w:themeFill="text2" w:themeFillShade="BF"/>
            <w:vAlign w:val="center"/>
            <w:hideMark/>
          </w:tcPr>
          <w:p w:rsidR="002505F3" w:rsidRPr="00E639C9" w:rsidRDefault="002505F3" w:rsidP="000E4E30">
            <w:pPr>
              <w:keepNext/>
              <w:spacing w:after="120"/>
              <w:jc w:val="center"/>
              <w:rPr>
                <w:rFonts w:cs="Arial"/>
                <w:b/>
                <w:color w:val="FFFFFF" w:themeColor="background1"/>
                <w:szCs w:val="20"/>
              </w:rPr>
            </w:pPr>
            <w:r w:rsidRPr="00E639C9">
              <w:rPr>
                <w:rFonts w:cs="Arial"/>
                <w:b/>
                <w:color w:val="FFFFFF" w:themeColor="background1"/>
                <w:szCs w:val="20"/>
              </w:rPr>
              <w:t xml:space="preserve">PIAAC Average score </w:t>
            </w:r>
          </w:p>
        </w:tc>
        <w:tc>
          <w:tcPr>
            <w:tcW w:w="1134" w:type="dxa"/>
            <w:shd w:val="clear" w:color="auto" w:fill="17365D" w:themeFill="text2" w:themeFillShade="BF"/>
            <w:vAlign w:val="center"/>
            <w:hideMark/>
          </w:tcPr>
          <w:p w:rsidR="002505F3" w:rsidRPr="00E639C9" w:rsidRDefault="002505F3" w:rsidP="000E4E30">
            <w:pPr>
              <w:keepNext/>
              <w:spacing w:after="120"/>
              <w:jc w:val="center"/>
              <w:rPr>
                <w:rFonts w:cs="Arial"/>
                <w:b/>
                <w:color w:val="FFFFFF" w:themeColor="background1"/>
                <w:szCs w:val="20"/>
              </w:rPr>
            </w:pPr>
            <w:r w:rsidRPr="00E639C9">
              <w:rPr>
                <w:rFonts w:cs="Arial"/>
                <w:b/>
                <w:color w:val="FFFFFF" w:themeColor="background1"/>
                <w:szCs w:val="20"/>
              </w:rPr>
              <w:t>% variation</w:t>
            </w:r>
          </w:p>
        </w:tc>
        <w:tc>
          <w:tcPr>
            <w:tcW w:w="2410" w:type="dxa"/>
            <w:shd w:val="clear" w:color="auto" w:fill="17365D" w:themeFill="text2" w:themeFillShade="BF"/>
            <w:vAlign w:val="center"/>
          </w:tcPr>
          <w:p w:rsidR="002505F3" w:rsidRPr="00E639C9" w:rsidRDefault="002505F3" w:rsidP="000E4E30">
            <w:pPr>
              <w:keepNext/>
              <w:spacing w:after="120"/>
              <w:jc w:val="center"/>
              <w:rPr>
                <w:rFonts w:cs="Arial"/>
                <w:b/>
                <w:color w:val="FFFFFF" w:themeColor="background1"/>
                <w:szCs w:val="20"/>
              </w:rPr>
            </w:pPr>
            <w:r w:rsidRPr="00E639C9">
              <w:rPr>
                <w:rFonts w:cs="Arial"/>
                <w:b/>
                <w:color w:val="FFFFFF" w:themeColor="background1"/>
                <w:szCs w:val="20"/>
              </w:rPr>
              <w:t>Change statistical significant</w:t>
            </w:r>
          </w:p>
        </w:tc>
      </w:tr>
      <w:tr w:rsidR="002505F3" w:rsidRPr="00E639C9" w:rsidTr="00E639C9">
        <w:trPr>
          <w:trHeight w:val="283"/>
        </w:trPr>
        <w:tc>
          <w:tcPr>
            <w:tcW w:w="1701" w:type="dxa"/>
            <w:shd w:val="clear" w:color="auto" w:fill="B8CCE4" w:themeFill="accent1" w:themeFillTint="66"/>
            <w:noWrap/>
            <w:vAlign w:val="center"/>
            <w:hideMark/>
          </w:tcPr>
          <w:p w:rsidR="002505F3" w:rsidRPr="00E639C9" w:rsidRDefault="002505F3" w:rsidP="000E4E30">
            <w:pPr>
              <w:keepNext/>
              <w:spacing w:after="120"/>
              <w:rPr>
                <w:rFonts w:cs="Arial"/>
                <w:szCs w:val="20"/>
              </w:rPr>
            </w:pPr>
            <w:r w:rsidRPr="00E639C9">
              <w:rPr>
                <w:rFonts w:cs="Arial"/>
                <w:szCs w:val="20"/>
              </w:rPr>
              <w:t>Belgium</w:t>
            </w:r>
            <w:r w:rsidR="00311A5A" w:rsidRPr="00E639C9">
              <w:rPr>
                <w:rFonts w:cs="Arial"/>
                <w:szCs w:val="20"/>
              </w:rPr>
              <w:t xml:space="preserve"> (FL)</w:t>
            </w:r>
          </w:p>
        </w:tc>
        <w:tc>
          <w:tcPr>
            <w:tcW w:w="1807" w:type="dxa"/>
            <w:shd w:val="clear" w:color="auto" w:fill="B8CCE4" w:themeFill="accent1" w:themeFillTint="66"/>
            <w:noWrap/>
            <w:vAlign w:val="center"/>
            <w:hideMark/>
          </w:tcPr>
          <w:p w:rsidR="002505F3" w:rsidRPr="00E639C9" w:rsidRDefault="002505F3" w:rsidP="000E4E30">
            <w:pPr>
              <w:keepNext/>
              <w:spacing w:after="120"/>
              <w:rPr>
                <w:rFonts w:cs="Arial"/>
                <w:szCs w:val="20"/>
              </w:rPr>
            </w:pPr>
            <w:r w:rsidRPr="00E639C9">
              <w:rPr>
                <w:rFonts w:cs="Arial"/>
                <w:szCs w:val="20"/>
              </w:rPr>
              <w:t>296 (1.65)</w:t>
            </w:r>
          </w:p>
        </w:tc>
        <w:tc>
          <w:tcPr>
            <w:tcW w:w="1879" w:type="dxa"/>
            <w:shd w:val="clear" w:color="auto" w:fill="B8CCE4" w:themeFill="accent1" w:themeFillTint="66"/>
            <w:vAlign w:val="center"/>
            <w:hideMark/>
          </w:tcPr>
          <w:p w:rsidR="002505F3" w:rsidRPr="00E639C9" w:rsidRDefault="002505F3" w:rsidP="000E4E30">
            <w:pPr>
              <w:keepNext/>
              <w:spacing w:after="120"/>
              <w:rPr>
                <w:rFonts w:cs="Arial"/>
                <w:szCs w:val="20"/>
              </w:rPr>
            </w:pPr>
            <w:r w:rsidRPr="00E639C9">
              <w:rPr>
                <w:rFonts w:cs="Arial"/>
                <w:szCs w:val="20"/>
              </w:rPr>
              <w:t>291 (1.45)</w:t>
            </w:r>
          </w:p>
        </w:tc>
        <w:tc>
          <w:tcPr>
            <w:tcW w:w="1134" w:type="dxa"/>
            <w:shd w:val="clear" w:color="auto" w:fill="B8CCE4" w:themeFill="accent1" w:themeFillTint="66"/>
            <w:noWrap/>
            <w:vAlign w:val="center"/>
            <w:hideMark/>
          </w:tcPr>
          <w:p w:rsidR="002505F3" w:rsidRPr="00E639C9" w:rsidRDefault="002505F3" w:rsidP="000E4E30">
            <w:pPr>
              <w:keepNext/>
              <w:spacing w:after="120"/>
              <w:rPr>
                <w:rFonts w:cs="Arial"/>
                <w:szCs w:val="20"/>
              </w:rPr>
            </w:pPr>
            <w:r w:rsidRPr="00E639C9">
              <w:rPr>
                <w:rFonts w:cs="Arial"/>
                <w:szCs w:val="20"/>
              </w:rPr>
              <w:t>-1.7</w:t>
            </w:r>
          </w:p>
        </w:tc>
        <w:tc>
          <w:tcPr>
            <w:tcW w:w="2410" w:type="dxa"/>
            <w:shd w:val="clear" w:color="auto" w:fill="B8CCE4" w:themeFill="accent1" w:themeFillTint="66"/>
            <w:vAlign w:val="center"/>
          </w:tcPr>
          <w:p w:rsidR="002505F3" w:rsidRPr="00E639C9" w:rsidRDefault="002505F3" w:rsidP="000E4E30">
            <w:pPr>
              <w:keepNext/>
              <w:spacing w:after="120"/>
              <w:rPr>
                <w:rFonts w:cs="Arial"/>
                <w:szCs w:val="20"/>
              </w:rPr>
            </w:pPr>
            <w:r w:rsidRPr="00E639C9">
              <w:rPr>
                <w:rFonts w:cs="Arial"/>
                <w:szCs w:val="20"/>
              </w:rPr>
              <w:t>yes</w:t>
            </w:r>
          </w:p>
        </w:tc>
      </w:tr>
      <w:tr w:rsidR="002505F3" w:rsidRPr="00E639C9" w:rsidTr="00E639C9">
        <w:trPr>
          <w:trHeight w:val="283"/>
        </w:trPr>
        <w:tc>
          <w:tcPr>
            <w:tcW w:w="1701" w:type="dxa"/>
            <w:noWrap/>
            <w:vAlign w:val="center"/>
            <w:hideMark/>
          </w:tcPr>
          <w:p w:rsidR="002505F3" w:rsidRPr="00E639C9" w:rsidRDefault="002505F3" w:rsidP="000E4E30">
            <w:pPr>
              <w:keepNext/>
              <w:spacing w:after="120"/>
              <w:rPr>
                <w:rFonts w:cs="Arial"/>
                <w:szCs w:val="20"/>
              </w:rPr>
            </w:pPr>
            <w:r w:rsidRPr="00E639C9">
              <w:rPr>
                <w:rFonts w:cs="Arial"/>
                <w:szCs w:val="20"/>
              </w:rPr>
              <w:t>Czech Republic</w:t>
            </w:r>
          </w:p>
        </w:tc>
        <w:tc>
          <w:tcPr>
            <w:tcW w:w="1807" w:type="dxa"/>
            <w:noWrap/>
            <w:vAlign w:val="center"/>
            <w:hideMark/>
          </w:tcPr>
          <w:p w:rsidR="002505F3" w:rsidRPr="00E639C9" w:rsidRDefault="002505F3" w:rsidP="000E4E30">
            <w:pPr>
              <w:keepNext/>
              <w:spacing w:after="120"/>
              <w:rPr>
                <w:rFonts w:cs="Arial"/>
                <w:szCs w:val="20"/>
              </w:rPr>
            </w:pPr>
            <w:r w:rsidRPr="00E639C9">
              <w:rPr>
                <w:rFonts w:cs="Arial"/>
                <w:szCs w:val="20"/>
              </w:rPr>
              <w:t>289 (1.33)</w:t>
            </w:r>
          </w:p>
        </w:tc>
        <w:tc>
          <w:tcPr>
            <w:tcW w:w="1879" w:type="dxa"/>
            <w:vAlign w:val="center"/>
            <w:hideMark/>
          </w:tcPr>
          <w:p w:rsidR="002505F3" w:rsidRPr="00E639C9" w:rsidRDefault="002505F3" w:rsidP="000E4E30">
            <w:pPr>
              <w:keepNext/>
              <w:spacing w:after="120"/>
              <w:rPr>
                <w:rFonts w:cs="Arial"/>
                <w:szCs w:val="20"/>
              </w:rPr>
            </w:pPr>
            <w:r w:rsidRPr="00E639C9">
              <w:rPr>
                <w:rFonts w:cs="Arial"/>
                <w:szCs w:val="20"/>
              </w:rPr>
              <w:t>286 (1.65)</w:t>
            </w:r>
          </w:p>
        </w:tc>
        <w:tc>
          <w:tcPr>
            <w:tcW w:w="1134" w:type="dxa"/>
            <w:noWrap/>
            <w:vAlign w:val="center"/>
            <w:hideMark/>
          </w:tcPr>
          <w:p w:rsidR="002505F3" w:rsidRPr="00E639C9" w:rsidRDefault="002505F3" w:rsidP="000E4E30">
            <w:pPr>
              <w:keepNext/>
              <w:spacing w:after="120"/>
              <w:rPr>
                <w:rFonts w:cs="Arial"/>
                <w:szCs w:val="20"/>
              </w:rPr>
            </w:pPr>
            <w:r w:rsidRPr="00E639C9">
              <w:rPr>
                <w:rFonts w:cs="Arial"/>
                <w:szCs w:val="20"/>
              </w:rPr>
              <w:t>-0.9</w:t>
            </w:r>
          </w:p>
        </w:tc>
        <w:tc>
          <w:tcPr>
            <w:tcW w:w="2410" w:type="dxa"/>
            <w:vAlign w:val="center"/>
          </w:tcPr>
          <w:p w:rsidR="002505F3" w:rsidRPr="00E639C9" w:rsidRDefault="002505F3" w:rsidP="000E4E30">
            <w:pPr>
              <w:keepNext/>
              <w:spacing w:after="120"/>
              <w:rPr>
                <w:rFonts w:cs="Arial"/>
                <w:szCs w:val="20"/>
              </w:rPr>
            </w:pPr>
            <w:r w:rsidRPr="00E639C9">
              <w:rPr>
                <w:rFonts w:cs="Arial"/>
                <w:szCs w:val="20"/>
              </w:rPr>
              <w:t>no</w:t>
            </w:r>
          </w:p>
        </w:tc>
      </w:tr>
      <w:tr w:rsidR="002505F3" w:rsidRPr="00E639C9" w:rsidTr="00E639C9">
        <w:trPr>
          <w:trHeight w:val="283"/>
        </w:trPr>
        <w:tc>
          <w:tcPr>
            <w:tcW w:w="1701" w:type="dxa"/>
            <w:shd w:val="clear" w:color="auto" w:fill="B8CCE4" w:themeFill="accent1" w:themeFillTint="66"/>
            <w:noWrap/>
            <w:vAlign w:val="center"/>
            <w:hideMark/>
          </w:tcPr>
          <w:p w:rsidR="002505F3" w:rsidRPr="00E639C9" w:rsidRDefault="002505F3" w:rsidP="000E4E30">
            <w:pPr>
              <w:keepNext/>
              <w:spacing w:after="120"/>
              <w:rPr>
                <w:rFonts w:cs="Arial"/>
                <w:szCs w:val="20"/>
              </w:rPr>
            </w:pPr>
            <w:r w:rsidRPr="00E639C9">
              <w:rPr>
                <w:rFonts w:cs="Arial"/>
                <w:szCs w:val="20"/>
              </w:rPr>
              <w:t>Denmark</w:t>
            </w:r>
          </w:p>
        </w:tc>
        <w:tc>
          <w:tcPr>
            <w:tcW w:w="1807" w:type="dxa"/>
            <w:shd w:val="clear" w:color="auto" w:fill="B8CCE4" w:themeFill="accent1" w:themeFillTint="66"/>
            <w:noWrap/>
            <w:vAlign w:val="center"/>
            <w:hideMark/>
          </w:tcPr>
          <w:p w:rsidR="002505F3" w:rsidRPr="00E639C9" w:rsidRDefault="002505F3" w:rsidP="000E4E30">
            <w:pPr>
              <w:keepNext/>
              <w:spacing w:after="120"/>
              <w:rPr>
                <w:rFonts w:cs="Arial"/>
                <w:szCs w:val="20"/>
              </w:rPr>
            </w:pPr>
            <w:r w:rsidRPr="00E639C9">
              <w:rPr>
                <w:rFonts w:cs="Arial"/>
                <w:szCs w:val="20"/>
              </w:rPr>
              <w:t>302 (1.13)</w:t>
            </w:r>
          </w:p>
        </w:tc>
        <w:tc>
          <w:tcPr>
            <w:tcW w:w="1879" w:type="dxa"/>
            <w:shd w:val="clear" w:color="auto" w:fill="B8CCE4" w:themeFill="accent1" w:themeFillTint="66"/>
            <w:vAlign w:val="center"/>
            <w:hideMark/>
          </w:tcPr>
          <w:p w:rsidR="002505F3" w:rsidRPr="00E639C9" w:rsidRDefault="002505F3" w:rsidP="000E4E30">
            <w:pPr>
              <w:keepNext/>
              <w:spacing w:after="120"/>
              <w:rPr>
                <w:rFonts w:cs="Arial"/>
                <w:szCs w:val="20"/>
              </w:rPr>
            </w:pPr>
            <w:r w:rsidRPr="00E639C9">
              <w:rPr>
                <w:rFonts w:cs="Arial"/>
                <w:szCs w:val="20"/>
              </w:rPr>
              <w:t>282 (1.41)</w:t>
            </w:r>
          </w:p>
        </w:tc>
        <w:tc>
          <w:tcPr>
            <w:tcW w:w="1134" w:type="dxa"/>
            <w:shd w:val="clear" w:color="auto" w:fill="B8CCE4" w:themeFill="accent1" w:themeFillTint="66"/>
            <w:noWrap/>
            <w:vAlign w:val="center"/>
            <w:hideMark/>
          </w:tcPr>
          <w:p w:rsidR="002505F3" w:rsidRPr="00E639C9" w:rsidRDefault="002505F3" w:rsidP="000E4E30">
            <w:pPr>
              <w:keepNext/>
              <w:spacing w:after="120"/>
              <w:rPr>
                <w:rFonts w:cs="Arial"/>
                <w:szCs w:val="20"/>
              </w:rPr>
            </w:pPr>
            <w:r w:rsidRPr="00E639C9">
              <w:rPr>
                <w:rFonts w:cs="Arial"/>
                <w:szCs w:val="20"/>
              </w:rPr>
              <w:t>-6.9</w:t>
            </w:r>
          </w:p>
        </w:tc>
        <w:tc>
          <w:tcPr>
            <w:tcW w:w="2410" w:type="dxa"/>
            <w:shd w:val="clear" w:color="auto" w:fill="B8CCE4" w:themeFill="accent1" w:themeFillTint="66"/>
            <w:vAlign w:val="center"/>
          </w:tcPr>
          <w:p w:rsidR="002505F3" w:rsidRPr="00E639C9" w:rsidRDefault="002505F3" w:rsidP="000E4E30">
            <w:pPr>
              <w:keepNext/>
              <w:spacing w:after="120"/>
              <w:rPr>
                <w:rFonts w:cs="Arial"/>
                <w:szCs w:val="20"/>
              </w:rPr>
            </w:pPr>
            <w:r w:rsidRPr="00E639C9">
              <w:rPr>
                <w:rFonts w:cs="Arial"/>
                <w:szCs w:val="20"/>
              </w:rPr>
              <w:t>yes</w:t>
            </w:r>
          </w:p>
        </w:tc>
      </w:tr>
      <w:tr w:rsidR="002505F3" w:rsidRPr="00E639C9" w:rsidTr="00E639C9">
        <w:trPr>
          <w:trHeight w:val="283"/>
        </w:trPr>
        <w:tc>
          <w:tcPr>
            <w:tcW w:w="1701" w:type="dxa"/>
            <w:noWrap/>
            <w:vAlign w:val="center"/>
            <w:hideMark/>
          </w:tcPr>
          <w:p w:rsidR="002505F3" w:rsidRPr="00E639C9" w:rsidRDefault="002505F3" w:rsidP="000E4E30">
            <w:pPr>
              <w:keepNext/>
              <w:spacing w:after="120"/>
              <w:rPr>
                <w:rFonts w:cs="Arial"/>
                <w:szCs w:val="20"/>
              </w:rPr>
            </w:pPr>
            <w:r w:rsidRPr="00E639C9">
              <w:rPr>
                <w:rFonts w:cs="Arial"/>
                <w:szCs w:val="20"/>
              </w:rPr>
              <w:t>Finland</w:t>
            </w:r>
          </w:p>
        </w:tc>
        <w:tc>
          <w:tcPr>
            <w:tcW w:w="1807" w:type="dxa"/>
            <w:noWrap/>
            <w:vAlign w:val="center"/>
            <w:hideMark/>
          </w:tcPr>
          <w:p w:rsidR="002505F3" w:rsidRPr="00E639C9" w:rsidRDefault="002505F3" w:rsidP="000E4E30">
            <w:pPr>
              <w:keepNext/>
              <w:spacing w:after="120"/>
              <w:rPr>
                <w:rFonts w:cs="Arial"/>
                <w:szCs w:val="20"/>
              </w:rPr>
            </w:pPr>
            <w:r w:rsidRPr="00E639C9">
              <w:rPr>
                <w:rFonts w:cs="Arial"/>
                <w:szCs w:val="20"/>
              </w:rPr>
              <w:t>308 (1.34)</w:t>
            </w:r>
          </w:p>
        </w:tc>
        <w:tc>
          <w:tcPr>
            <w:tcW w:w="1879" w:type="dxa"/>
            <w:vAlign w:val="center"/>
            <w:hideMark/>
          </w:tcPr>
          <w:p w:rsidR="002505F3" w:rsidRPr="00E639C9" w:rsidRDefault="002505F3" w:rsidP="000E4E30">
            <w:pPr>
              <w:keepNext/>
              <w:spacing w:after="120"/>
              <w:rPr>
                <w:rFonts w:cs="Arial"/>
                <w:szCs w:val="20"/>
              </w:rPr>
            </w:pPr>
            <w:r w:rsidRPr="00E639C9">
              <w:rPr>
                <w:rFonts w:cs="Arial"/>
                <w:szCs w:val="20"/>
              </w:rPr>
              <w:t>307 (1.54)</w:t>
            </w:r>
          </w:p>
        </w:tc>
        <w:tc>
          <w:tcPr>
            <w:tcW w:w="1134" w:type="dxa"/>
            <w:noWrap/>
            <w:vAlign w:val="center"/>
            <w:hideMark/>
          </w:tcPr>
          <w:p w:rsidR="002505F3" w:rsidRPr="00E639C9" w:rsidRDefault="002505F3" w:rsidP="000E4E30">
            <w:pPr>
              <w:keepNext/>
              <w:spacing w:after="120"/>
              <w:rPr>
                <w:rFonts w:cs="Arial"/>
                <w:szCs w:val="20"/>
              </w:rPr>
            </w:pPr>
            <w:r w:rsidRPr="00E639C9">
              <w:rPr>
                <w:rFonts w:cs="Arial"/>
                <w:szCs w:val="20"/>
              </w:rPr>
              <w:t>-0.3</w:t>
            </w:r>
          </w:p>
        </w:tc>
        <w:tc>
          <w:tcPr>
            <w:tcW w:w="2410" w:type="dxa"/>
            <w:vAlign w:val="center"/>
          </w:tcPr>
          <w:p w:rsidR="002505F3" w:rsidRPr="00E639C9" w:rsidRDefault="002505F3" w:rsidP="000E4E30">
            <w:pPr>
              <w:keepNext/>
              <w:spacing w:after="120"/>
              <w:rPr>
                <w:rFonts w:cs="Arial"/>
                <w:szCs w:val="20"/>
              </w:rPr>
            </w:pPr>
            <w:r w:rsidRPr="00E639C9">
              <w:rPr>
                <w:rFonts w:cs="Arial"/>
                <w:szCs w:val="20"/>
              </w:rPr>
              <w:t>no</w:t>
            </w:r>
          </w:p>
        </w:tc>
      </w:tr>
      <w:tr w:rsidR="002505F3" w:rsidRPr="00E639C9" w:rsidTr="00E639C9">
        <w:trPr>
          <w:trHeight w:val="283"/>
        </w:trPr>
        <w:tc>
          <w:tcPr>
            <w:tcW w:w="1701" w:type="dxa"/>
            <w:noWrap/>
            <w:vAlign w:val="center"/>
            <w:hideMark/>
          </w:tcPr>
          <w:p w:rsidR="002505F3" w:rsidRPr="00E639C9" w:rsidRDefault="002505F3" w:rsidP="000E4E30">
            <w:pPr>
              <w:keepNext/>
              <w:spacing w:after="120"/>
              <w:rPr>
                <w:rFonts w:cs="Arial"/>
                <w:szCs w:val="20"/>
              </w:rPr>
            </w:pPr>
            <w:r w:rsidRPr="00E639C9">
              <w:rPr>
                <w:rFonts w:cs="Arial"/>
                <w:szCs w:val="20"/>
              </w:rPr>
              <w:t>Germany</w:t>
            </w:r>
          </w:p>
        </w:tc>
        <w:tc>
          <w:tcPr>
            <w:tcW w:w="1807" w:type="dxa"/>
            <w:noWrap/>
            <w:vAlign w:val="center"/>
            <w:hideMark/>
          </w:tcPr>
          <w:p w:rsidR="002505F3" w:rsidRPr="00E639C9" w:rsidRDefault="002505F3" w:rsidP="000E4E30">
            <w:pPr>
              <w:keepNext/>
              <w:spacing w:after="120"/>
              <w:rPr>
                <w:rFonts w:cs="Arial"/>
                <w:szCs w:val="20"/>
              </w:rPr>
            </w:pPr>
            <w:r w:rsidRPr="00E639C9">
              <w:rPr>
                <w:rFonts w:cs="Arial"/>
                <w:szCs w:val="20"/>
              </w:rPr>
              <w:t>291 (1.63)</w:t>
            </w:r>
          </w:p>
        </w:tc>
        <w:tc>
          <w:tcPr>
            <w:tcW w:w="1879" w:type="dxa"/>
            <w:vAlign w:val="center"/>
            <w:hideMark/>
          </w:tcPr>
          <w:p w:rsidR="002505F3" w:rsidRPr="00E639C9" w:rsidRDefault="002505F3" w:rsidP="000E4E30">
            <w:pPr>
              <w:keepNext/>
              <w:spacing w:after="120"/>
              <w:rPr>
                <w:rFonts w:cs="Arial"/>
                <w:szCs w:val="20"/>
              </w:rPr>
            </w:pPr>
            <w:r w:rsidRPr="00E639C9">
              <w:rPr>
                <w:rFonts w:cs="Arial"/>
                <w:szCs w:val="20"/>
              </w:rPr>
              <w:t>282 (1.45)</w:t>
            </w:r>
          </w:p>
        </w:tc>
        <w:tc>
          <w:tcPr>
            <w:tcW w:w="1134" w:type="dxa"/>
            <w:noWrap/>
            <w:vAlign w:val="center"/>
            <w:hideMark/>
          </w:tcPr>
          <w:p w:rsidR="002505F3" w:rsidRPr="00E639C9" w:rsidRDefault="002505F3" w:rsidP="000E4E30">
            <w:pPr>
              <w:keepNext/>
              <w:spacing w:after="120"/>
              <w:rPr>
                <w:rFonts w:cs="Arial"/>
                <w:szCs w:val="20"/>
              </w:rPr>
            </w:pPr>
            <w:r w:rsidRPr="00E639C9">
              <w:rPr>
                <w:rFonts w:cs="Arial"/>
                <w:szCs w:val="20"/>
              </w:rPr>
              <w:t>-3.1</w:t>
            </w:r>
          </w:p>
        </w:tc>
        <w:tc>
          <w:tcPr>
            <w:tcW w:w="2410" w:type="dxa"/>
            <w:vAlign w:val="center"/>
          </w:tcPr>
          <w:p w:rsidR="002505F3" w:rsidRPr="00E639C9" w:rsidRDefault="002505F3" w:rsidP="000E4E30">
            <w:pPr>
              <w:keepNext/>
              <w:spacing w:after="120"/>
              <w:rPr>
                <w:rFonts w:cs="Arial"/>
                <w:szCs w:val="20"/>
              </w:rPr>
            </w:pPr>
            <w:r w:rsidRPr="00E639C9">
              <w:rPr>
                <w:rFonts w:cs="Arial"/>
                <w:szCs w:val="20"/>
              </w:rPr>
              <w:t>no</w:t>
            </w:r>
          </w:p>
        </w:tc>
      </w:tr>
      <w:tr w:rsidR="002505F3" w:rsidRPr="00E639C9" w:rsidTr="00E639C9">
        <w:trPr>
          <w:trHeight w:val="283"/>
        </w:trPr>
        <w:tc>
          <w:tcPr>
            <w:tcW w:w="1701" w:type="dxa"/>
            <w:noWrap/>
            <w:vAlign w:val="center"/>
            <w:hideMark/>
          </w:tcPr>
          <w:p w:rsidR="002505F3" w:rsidRPr="00E639C9" w:rsidRDefault="002505F3" w:rsidP="000E4E30">
            <w:pPr>
              <w:keepNext/>
              <w:spacing w:after="120"/>
              <w:rPr>
                <w:rFonts w:cs="Arial"/>
                <w:szCs w:val="20"/>
              </w:rPr>
            </w:pPr>
            <w:r w:rsidRPr="00E639C9">
              <w:rPr>
                <w:rFonts w:cs="Arial"/>
                <w:szCs w:val="20"/>
              </w:rPr>
              <w:t>Ireland</w:t>
            </w:r>
          </w:p>
        </w:tc>
        <w:tc>
          <w:tcPr>
            <w:tcW w:w="1807" w:type="dxa"/>
            <w:noWrap/>
            <w:vAlign w:val="center"/>
            <w:hideMark/>
          </w:tcPr>
          <w:p w:rsidR="002505F3" w:rsidRPr="00E639C9" w:rsidRDefault="002505F3" w:rsidP="000E4E30">
            <w:pPr>
              <w:keepNext/>
              <w:spacing w:after="120"/>
              <w:rPr>
                <w:rFonts w:cs="Arial"/>
                <w:szCs w:val="20"/>
              </w:rPr>
            </w:pPr>
            <w:r w:rsidRPr="00E639C9">
              <w:rPr>
                <w:rFonts w:cs="Arial"/>
                <w:szCs w:val="20"/>
              </w:rPr>
              <w:t>275 (1.77)</w:t>
            </w:r>
          </w:p>
        </w:tc>
        <w:tc>
          <w:tcPr>
            <w:tcW w:w="1879" w:type="dxa"/>
            <w:vAlign w:val="center"/>
            <w:hideMark/>
          </w:tcPr>
          <w:p w:rsidR="002505F3" w:rsidRPr="00E639C9" w:rsidRDefault="002505F3" w:rsidP="000E4E30">
            <w:pPr>
              <w:keepNext/>
              <w:spacing w:after="120"/>
              <w:rPr>
                <w:rFonts w:cs="Arial"/>
                <w:szCs w:val="20"/>
              </w:rPr>
            </w:pPr>
            <w:r w:rsidRPr="00E639C9">
              <w:rPr>
                <w:rFonts w:cs="Arial"/>
                <w:szCs w:val="20"/>
              </w:rPr>
              <w:t>275 (1.39)</w:t>
            </w:r>
          </w:p>
        </w:tc>
        <w:tc>
          <w:tcPr>
            <w:tcW w:w="1134" w:type="dxa"/>
            <w:noWrap/>
            <w:vAlign w:val="center"/>
            <w:hideMark/>
          </w:tcPr>
          <w:p w:rsidR="002505F3" w:rsidRPr="00E639C9" w:rsidRDefault="002505F3" w:rsidP="000E4E30">
            <w:pPr>
              <w:keepNext/>
              <w:spacing w:after="120"/>
              <w:rPr>
                <w:rFonts w:cs="Arial"/>
                <w:szCs w:val="20"/>
              </w:rPr>
            </w:pPr>
            <w:r w:rsidRPr="00E639C9">
              <w:rPr>
                <w:rFonts w:cs="Arial"/>
                <w:szCs w:val="20"/>
              </w:rPr>
              <w:t>0.2</w:t>
            </w:r>
          </w:p>
        </w:tc>
        <w:tc>
          <w:tcPr>
            <w:tcW w:w="2410" w:type="dxa"/>
            <w:vAlign w:val="center"/>
          </w:tcPr>
          <w:p w:rsidR="002505F3" w:rsidRPr="00E639C9" w:rsidRDefault="002505F3" w:rsidP="000E4E30">
            <w:pPr>
              <w:keepNext/>
              <w:spacing w:after="120"/>
              <w:rPr>
                <w:rFonts w:cs="Arial"/>
                <w:szCs w:val="20"/>
              </w:rPr>
            </w:pPr>
            <w:r w:rsidRPr="00E639C9">
              <w:rPr>
                <w:rFonts w:cs="Arial"/>
                <w:szCs w:val="20"/>
              </w:rPr>
              <w:t>no</w:t>
            </w:r>
          </w:p>
        </w:tc>
      </w:tr>
      <w:tr w:rsidR="002505F3" w:rsidRPr="00E639C9" w:rsidTr="00E639C9">
        <w:trPr>
          <w:trHeight w:val="283"/>
        </w:trPr>
        <w:tc>
          <w:tcPr>
            <w:tcW w:w="1701" w:type="dxa"/>
            <w:noWrap/>
            <w:vAlign w:val="center"/>
            <w:hideMark/>
          </w:tcPr>
          <w:p w:rsidR="002505F3" w:rsidRPr="00E639C9" w:rsidRDefault="002505F3" w:rsidP="000E4E30">
            <w:pPr>
              <w:keepNext/>
              <w:spacing w:after="120"/>
              <w:rPr>
                <w:rFonts w:cs="Arial"/>
                <w:szCs w:val="20"/>
              </w:rPr>
            </w:pPr>
            <w:r w:rsidRPr="00E639C9">
              <w:rPr>
                <w:rFonts w:cs="Arial"/>
                <w:szCs w:val="20"/>
              </w:rPr>
              <w:t>Italy</w:t>
            </w:r>
          </w:p>
        </w:tc>
        <w:tc>
          <w:tcPr>
            <w:tcW w:w="1807" w:type="dxa"/>
            <w:noWrap/>
            <w:vAlign w:val="center"/>
            <w:hideMark/>
          </w:tcPr>
          <w:p w:rsidR="002505F3" w:rsidRPr="00E639C9" w:rsidRDefault="002505F3" w:rsidP="000E4E30">
            <w:pPr>
              <w:keepNext/>
              <w:spacing w:after="120"/>
              <w:rPr>
                <w:rFonts w:cs="Arial"/>
                <w:szCs w:val="20"/>
              </w:rPr>
            </w:pPr>
            <w:r w:rsidRPr="00E639C9">
              <w:rPr>
                <w:rFonts w:cs="Arial"/>
                <w:szCs w:val="20"/>
              </w:rPr>
              <w:t>264 (1.63)</w:t>
            </w:r>
          </w:p>
        </w:tc>
        <w:tc>
          <w:tcPr>
            <w:tcW w:w="1879" w:type="dxa"/>
            <w:vAlign w:val="center"/>
            <w:hideMark/>
          </w:tcPr>
          <w:p w:rsidR="002505F3" w:rsidRPr="00E639C9" w:rsidRDefault="002505F3" w:rsidP="000E4E30">
            <w:pPr>
              <w:keepNext/>
              <w:spacing w:after="120"/>
              <w:rPr>
                <w:rFonts w:cs="Arial"/>
                <w:szCs w:val="20"/>
              </w:rPr>
            </w:pPr>
            <w:r w:rsidRPr="00E639C9">
              <w:rPr>
                <w:rFonts w:cs="Arial"/>
                <w:szCs w:val="20"/>
              </w:rPr>
              <w:t>259 (1.99)</w:t>
            </w:r>
          </w:p>
        </w:tc>
        <w:tc>
          <w:tcPr>
            <w:tcW w:w="1134" w:type="dxa"/>
            <w:noWrap/>
            <w:vAlign w:val="center"/>
            <w:hideMark/>
          </w:tcPr>
          <w:p w:rsidR="002505F3" w:rsidRPr="00E639C9" w:rsidRDefault="002505F3" w:rsidP="000E4E30">
            <w:pPr>
              <w:keepNext/>
              <w:spacing w:after="120"/>
              <w:rPr>
                <w:rFonts w:cs="Arial"/>
                <w:szCs w:val="20"/>
              </w:rPr>
            </w:pPr>
            <w:r w:rsidRPr="00E639C9">
              <w:rPr>
                <w:rFonts w:cs="Arial"/>
                <w:szCs w:val="20"/>
              </w:rPr>
              <w:t>-2.0</w:t>
            </w:r>
          </w:p>
        </w:tc>
        <w:tc>
          <w:tcPr>
            <w:tcW w:w="2410" w:type="dxa"/>
            <w:vAlign w:val="center"/>
          </w:tcPr>
          <w:p w:rsidR="002505F3" w:rsidRPr="00E639C9" w:rsidRDefault="002505F3" w:rsidP="000E4E30">
            <w:pPr>
              <w:keepNext/>
              <w:spacing w:after="120"/>
              <w:rPr>
                <w:rFonts w:cs="Arial"/>
                <w:szCs w:val="20"/>
              </w:rPr>
            </w:pPr>
            <w:r w:rsidRPr="00E639C9">
              <w:rPr>
                <w:rFonts w:cs="Arial"/>
                <w:szCs w:val="20"/>
              </w:rPr>
              <w:t>no</w:t>
            </w:r>
          </w:p>
        </w:tc>
      </w:tr>
      <w:tr w:rsidR="002505F3" w:rsidRPr="00E639C9" w:rsidTr="00E639C9">
        <w:trPr>
          <w:trHeight w:val="283"/>
        </w:trPr>
        <w:tc>
          <w:tcPr>
            <w:tcW w:w="1701" w:type="dxa"/>
            <w:noWrap/>
            <w:vAlign w:val="center"/>
            <w:hideMark/>
          </w:tcPr>
          <w:p w:rsidR="002505F3" w:rsidRPr="00E639C9" w:rsidRDefault="002505F3" w:rsidP="000E4E30">
            <w:pPr>
              <w:keepNext/>
              <w:spacing w:after="120"/>
              <w:rPr>
                <w:rFonts w:cs="Arial"/>
                <w:szCs w:val="20"/>
              </w:rPr>
            </w:pPr>
            <w:r w:rsidRPr="00E639C9">
              <w:rPr>
                <w:rFonts w:cs="Arial"/>
                <w:szCs w:val="20"/>
              </w:rPr>
              <w:t>Netherlands</w:t>
            </w:r>
          </w:p>
        </w:tc>
        <w:tc>
          <w:tcPr>
            <w:tcW w:w="1807" w:type="dxa"/>
            <w:noWrap/>
            <w:vAlign w:val="center"/>
            <w:hideMark/>
          </w:tcPr>
          <w:p w:rsidR="002505F3" w:rsidRPr="00E639C9" w:rsidRDefault="002505F3" w:rsidP="000E4E30">
            <w:pPr>
              <w:keepNext/>
              <w:spacing w:after="120"/>
              <w:rPr>
                <w:rFonts w:cs="Arial"/>
                <w:szCs w:val="20"/>
              </w:rPr>
            </w:pPr>
            <w:r w:rsidRPr="00E639C9">
              <w:rPr>
                <w:rFonts w:cs="Arial"/>
                <w:szCs w:val="20"/>
              </w:rPr>
              <w:t>297 (1.33)</w:t>
            </w:r>
          </w:p>
        </w:tc>
        <w:tc>
          <w:tcPr>
            <w:tcW w:w="1879" w:type="dxa"/>
            <w:vAlign w:val="center"/>
            <w:hideMark/>
          </w:tcPr>
          <w:p w:rsidR="002505F3" w:rsidRPr="00E639C9" w:rsidRDefault="002505F3" w:rsidP="000E4E30">
            <w:pPr>
              <w:keepNext/>
              <w:spacing w:after="120"/>
              <w:rPr>
                <w:rFonts w:cs="Arial"/>
                <w:szCs w:val="20"/>
              </w:rPr>
            </w:pPr>
            <w:r w:rsidRPr="00E639C9">
              <w:rPr>
                <w:rFonts w:cs="Arial"/>
                <w:szCs w:val="20"/>
              </w:rPr>
              <w:t>299 (1.43)</w:t>
            </w:r>
          </w:p>
        </w:tc>
        <w:tc>
          <w:tcPr>
            <w:tcW w:w="1134" w:type="dxa"/>
            <w:noWrap/>
            <w:vAlign w:val="center"/>
            <w:hideMark/>
          </w:tcPr>
          <w:p w:rsidR="002505F3" w:rsidRPr="00E639C9" w:rsidRDefault="002505F3" w:rsidP="000E4E30">
            <w:pPr>
              <w:keepNext/>
              <w:spacing w:after="120"/>
              <w:rPr>
                <w:rFonts w:cs="Arial"/>
                <w:szCs w:val="20"/>
              </w:rPr>
            </w:pPr>
            <w:r w:rsidRPr="00E639C9">
              <w:rPr>
                <w:rFonts w:cs="Arial"/>
                <w:szCs w:val="20"/>
              </w:rPr>
              <w:t>0.5</w:t>
            </w:r>
          </w:p>
        </w:tc>
        <w:tc>
          <w:tcPr>
            <w:tcW w:w="2410" w:type="dxa"/>
            <w:vAlign w:val="center"/>
          </w:tcPr>
          <w:p w:rsidR="002505F3" w:rsidRPr="00E639C9" w:rsidRDefault="002505F3" w:rsidP="000E4E30">
            <w:pPr>
              <w:keepNext/>
              <w:spacing w:after="120"/>
              <w:rPr>
                <w:rFonts w:cs="Arial"/>
                <w:szCs w:val="20"/>
              </w:rPr>
            </w:pPr>
            <w:r w:rsidRPr="00E639C9">
              <w:rPr>
                <w:rFonts w:cs="Arial"/>
                <w:szCs w:val="20"/>
              </w:rPr>
              <w:t>no</w:t>
            </w:r>
          </w:p>
        </w:tc>
      </w:tr>
      <w:tr w:rsidR="002505F3" w:rsidRPr="00E639C9" w:rsidTr="00E639C9">
        <w:trPr>
          <w:trHeight w:val="283"/>
        </w:trPr>
        <w:tc>
          <w:tcPr>
            <w:tcW w:w="1701" w:type="dxa"/>
            <w:shd w:val="clear" w:color="auto" w:fill="FBD4B4" w:themeFill="accent6" w:themeFillTint="66"/>
            <w:noWrap/>
            <w:vAlign w:val="center"/>
            <w:hideMark/>
          </w:tcPr>
          <w:p w:rsidR="002505F3" w:rsidRPr="00E639C9" w:rsidRDefault="002505F3" w:rsidP="000E4E30">
            <w:pPr>
              <w:keepNext/>
              <w:spacing w:after="120"/>
              <w:rPr>
                <w:rFonts w:cs="Arial"/>
                <w:szCs w:val="20"/>
              </w:rPr>
            </w:pPr>
            <w:r w:rsidRPr="00E639C9">
              <w:rPr>
                <w:rFonts w:cs="Arial"/>
                <w:szCs w:val="20"/>
              </w:rPr>
              <w:t>Poland</w:t>
            </w:r>
          </w:p>
        </w:tc>
        <w:tc>
          <w:tcPr>
            <w:tcW w:w="1807" w:type="dxa"/>
            <w:shd w:val="clear" w:color="auto" w:fill="FBD4B4" w:themeFill="accent6" w:themeFillTint="66"/>
            <w:noWrap/>
            <w:vAlign w:val="center"/>
            <w:hideMark/>
          </w:tcPr>
          <w:p w:rsidR="002505F3" w:rsidRPr="00E639C9" w:rsidRDefault="002505F3" w:rsidP="000E4E30">
            <w:pPr>
              <w:keepNext/>
              <w:spacing w:after="120"/>
              <w:rPr>
                <w:rFonts w:cs="Arial"/>
                <w:szCs w:val="20"/>
              </w:rPr>
            </w:pPr>
            <w:r w:rsidRPr="00E639C9">
              <w:rPr>
                <w:rFonts w:cs="Arial"/>
                <w:szCs w:val="20"/>
              </w:rPr>
              <w:t xml:space="preserve">247 (1.84) </w:t>
            </w:r>
          </w:p>
        </w:tc>
        <w:tc>
          <w:tcPr>
            <w:tcW w:w="1879" w:type="dxa"/>
            <w:shd w:val="clear" w:color="auto" w:fill="FBD4B4" w:themeFill="accent6" w:themeFillTint="66"/>
            <w:vAlign w:val="center"/>
            <w:hideMark/>
          </w:tcPr>
          <w:p w:rsidR="002505F3" w:rsidRPr="00E639C9" w:rsidRDefault="002505F3" w:rsidP="000E4E30">
            <w:pPr>
              <w:keepNext/>
              <w:spacing w:after="120"/>
              <w:rPr>
                <w:rFonts w:cs="Arial"/>
                <w:szCs w:val="20"/>
              </w:rPr>
            </w:pPr>
            <w:r w:rsidRPr="00E639C9">
              <w:rPr>
                <w:rFonts w:cs="Arial"/>
                <w:szCs w:val="20"/>
              </w:rPr>
              <w:t>279 (1.09)</w:t>
            </w:r>
          </w:p>
        </w:tc>
        <w:tc>
          <w:tcPr>
            <w:tcW w:w="1134" w:type="dxa"/>
            <w:shd w:val="clear" w:color="auto" w:fill="FBD4B4" w:themeFill="accent6" w:themeFillTint="66"/>
            <w:noWrap/>
            <w:vAlign w:val="center"/>
            <w:hideMark/>
          </w:tcPr>
          <w:p w:rsidR="002505F3" w:rsidRPr="00E639C9" w:rsidRDefault="002505F3" w:rsidP="000E4E30">
            <w:pPr>
              <w:keepNext/>
              <w:spacing w:after="120"/>
              <w:rPr>
                <w:rFonts w:cs="Arial"/>
                <w:szCs w:val="20"/>
              </w:rPr>
            </w:pPr>
            <w:r w:rsidRPr="00E639C9">
              <w:rPr>
                <w:rFonts w:cs="Arial"/>
                <w:szCs w:val="20"/>
              </w:rPr>
              <w:t>13.0</w:t>
            </w:r>
          </w:p>
        </w:tc>
        <w:tc>
          <w:tcPr>
            <w:tcW w:w="2410" w:type="dxa"/>
            <w:shd w:val="clear" w:color="auto" w:fill="FBD4B4" w:themeFill="accent6" w:themeFillTint="66"/>
            <w:vAlign w:val="center"/>
          </w:tcPr>
          <w:p w:rsidR="002505F3" w:rsidRPr="00E639C9" w:rsidRDefault="002505F3" w:rsidP="000E4E30">
            <w:pPr>
              <w:keepNext/>
              <w:spacing w:after="120"/>
              <w:rPr>
                <w:rFonts w:cs="Arial"/>
                <w:szCs w:val="20"/>
              </w:rPr>
            </w:pPr>
            <w:r w:rsidRPr="00E639C9">
              <w:rPr>
                <w:rFonts w:cs="Arial"/>
                <w:szCs w:val="20"/>
              </w:rPr>
              <w:t>yes</w:t>
            </w:r>
          </w:p>
        </w:tc>
      </w:tr>
      <w:tr w:rsidR="002505F3" w:rsidRPr="00E639C9" w:rsidTr="00E639C9">
        <w:trPr>
          <w:trHeight w:val="283"/>
        </w:trPr>
        <w:tc>
          <w:tcPr>
            <w:tcW w:w="1701" w:type="dxa"/>
            <w:shd w:val="clear" w:color="auto" w:fill="B8CCE4" w:themeFill="accent1" w:themeFillTint="66"/>
            <w:noWrap/>
            <w:vAlign w:val="center"/>
            <w:hideMark/>
          </w:tcPr>
          <w:p w:rsidR="002505F3" w:rsidRPr="00E639C9" w:rsidRDefault="002505F3" w:rsidP="000E4E30">
            <w:pPr>
              <w:keepNext/>
              <w:spacing w:after="120"/>
              <w:rPr>
                <w:rFonts w:cs="Arial"/>
                <w:szCs w:val="20"/>
              </w:rPr>
            </w:pPr>
            <w:r w:rsidRPr="00E639C9">
              <w:rPr>
                <w:rFonts w:cs="Arial"/>
                <w:szCs w:val="20"/>
              </w:rPr>
              <w:t>Sweden</w:t>
            </w:r>
          </w:p>
        </w:tc>
        <w:tc>
          <w:tcPr>
            <w:tcW w:w="1807" w:type="dxa"/>
            <w:shd w:val="clear" w:color="auto" w:fill="B8CCE4" w:themeFill="accent1" w:themeFillTint="66"/>
            <w:noWrap/>
            <w:vAlign w:val="center"/>
            <w:hideMark/>
          </w:tcPr>
          <w:p w:rsidR="002505F3" w:rsidRPr="00E639C9" w:rsidRDefault="002505F3" w:rsidP="000E4E30">
            <w:pPr>
              <w:keepNext/>
              <w:spacing w:after="120"/>
              <w:rPr>
                <w:rFonts w:cs="Arial"/>
                <w:szCs w:val="20"/>
              </w:rPr>
            </w:pPr>
            <w:r w:rsidRPr="00E639C9">
              <w:rPr>
                <w:rFonts w:cs="Arial"/>
                <w:szCs w:val="20"/>
              </w:rPr>
              <w:t xml:space="preserve">316 (1.54) </w:t>
            </w:r>
          </w:p>
        </w:tc>
        <w:tc>
          <w:tcPr>
            <w:tcW w:w="1879" w:type="dxa"/>
            <w:shd w:val="clear" w:color="auto" w:fill="B8CCE4" w:themeFill="accent1" w:themeFillTint="66"/>
            <w:vAlign w:val="center"/>
            <w:hideMark/>
          </w:tcPr>
          <w:p w:rsidR="002505F3" w:rsidRPr="00E639C9" w:rsidRDefault="002505F3" w:rsidP="000E4E30">
            <w:pPr>
              <w:keepNext/>
              <w:spacing w:after="120"/>
              <w:rPr>
                <w:rFonts w:cs="Arial"/>
                <w:szCs w:val="20"/>
              </w:rPr>
            </w:pPr>
            <w:r w:rsidRPr="00E639C9">
              <w:rPr>
                <w:rFonts w:cs="Arial"/>
                <w:szCs w:val="20"/>
              </w:rPr>
              <w:t>291 (1.49)</w:t>
            </w:r>
          </w:p>
        </w:tc>
        <w:tc>
          <w:tcPr>
            <w:tcW w:w="1134" w:type="dxa"/>
            <w:shd w:val="clear" w:color="auto" w:fill="B8CCE4" w:themeFill="accent1" w:themeFillTint="66"/>
            <w:noWrap/>
            <w:vAlign w:val="center"/>
            <w:hideMark/>
          </w:tcPr>
          <w:p w:rsidR="002505F3" w:rsidRPr="00E639C9" w:rsidRDefault="002505F3" w:rsidP="000E4E30">
            <w:pPr>
              <w:keepNext/>
              <w:spacing w:after="120"/>
              <w:rPr>
                <w:rFonts w:cs="Arial"/>
                <w:szCs w:val="20"/>
              </w:rPr>
            </w:pPr>
            <w:r w:rsidRPr="00E639C9">
              <w:rPr>
                <w:rFonts w:cs="Arial"/>
                <w:szCs w:val="20"/>
              </w:rPr>
              <w:t>-8.1</w:t>
            </w:r>
          </w:p>
        </w:tc>
        <w:tc>
          <w:tcPr>
            <w:tcW w:w="2410" w:type="dxa"/>
            <w:shd w:val="clear" w:color="auto" w:fill="B8CCE4" w:themeFill="accent1" w:themeFillTint="66"/>
            <w:vAlign w:val="center"/>
          </w:tcPr>
          <w:p w:rsidR="002505F3" w:rsidRPr="00E639C9" w:rsidRDefault="002505F3" w:rsidP="000E4E30">
            <w:pPr>
              <w:keepNext/>
              <w:spacing w:after="120"/>
              <w:rPr>
                <w:rFonts w:cs="Arial"/>
                <w:szCs w:val="20"/>
              </w:rPr>
            </w:pPr>
            <w:r w:rsidRPr="00E639C9">
              <w:rPr>
                <w:rFonts w:cs="Arial"/>
                <w:szCs w:val="20"/>
              </w:rPr>
              <w:t>yes</w:t>
            </w:r>
          </w:p>
        </w:tc>
      </w:tr>
      <w:tr w:rsidR="002505F3" w:rsidRPr="00E639C9" w:rsidTr="00E639C9">
        <w:trPr>
          <w:trHeight w:val="283"/>
        </w:trPr>
        <w:tc>
          <w:tcPr>
            <w:tcW w:w="1701" w:type="dxa"/>
            <w:noWrap/>
            <w:vAlign w:val="center"/>
            <w:hideMark/>
          </w:tcPr>
          <w:p w:rsidR="002505F3" w:rsidRPr="00E639C9" w:rsidRDefault="002505F3" w:rsidP="000E4E30">
            <w:pPr>
              <w:keepNext/>
              <w:spacing w:after="120"/>
              <w:rPr>
                <w:rFonts w:cs="Arial"/>
                <w:szCs w:val="20"/>
              </w:rPr>
            </w:pPr>
            <w:r w:rsidRPr="00E639C9">
              <w:rPr>
                <w:rFonts w:cs="Arial"/>
                <w:szCs w:val="20"/>
              </w:rPr>
              <w:t>United Kingdom</w:t>
            </w:r>
            <w:r w:rsidR="00311A5A" w:rsidRPr="00E639C9">
              <w:rPr>
                <w:rStyle w:val="FootnoteReference"/>
                <w:rFonts w:cs="Arial"/>
                <w:szCs w:val="20"/>
              </w:rPr>
              <w:footnoteReference w:id="12"/>
            </w:r>
          </w:p>
        </w:tc>
        <w:tc>
          <w:tcPr>
            <w:tcW w:w="1807" w:type="dxa"/>
            <w:noWrap/>
            <w:vAlign w:val="center"/>
            <w:hideMark/>
          </w:tcPr>
          <w:p w:rsidR="002505F3" w:rsidRPr="00E639C9" w:rsidRDefault="002505F3" w:rsidP="000E4E30">
            <w:pPr>
              <w:keepNext/>
              <w:spacing w:after="120"/>
              <w:rPr>
                <w:rFonts w:cs="Arial"/>
                <w:szCs w:val="20"/>
              </w:rPr>
            </w:pPr>
            <w:r w:rsidRPr="00E639C9">
              <w:rPr>
                <w:rFonts w:cs="Arial"/>
                <w:szCs w:val="20"/>
              </w:rPr>
              <w:t>277 (1.18)</w:t>
            </w:r>
          </w:p>
        </w:tc>
        <w:tc>
          <w:tcPr>
            <w:tcW w:w="1879" w:type="dxa"/>
            <w:vAlign w:val="center"/>
            <w:hideMark/>
          </w:tcPr>
          <w:p w:rsidR="002505F3" w:rsidRPr="00E639C9" w:rsidRDefault="002505F3" w:rsidP="000E4E30">
            <w:pPr>
              <w:keepNext/>
              <w:spacing w:after="120"/>
              <w:rPr>
                <w:rFonts w:cs="Arial"/>
                <w:szCs w:val="20"/>
              </w:rPr>
            </w:pPr>
            <w:r w:rsidRPr="00E639C9">
              <w:rPr>
                <w:rFonts w:cs="Arial"/>
                <w:szCs w:val="20"/>
              </w:rPr>
              <w:t>276 (1.98)</w:t>
            </w:r>
          </w:p>
        </w:tc>
        <w:tc>
          <w:tcPr>
            <w:tcW w:w="1134" w:type="dxa"/>
            <w:noWrap/>
            <w:vAlign w:val="center"/>
            <w:hideMark/>
          </w:tcPr>
          <w:p w:rsidR="002505F3" w:rsidRPr="00E639C9" w:rsidRDefault="002505F3" w:rsidP="000E4E30">
            <w:pPr>
              <w:keepNext/>
              <w:spacing w:after="120"/>
              <w:rPr>
                <w:rFonts w:cs="Arial"/>
                <w:szCs w:val="20"/>
              </w:rPr>
            </w:pPr>
            <w:r w:rsidRPr="00E639C9">
              <w:rPr>
                <w:rFonts w:cs="Arial"/>
                <w:szCs w:val="20"/>
              </w:rPr>
              <w:t>-0.1</w:t>
            </w:r>
          </w:p>
        </w:tc>
        <w:tc>
          <w:tcPr>
            <w:tcW w:w="2410" w:type="dxa"/>
            <w:vAlign w:val="center"/>
          </w:tcPr>
          <w:p w:rsidR="002505F3" w:rsidRPr="00E639C9" w:rsidRDefault="002505F3" w:rsidP="000E4E30">
            <w:pPr>
              <w:keepNext/>
              <w:spacing w:after="120"/>
              <w:rPr>
                <w:rFonts w:cs="Arial"/>
                <w:szCs w:val="20"/>
              </w:rPr>
            </w:pPr>
            <w:r w:rsidRPr="00E639C9">
              <w:rPr>
                <w:rFonts w:cs="Arial"/>
                <w:szCs w:val="20"/>
              </w:rPr>
              <w:t>no</w:t>
            </w:r>
          </w:p>
        </w:tc>
      </w:tr>
    </w:tbl>
    <w:p w:rsidR="002505F3" w:rsidRPr="00C62228" w:rsidRDefault="002505F3" w:rsidP="000E4E30">
      <w:pPr>
        <w:spacing w:after="120" w:line="288" w:lineRule="auto"/>
        <w:rPr>
          <w:rFonts w:cs="Arial"/>
          <w:bCs/>
          <w:i/>
          <w:sz w:val="16"/>
          <w:szCs w:val="16"/>
          <w:lang w:eastAsia="de-DE"/>
        </w:rPr>
      </w:pPr>
      <w:r w:rsidRPr="00C62228">
        <w:rPr>
          <w:rFonts w:cs="Arial"/>
          <w:bCs/>
          <w:i/>
          <w:sz w:val="16"/>
          <w:szCs w:val="16"/>
          <w:lang w:eastAsia="de-DE"/>
        </w:rPr>
        <w:t>Notes: own elaboration based on PIAAC and IALS data, Standard errors in parenthesis, .95 confidence interval, IALS recalibrated by the OECD and comparable to PIAAC data</w:t>
      </w:r>
    </w:p>
    <w:p w:rsidR="002505F3" w:rsidRPr="000E4E30" w:rsidRDefault="002505F3" w:rsidP="000E4E30">
      <w:pPr>
        <w:spacing w:after="120" w:line="288" w:lineRule="auto"/>
        <w:rPr>
          <w:rFonts w:cs="Arial"/>
          <w:szCs w:val="20"/>
        </w:rPr>
      </w:pPr>
      <w:r w:rsidRPr="000E4E30">
        <w:rPr>
          <w:rFonts w:cs="Arial"/>
          <w:szCs w:val="20"/>
        </w:rPr>
        <w:t>Figure 4.</w:t>
      </w:r>
      <w:r w:rsidR="00C27743" w:rsidRPr="000E4E30">
        <w:rPr>
          <w:rFonts w:cs="Arial"/>
          <w:szCs w:val="20"/>
        </w:rPr>
        <w:t>5</w:t>
      </w:r>
      <w:r w:rsidRPr="000E4E30">
        <w:rPr>
          <w:rFonts w:cs="Arial"/>
          <w:szCs w:val="20"/>
        </w:rPr>
        <w:t xml:space="preserve"> displays this data in a different way by mapping average IALS an</w:t>
      </w:r>
      <w:r w:rsidR="00C62228" w:rsidRPr="000E4E30">
        <w:rPr>
          <w:rFonts w:cs="Arial"/>
          <w:szCs w:val="20"/>
        </w:rPr>
        <w:t>d PIAAC scores onto each other.</w:t>
      </w:r>
      <w:r w:rsidRPr="000E4E30">
        <w:rPr>
          <w:rFonts w:cs="Arial"/>
          <w:szCs w:val="20"/>
        </w:rPr>
        <w:t xml:space="preserve"> It shows that there is a strong positive relationship between IALS and PIAAC scores, i.e. those countries with high levels of average literacy competence in IALS also display high levels in PIAAC 15 years later. In Belgium</w:t>
      </w:r>
      <w:r w:rsidR="00311A5A">
        <w:rPr>
          <w:rFonts w:cs="Arial"/>
          <w:szCs w:val="20"/>
        </w:rPr>
        <w:t xml:space="preserve"> (FL)</w:t>
      </w:r>
      <w:r w:rsidRPr="000E4E30">
        <w:rPr>
          <w:rFonts w:cs="Arial"/>
          <w:szCs w:val="20"/>
        </w:rPr>
        <w:t>, Czech Republic, Finland, Sweden and the Netherlands</w:t>
      </w:r>
      <w:r w:rsidR="00402AD6">
        <w:rPr>
          <w:rFonts w:cs="Arial"/>
          <w:szCs w:val="20"/>
        </w:rPr>
        <w:t>,</w:t>
      </w:r>
      <w:r w:rsidRPr="000E4E30">
        <w:rPr>
          <w:rFonts w:cs="Arial"/>
          <w:szCs w:val="20"/>
        </w:rPr>
        <w:t xml:space="preserve"> young adults aged 20 to 34 achieved above average literacy scores both in IALS and PIAAC. On the contrary, young people in Ireland, Italy, Poland the UK achieved below average literacy scores both in IALS and PIAAC. Exceptions to this pattern are Denmark and Germany which, having displayed above average literacy in IALS proficiency, display below average literacy proficiency in PIAAC. </w:t>
      </w:r>
    </w:p>
    <w:p w:rsidR="002505F3" w:rsidRPr="00C27743" w:rsidRDefault="002505F3" w:rsidP="000E4E30">
      <w:pPr>
        <w:pStyle w:val="Caption"/>
        <w:spacing w:before="0" w:after="120" w:line="288" w:lineRule="auto"/>
        <w:rPr>
          <w:rFonts w:ascii="Verdana" w:hAnsi="Verdana"/>
          <w:b w:val="0"/>
          <w:color w:val="1F497D" w:themeColor="text2"/>
          <w:sz w:val="20"/>
        </w:rPr>
      </w:pPr>
      <w:r w:rsidRPr="00C27743">
        <w:rPr>
          <w:rFonts w:ascii="Verdana" w:hAnsi="Verdana"/>
          <w:b w:val="0"/>
          <w:color w:val="1F497D" w:themeColor="text2"/>
          <w:sz w:val="20"/>
        </w:rPr>
        <w:t xml:space="preserve">Figure </w:t>
      </w:r>
      <w:r w:rsidR="00F50E55">
        <w:rPr>
          <w:rFonts w:ascii="Verdana" w:hAnsi="Verdana"/>
          <w:b w:val="0"/>
          <w:color w:val="1F497D" w:themeColor="text2"/>
          <w:sz w:val="20"/>
        </w:rPr>
        <w:t>4.5</w:t>
      </w:r>
      <w:r w:rsidRPr="00C27743">
        <w:rPr>
          <w:rFonts w:ascii="Verdana" w:hAnsi="Verdana"/>
          <w:b w:val="0"/>
          <w:color w:val="1F497D" w:themeColor="text2"/>
          <w:sz w:val="20"/>
        </w:rPr>
        <w:t xml:space="preserve"> Average literacy score IALS and PIAAC, age group 20-34</w:t>
      </w:r>
    </w:p>
    <w:p w:rsidR="002505F3" w:rsidRPr="0037444D" w:rsidRDefault="002505F3" w:rsidP="000E4E30">
      <w:pPr>
        <w:keepNext/>
        <w:spacing w:after="120" w:line="288" w:lineRule="auto"/>
        <w:rPr>
          <w:rFonts w:cs="Arial"/>
          <w:szCs w:val="20"/>
        </w:rPr>
      </w:pPr>
      <w:r w:rsidRPr="0037444D">
        <w:rPr>
          <w:rFonts w:cs="Arial"/>
          <w:noProof/>
          <w:szCs w:val="20"/>
          <w:lang w:val="en-US" w:eastAsia="en-US"/>
        </w:rPr>
        <w:drawing>
          <wp:inline distT="0" distB="0" distL="0" distR="0" wp14:anchorId="613DBA99" wp14:editId="182C6CAE">
            <wp:extent cx="5580000" cy="3600000"/>
            <wp:effectExtent l="0" t="0" r="1905" b="635"/>
            <wp:docPr id="55"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2505F3" w:rsidRPr="00B013ED" w:rsidRDefault="002505F3" w:rsidP="000E4E30">
      <w:pPr>
        <w:spacing w:after="120" w:line="288" w:lineRule="auto"/>
        <w:rPr>
          <w:rFonts w:cs="Arial"/>
          <w:i/>
          <w:color w:val="000000" w:themeColor="text1"/>
          <w:sz w:val="16"/>
          <w:szCs w:val="16"/>
        </w:rPr>
      </w:pPr>
      <w:r w:rsidRPr="00B013ED">
        <w:rPr>
          <w:rFonts w:cs="Arial"/>
          <w:i/>
          <w:color w:val="000000" w:themeColor="text1"/>
          <w:sz w:val="16"/>
          <w:szCs w:val="16"/>
        </w:rPr>
        <w:t>Notes: own elaboration based on IALS and PIAAC data</w:t>
      </w:r>
    </w:p>
    <w:p w:rsidR="002A61E1" w:rsidRPr="000E4E30" w:rsidRDefault="002A61E1" w:rsidP="000E4E30">
      <w:pPr>
        <w:pStyle w:val="BodyText"/>
        <w:spacing w:line="288" w:lineRule="auto"/>
      </w:pPr>
      <w:bookmarkStart w:id="116" w:name="_Toc427154760"/>
      <w:bookmarkStart w:id="117" w:name="_Toc427232488"/>
    </w:p>
    <w:p w:rsidR="00311A5A" w:rsidRDefault="002A61E1" w:rsidP="000E4E30">
      <w:pPr>
        <w:pStyle w:val="BodyText"/>
        <w:spacing w:line="288" w:lineRule="auto"/>
      </w:pPr>
      <w:r w:rsidRPr="000E4E30">
        <w:t xml:space="preserve">Table 4.2 below contextualises the observed changes in average competences </w:t>
      </w:r>
      <w:r w:rsidR="00402AD6">
        <w:t xml:space="preserve">by </w:t>
      </w:r>
      <w:r w:rsidRPr="000E4E30">
        <w:t>display</w:t>
      </w:r>
      <w:r w:rsidR="00402AD6">
        <w:t>ing</w:t>
      </w:r>
      <w:r w:rsidRPr="000E4E30">
        <w:t xml:space="preserve"> the educational attainment levels of young people in the sample under analysis. </w:t>
      </w:r>
      <w:r w:rsidR="0051512A">
        <w:t>Educational expansion</w:t>
      </w:r>
      <w:r w:rsidRPr="000E4E30">
        <w:t xml:space="preserve"> at different levels is highlighted in </w:t>
      </w:r>
      <w:r w:rsidR="0051512A">
        <w:t xml:space="preserve">light </w:t>
      </w:r>
      <w:r w:rsidRPr="000E4E30">
        <w:t>green</w:t>
      </w:r>
      <w:r w:rsidR="0051512A">
        <w:t>, while a decrease in educational attainment is shown in light red</w:t>
      </w:r>
      <w:r w:rsidRPr="000E4E30">
        <w:t>.</w:t>
      </w:r>
      <w:r w:rsidR="00311A5A">
        <w:t xml:space="preserve"> It seems to indicate</w:t>
      </w:r>
      <w:r w:rsidR="00B446BC" w:rsidRPr="000E4E30">
        <w:t xml:space="preserve"> that in all countries but Belgium</w:t>
      </w:r>
      <w:r w:rsidR="00311A5A">
        <w:t xml:space="preserve"> (FL)</w:t>
      </w:r>
      <w:r w:rsidR="00B446BC" w:rsidRPr="000E4E30">
        <w:t xml:space="preserve"> young people in the PIAAC sample have substantially higher tertiary attainment rates than in the IALS sample. In all countries, the share of those with only lower secondary </w:t>
      </w:r>
      <w:r w:rsidR="00311A5A">
        <w:t>education seems to be</w:t>
      </w:r>
      <w:r w:rsidR="00B446BC" w:rsidRPr="000E4E30">
        <w:t xml:space="preserve"> smaller in the PIAAC than the IALS sample. </w:t>
      </w:r>
    </w:p>
    <w:p w:rsidR="00CB46AB" w:rsidRDefault="00CB46AB">
      <w:pPr>
        <w:jc w:val="left"/>
        <w:rPr>
          <w:rFonts w:cs="Arial"/>
          <w:bCs/>
          <w:color w:val="1F497D" w:themeColor="text2"/>
          <w:szCs w:val="20"/>
          <w:lang w:eastAsia="en-US"/>
        </w:rPr>
      </w:pPr>
      <w:r>
        <w:rPr>
          <w:rFonts w:cs="Arial"/>
          <w:b/>
          <w:color w:val="1F497D" w:themeColor="text2"/>
        </w:rPr>
        <w:br w:type="page"/>
      </w:r>
    </w:p>
    <w:p w:rsidR="002A61E1" w:rsidRPr="000E4E30" w:rsidRDefault="00B446BC" w:rsidP="000E4E30">
      <w:pPr>
        <w:pStyle w:val="Caption"/>
        <w:spacing w:before="0" w:after="120" w:line="288" w:lineRule="auto"/>
        <w:rPr>
          <w:color w:val="1F497D" w:themeColor="text2"/>
        </w:rPr>
      </w:pPr>
      <w:r w:rsidRPr="000E4E30">
        <w:rPr>
          <w:rFonts w:ascii="Verdana" w:hAnsi="Verdana" w:cs="Arial"/>
          <w:b w:val="0"/>
          <w:color w:val="1F497D" w:themeColor="text2"/>
          <w:sz w:val="20"/>
        </w:rPr>
        <w:t xml:space="preserve">Table </w:t>
      </w:r>
      <w:r w:rsidR="00402AD6">
        <w:rPr>
          <w:rFonts w:ascii="Verdana" w:hAnsi="Verdana" w:cs="Arial"/>
          <w:b w:val="0"/>
          <w:color w:val="1F497D" w:themeColor="text2"/>
          <w:sz w:val="20"/>
        </w:rPr>
        <w:t>4</w:t>
      </w:r>
      <w:r w:rsidRPr="000E4E30">
        <w:rPr>
          <w:rFonts w:ascii="Verdana" w:hAnsi="Verdana" w:cs="Arial"/>
          <w:b w:val="0"/>
          <w:color w:val="1F497D" w:themeColor="text2"/>
          <w:sz w:val="20"/>
        </w:rPr>
        <w:t>.</w:t>
      </w:r>
      <w:r w:rsidR="002524DF" w:rsidRPr="000E4E30">
        <w:rPr>
          <w:rFonts w:ascii="Verdana" w:hAnsi="Verdana" w:cs="Arial"/>
          <w:b w:val="0"/>
          <w:color w:val="1F497D" w:themeColor="text2"/>
          <w:sz w:val="20"/>
        </w:rPr>
        <w:t>2</w:t>
      </w:r>
      <w:r w:rsidR="00311A5A">
        <w:rPr>
          <w:rFonts w:ascii="Verdana" w:hAnsi="Verdana" w:cs="Arial"/>
          <w:b w:val="0"/>
          <w:color w:val="1F497D" w:themeColor="text2"/>
          <w:sz w:val="20"/>
        </w:rPr>
        <w:t xml:space="preserve"> </w:t>
      </w:r>
      <w:r w:rsidRPr="000E4E30">
        <w:rPr>
          <w:rFonts w:ascii="Verdana" w:hAnsi="Verdana"/>
          <w:b w:val="0"/>
          <w:color w:val="1F497D" w:themeColor="text2"/>
          <w:sz w:val="20"/>
        </w:rPr>
        <w:t>Educational attainment levels, comparison IALS and PIAAC, age group 20-34</w:t>
      </w:r>
    </w:p>
    <w:tbl>
      <w:tblPr>
        <w:tblW w:w="8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27"/>
        <w:gridCol w:w="993"/>
        <w:gridCol w:w="1419"/>
        <w:gridCol w:w="1276"/>
        <w:gridCol w:w="1277"/>
        <w:gridCol w:w="1278"/>
        <w:gridCol w:w="1276"/>
      </w:tblGrid>
      <w:tr w:rsidR="00230568" w:rsidRPr="00E639C9" w:rsidTr="00651009">
        <w:trPr>
          <w:trHeight w:val="20"/>
        </w:trPr>
        <w:tc>
          <w:tcPr>
            <w:tcW w:w="1427" w:type="dxa"/>
            <w:shd w:val="clear" w:color="auto" w:fill="1F497D" w:themeFill="text2"/>
            <w:tcMar>
              <w:top w:w="15" w:type="dxa"/>
              <w:left w:w="15" w:type="dxa"/>
              <w:bottom w:w="0" w:type="dxa"/>
              <w:right w:w="15" w:type="dxa"/>
            </w:tcMar>
            <w:vAlign w:val="center"/>
            <w:hideMark/>
          </w:tcPr>
          <w:p w:rsidR="00230568" w:rsidRPr="00E639C9" w:rsidRDefault="00230568" w:rsidP="000E4E30">
            <w:pPr>
              <w:jc w:val="center"/>
              <w:rPr>
                <w:b/>
                <w:bCs/>
                <w:color w:val="FFFFFF" w:themeColor="background1"/>
                <w:szCs w:val="20"/>
              </w:rPr>
            </w:pPr>
            <w:r w:rsidRPr="00E639C9">
              <w:rPr>
                <w:b/>
                <w:bCs/>
                <w:color w:val="FFFFFF" w:themeColor="background1"/>
                <w:szCs w:val="20"/>
              </w:rPr>
              <w:t>Country</w:t>
            </w:r>
          </w:p>
        </w:tc>
        <w:tc>
          <w:tcPr>
            <w:tcW w:w="2412" w:type="dxa"/>
            <w:gridSpan w:val="2"/>
            <w:shd w:val="clear" w:color="auto" w:fill="1F497D" w:themeFill="text2"/>
            <w:vAlign w:val="center"/>
          </w:tcPr>
          <w:p w:rsidR="00230568" w:rsidRPr="00E639C9" w:rsidRDefault="00230568" w:rsidP="001E31D3">
            <w:pPr>
              <w:jc w:val="center"/>
              <w:rPr>
                <w:b/>
                <w:bCs/>
                <w:color w:val="FFFFFF" w:themeColor="background1"/>
                <w:szCs w:val="20"/>
              </w:rPr>
            </w:pPr>
            <w:r w:rsidRPr="00E639C9">
              <w:rPr>
                <w:b/>
                <w:bCs/>
                <w:color w:val="FFFFFF" w:themeColor="background1"/>
                <w:szCs w:val="20"/>
              </w:rPr>
              <w:t>Tertiary</w:t>
            </w:r>
          </w:p>
        </w:tc>
        <w:tc>
          <w:tcPr>
            <w:tcW w:w="2553" w:type="dxa"/>
            <w:gridSpan w:val="2"/>
            <w:shd w:val="clear" w:color="auto" w:fill="1F497D" w:themeFill="text2"/>
            <w:vAlign w:val="center"/>
          </w:tcPr>
          <w:p w:rsidR="00230568" w:rsidRPr="00E639C9" w:rsidRDefault="00230568" w:rsidP="001E31D3">
            <w:pPr>
              <w:jc w:val="center"/>
              <w:rPr>
                <w:b/>
                <w:bCs/>
                <w:color w:val="FFFFFF" w:themeColor="background1"/>
                <w:szCs w:val="20"/>
              </w:rPr>
            </w:pPr>
            <w:r w:rsidRPr="00E639C9">
              <w:rPr>
                <w:b/>
                <w:bCs/>
                <w:color w:val="FFFFFF" w:themeColor="background1"/>
                <w:szCs w:val="20"/>
              </w:rPr>
              <w:t>Upper secondary/post-secondary non-tertiary</w:t>
            </w:r>
          </w:p>
        </w:tc>
        <w:tc>
          <w:tcPr>
            <w:tcW w:w="2554" w:type="dxa"/>
            <w:gridSpan w:val="2"/>
            <w:shd w:val="clear" w:color="auto" w:fill="1F497D" w:themeFill="text2"/>
            <w:vAlign w:val="center"/>
          </w:tcPr>
          <w:p w:rsidR="00230568" w:rsidRPr="00E639C9" w:rsidRDefault="00230568" w:rsidP="000E4E30">
            <w:pPr>
              <w:jc w:val="center"/>
              <w:rPr>
                <w:b/>
                <w:bCs/>
                <w:color w:val="FFFFFF" w:themeColor="background1"/>
                <w:szCs w:val="20"/>
              </w:rPr>
            </w:pPr>
            <w:r w:rsidRPr="00E639C9">
              <w:rPr>
                <w:b/>
                <w:bCs/>
                <w:color w:val="FFFFFF" w:themeColor="background1"/>
                <w:szCs w:val="20"/>
              </w:rPr>
              <w:t>Lower secondary</w:t>
            </w:r>
          </w:p>
        </w:tc>
      </w:tr>
      <w:tr w:rsidR="00230568" w:rsidRPr="00E639C9" w:rsidTr="00651009">
        <w:trPr>
          <w:trHeight w:val="20"/>
        </w:trPr>
        <w:tc>
          <w:tcPr>
            <w:tcW w:w="1427" w:type="dxa"/>
            <w:shd w:val="clear" w:color="auto" w:fill="1F497D" w:themeFill="text2"/>
            <w:tcMar>
              <w:top w:w="15" w:type="dxa"/>
              <w:left w:w="15" w:type="dxa"/>
              <w:bottom w:w="0" w:type="dxa"/>
              <w:right w:w="15" w:type="dxa"/>
            </w:tcMar>
            <w:vAlign w:val="center"/>
          </w:tcPr>
          <w:p w:rsidR="00230568" w:rsidRPr="00E639C9" w:rsidRDefault="00230568" w:rsidP="000E4E30">
            <w:pPr>
              <w:jc w:val="center"/>
              <w:rPr>
                <w:b/>
                <w:bCs/>
                <w:color w:val="FFFFFF" w:themeColor="background1"/>
                <w:szCs w:val="20"/>
              </w:rPr>
            </w:pPr>
          </w:p>
        </w:tc>
        <w:tc>
          <w:tcPr>
            <w:tcW w:w="993" w:type="dxa"/>
            <w:shd w:val="clear" w:color="auto" w:fill="1F497D" w:themeFill="text2"/>
            <w:tcMar>
              <w:top w:w="15" w:type="dxa"/>
              <w:left w:w="15" w:type="dxa"/>
              <w:bottom w:w="0" w:type="dxa"/>
              <w:right w:w="15" w:type="dxa"/>
            </w:tcMar>
            <w:vAlign w:val="center"/>
          </w:tcPr>
          <w:p w:rsidR="00230568" w:rsidRPr="00E639C9" w:rsidRDefault="00230568" w:rsidP="000E4E30">
            <w:pPr>
              <w:jc w:val="center"/>
              <w:rPr>
                <w:b/>
                <w:bCs/>
                <w:color w:val="FFFFFF" w:themeColor="background1"/>
                <w:szCs w:val="20"/>
              </w:rPr>
            </w:pPr>
            <w:r w:rsidRPr="00E639C9">
              <w:rPr>
                <w:b/>
                <w:bCs/>
                <w:color w:val="FFFFFF" w:themeColor="background1"/>
                <w:szCs w:val="20"/>
              </w:rPr>
              <w:t>IALS</w:t>
            </w:r>
          </w:p>
        </w:tc>
        <w:tc>
          <w:tcPr>
            <w:tcW w:w="1419" w:type="dxa"/>
            <w:shd w:val="clear" w:color="auto" w:fill="1F497D" w:themeFill="text2"/>
            <w:vAlign w:val="center"/>
          </w:tcPr>
          <w:p w:rsidR="00230568" w:rsidRPr="00E639C9" w:rsidRDefault="00230568" w:rsidP="001E31D3">
            <w:pPr>
              <w:jc w:val="center"/>
              <w:rPr>
                <w:b/>
                <w:bCs/>
                <w:color w:val="FFFFFF" w:themeColor="background1"/>
                <w:szCs w:val="20"/>
              </w:rPr>
            </w:pPr>
            <w:r w:rsidRPr="00E639C9">
              <w:rPr>
                <w:b/>
                <w:bCs/>
                <w:color w:val="FFFFFF" w:themeColor="background1"/>
                <w:szCs w:val="20"/>
              </w:rPr>
              <w:t>PIAAC</w:t>
            </w:r>
          </w:p>
        </w:tc>
        <w:tc>
          <w:tcPr>
            <w:tcW w:w="1276" w:type="dxa"/>
            <w:shd w:val="clear" w:color="auto" w:fill="1F497D" w:themeFill="text2"/>
            <w:vAlign w:val="center"/>
          </w:tcPr>
          <w:p w:rsidR="00230568" w:rsidRPr="00E639C9" w:rsidRDefault="00230568" w:rsidP="001E31D3">
            <w:pPr>
              <w:jc w:val="center"/>
              <w:rPr>
                <w:b/>
                <w:bCs/>
                <w:color w:val="FFFFFF" w:themeColor="background1"/>
                <w:szCs w:val="20"/>
              </w:rPr>
            </w:pPr>
            <w:r w:rsidRPr="00E639C9">
              <w:rPr>
                <w:b/>
                <w:bCs/>
                <w:color w:val="FFFFFF" w:themeColor="background1"/>
                <w:szCs w:val="20"/>
              </w:rPr>
              <w:t>IALS</w:t>
            </w:r>
          </w:p>
        </w:tc>
        <w:tc>
          <w:tcPr>
            <w:tcW w:w="1277" w:type="dxa"/>
            <w:shd w:val="clear" w:color="auto" w:fill="1F497D" w:themeFill="text2"/>
            <w:vAlign w:val="center"/>
          </w:tcPr>
          <w:p w:rsidR="00230568" w:rsidRPr="00E639C9" w:rsidRDefault="00230568" w:rsidP="001E31D3">
            <w:pPr>
              <w:jc w:val="center"/>
              <w:rPr>
                <w:b/>
                <w:bCs/>
                <w:color w:val="FFFFFF" w:themeColor="background1"/>
                <w:szCs w:val="20"/>
              </w:rPr>
            </w:pPr>
            <w:r w:rsidRPr="00E639C9">
              <w:rPr>
                <w:b/>
                <w:bCs/>
                <w:color w:val="FFFFFF" w:themeColor="background1"/>
                <w:szCs w:val="20"/>
              </w:rPr>
              <w:t>PIAAC</w:t>
            </w:r>
          </w:p>
        </w:tc>
        <w:tc>
          <w:tcPr>
            <w:tcW w:w="1278" w:type="dxa"/>
            <w:shd w:val="clear" w:color="auto" w:fill="1F497D" w:themeFill="text2"/>
            <w:tcMar>
              <w:top w:w="15" w:type="dxa"/>
              <w:left w:w="15" w:type="dxa"/>
              <w:bottom w:w="0" w:type="dxa"/>
              <w:right w:w="15" w:type="dxa"/>
            </w:tcMar>
            <w:vAlign w:val="center"/>
          </w:tcPr>
          <w:p w:rsidR="00230568" w:rsidRPr="00E639C9" w:rsidRDefault="00230568" w:rsidP="000E4E30">
            <w:pPr>
              <w:jc w:val="center"/>
              <w:rPr>
                <w:b/>
                <w:bCs/>
                <w:color w:val="FFFFFF" w:themeColor="background1"/>
                <w:szCs w:val="20"/>
              </w:rPr>
            </w:pPr>
            <w:r w:rsidRPr="00E639C9">
              <w:rPr>
                <w:b/>
                <w:bCs/>
                <w:color w:val="FFFFFF" w:themeColor="background1"/>
                <w:szCs w:val="20"/>
              </w:rPr>
              <w:t>IALS</w:t>
            </w:r>
          </w:p>
        </w:tc>
        <w:tc>
          <w:tcPr>
            <w:tcW w:w="1276" w:type="dxa"/>
            <w:shd w:val="clear" w:color="auto" w:fill="1F497D" w:themeFill="text2"/>
            <w:tcMar>
              <w:top w:w="15" w:type="dxa"/>
              <w:left w:w="15" w:type="dxa"/>
              <w:bottom w:w="0" w:type="dxa"/>
              <w:right w:w="15" w:type="dxa"/>
            </w:tcMar>
            <w:vAlign w:val="center"/>
          </w:tcPr>
          <w:p w:rsidR="00230568" w:rsidRPr="00E639C9" w:rsidRDefault="00230568" w:rsidP="000E4E30">
            <w:pPr>
              <w:jc w:val="center"/>
              <w:rPr>
                <w:b/>
                <w:bCs/>
                <w:color w:val="FFFFFF" w:themeColor="background1"/>
                <w:szCs w:val="20"/>
              </w:rPr>
            </w:pPr>
            <w:r w:rsidRPr="00E639C9">
              <w:rPr>
                <w:b/>
                <w:bCs/>
                <w:color w:val="FFFFFF" w:themeColor="background1"/>
                <w:szCs w:val="20"/>
              </w:rPr>
              <w:t>PIAAC</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Belgium (FL)</w:t>
            </w:r>
          </w:p>
        </w:tc>
        <w:tc>
          <w:tcPr>
            <w:tcW w:w="993" w:type="dxa"/>
            <w:shd w:val="clear" w:color="auto" w:fill="F2DBDB" w:themeFill="accent2"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49%</w:t>
            </w:r>
          </w:p>
        </w:tc>
        <w:tc>
          <w:tcPr>
            <w:tcW w:w="1419" w:type="dxa"/>
            <w:shd w:val="clear" w:color="auto" w:fill="F2DBDB" w:themeFill="accent2" w:themeFillTint="33"/>
            <w:vAlign w:val="bottom"/>
          </w:tcPr>
          <w:p w:rsidR="00230568" w:rsidRPr="00E639C9" w:rsidRDefault="00230568" w:rsidP="001E31D3">
            <w:pPr>
              <w:jc w:val="right"/>
              <w:rPr>
                <w:color w:val="000000" w:themeColor="text1"/>
                <w:szCs w:val="20"/>
              </w:rPr>
            </w:pPr>
            <w:r w:rsidRPr="00E639C9">
              <w:rPr>
                <w:color w:val="000000" w:themeColor="text1"/>
                <w:szCs w:val="20"/>
              </w:rPr>
              <w:t>43%</w:t>
            </w:r>
          </w:p>
        </w:tc>
        <w:tc>
          <w:tcPr>
            <w:tcW w:w="1276"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38%</w:t>
            </w:r>
          </w:p>
        </w:tc>
        <w:tc>
          <w:tcPr>
            <w:tcW w:w="1277"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48%</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13%</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9%</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Czech Republic</w:t>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16%</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28%</w:t>
            </w:r>
          </w:p>
        </w:tc>
        <w:tc>
          <w:tcPr>
            <w:tcW w:w="1276"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48%</w:t>
            </w:r>
          </w:p>
        </w:tc>
        <w:tc>
          <w:tcPr>
            <w:tcW w:w="1277"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66%</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36%</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7%</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Denmark</w:t>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22%</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38%</w:t>
            </w:r>
          </w:p>
        </w:tc>
        <w:tc>
          <w:tcPr>
            <w:tcW w:w="1276" w:type="dxa"/>
            <w:shd w:val="clear" w:color="auto" w:fill="F2DBDB" w:themeFill="accent2" w:themeFillTint="33"/>
            <w:vAlign w:val="bottom"/>
          </w:tcPr>
          <w:p w:rsidR="00230568" w:rsidRPr="00E639C9" w:rsidRDefault="00230568" w:rsidP="001E31D3">
            <w:pPr>
              <w:jc w:val="right"/>
              <w:rPr>
                <w:color w:val="000000" w:themeColor="text1"/>
                <w:szCs w:val="20"/>
              </w:rPr>
            </w:pPr>
            <w:r w:rsidRPr="00E639C9">
              <w:rPr>
                <w:color w:val="000000" w:themeColor="text1"/>
                <w:szCs w:val="20"/>
              </w:rPr>
              <w:t>59%</w:t>
            </w:r>
          </w:p>
        </w:tc>
        <w:tc>
          <w:tcPr>
            <w:tcW w:w="1277" w:type="dxa"/>
            <w:shd w:val="clear" w:color="auto" w:fill="F2DBDB" w:themeFill="accent2" w:themeFillTint="33"/>
            <w:vAlign w:val="bottom"/>
          </w:tcPr>
          <w:p w:rsidR="00230568" w:rsidRPr="00E639C9" w:rsidRDefault="00230568" w:rsidP="001E31D3">
            <w:pPr>
              <w:jc w:val="right"/>
              <w:rPr>
                <w:color w:val="000000" w:themeColor="text1"/>
                <w:szCs w:val="20"/>
              </w:rPr>
            </w:pPr>
            <w:r w:rsidRPr="00E639C9">
              <w:rPr>
                <w:color w:val="000000" w:themeColor="text1"/>
                <w:szCs w:val="20"/>
              </w:rPr>
              <w:t>47%</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18%</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15%</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Finland</w:t>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19%</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37%</w:t>
            </w:r>
          </w:p>
        </w:tc>
        <w:tc>
          <w:tcPr>
            <w:tcW w:w="1276" w:type="dxa"/>
            <w:shd w:val="clear" w:color="auto" w:fill="F2DBDB" w:themeFill="accent2" w:themeFillTint="33"/>
            <w:vAlign w:val="bottom"/>
          </w:tcPr>
          <w:p w:rsidR="00230568" w:rsidRPr="00E639C9" w:rsidRDefault="00230568" w:rsidP="001E31D3">
            <w:pPr>
              <w:jc w:val="right"/>
              <w:rPr>
                <w:color w:val="000000" w:themeColor="text1"/>
                <w:szCs w:val="20"/>
              </w:rPr>
            </w:pPr>
            <w:r w:rsidRPr="00E639C9">
              <w:rPr>
                <w:color w:val="000000" w:themeColor="text1"/>
                <w:szCs w:val="20"/>
              </w:rPr>
              <w:t>65%</w:t>
            </w:r>
          </w:p>
        </w:tc>
        <w:tc>
          <w:tcPr>
            <w:tcW w:w="1277" w:type="dxa"/>
            <w:shd w:val="clear" w:color="auto" w:fill="F2DBDB" w:themeFill="accent2" w:themeFillTint="33"/>
            <w:vAlign w:val="bottom"/>
          </w:tcPr>
          <w:p w:rsidR="00230568" w:rsidRPr="00E639C9" w:rsidRDefault="00230568" w:rsidP="001E31D3">
            <w:pPr>
              <w:jc w:val="right"/>
              <w:rPr>
                <w:color w:val="000000" w:themeColor="text1"/>
                <w:szCs w:val="20"/>
              </w:rPr>
            </w:pPr>
            <w:r w:rsidRPr="00E639C9">
              <w:rPr>
                <w:color w:val="000000" w:themeColor="text1"/>
                <w:szCs w:val="20"/>
              </w:rPr>
              <w:t>57%</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16%</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6%</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Germany</w:t>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14%</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29%</w:t>
            </w:r>
          </w:p>
        </w:tc>
        <w:tc>
          <w:tcPr>
            <w:tcW w:w="1276"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33%</w:t>
            </w:r>
          </w:p>
        </w:tc>
        <w:tc>
          <w:tcPr>
            <w:tcW w:w="1277"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59%</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53%</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12%</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Ireland</w:t>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23%</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45%</w:t>
            </w:r>
          </w:p>
        </w:tc>
        <w:tc>
          <w:tcPr>
            <w:tcW w:w="1276"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37%</w:t>
            </w:r>
          </w:p>
        </w:tc>
        <w:tc>
          <w:tcPr>
            <w:tcW w:w="1277"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44%</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40%</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11%</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Italy</w:t>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11%</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21%</w:t>
            </w:r>
          </w:p>
        </w:tc>
        <w:tc>
          <w:tcPr>
            <w:tcW w:w="1276" w:type="dxa"/>
            <w:shd w:val="clear" w:color="auto" w:fill="F2DBDB" w:themeFill="accent2" w:themeFillTint="33"/>
            <w:vAlign w:val="bottom"/>
          </w:tcPr>
          <w:p w:rsidR="00230568" w:rsidRPr="00E639C9" w:rsidRDefault="00230568" w:rsidP="001E31D3">
            <w:pPr>
              <w:jc w:val="right"/>
              <w:rPr>
                <w:color w:val="000000" w:themeColor="text1"/>
                <w:szCs w:val="20"/>
              </w:rPr>
            </w:pPr>
            <w:r w:rsidRPr="00E639C9">
              <w:rPr>
                <w:color w:val="000000" w:themeColor="text1"/>
                <w:szCs w:val="20"/>
              </w:rPr>
              <w:t>59%</w:t>
            </w:r>
          </w:p>
        </w:tc>
        <w:tc>
          <w:tcPr>
            <w:tcW w:w="1277" w:type="dxa"/>
            <w:shd w:val="clear" w:color="auto" w:fill="F2DBDB" w:themeFill="accent2" w:themeFillTint="33"/>
            <w:vAlign w:val="bottom"/>
          </w:tcPr>
          <w:p w:rsidR="00230568" w:rsidRPr="00E639C9" w:rsidRDefault="00230568" w:rsidP="001E31D3">
            <w:pPr>
              <w:jc w:val="right"/>
              <w:rPr>
                <w:color w:val="000000" w:themeColor="text1"/>
                <w:szCs w:val="20"/>
              </w:rPr>
            </w:pPr>
            <w:r w:rsidRPr="00E639C9">
              <w:rPr>
                <w:color w:val="000000" w:themeColor="text1"/>
                <w:szCs w:val="20"/>
              </w:rPr>
              <w:t>56%</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30%</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23%</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Netherlands</w:t>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26%</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33%</w:t>
            </w:r>
          </w:p>
        </w:tc>
        <w:tc>
          <w:tcPr>
            <w:tcW w:w="1276"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44%</w:t>
            </w:r>
          </w:p>
        </w:tc>
        <w:tc>
          <w:tcPr>
            <w:tcW w:w="1277"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50%</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29%</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17%</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Poland</w:t>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18%</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32%</w:t>
            </w:r>
          </w:p>
        </w:tc>
        <w:tc>
          <w:tcPr>
            <w:tcW w:w="1276"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27%</w:t>
            </w:r>
          </w:p>
        </w:tc>
        <w:tc>
          <w:tcPr>
            <w:tcW w:w="1277"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61%</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55%</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7%</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Sweden</w:t>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24%</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37%</w:t>
            </w:r>
          </w:p>
        </w:tc>
        <w:tc>
          <w:tcPr>
            <w:tcW w:w="1276" w:type="dxa"/>
            <w:shd w:val="clear" w:color="auto" w:fill="F2DBDB" w:themeFill="accent2" w:themeFillTint="33"/>
            <w:vAlign w:val="bottom"/>
          </w:tcPr>
          <w:p w:rsidR="00230568" w:rsidRPr="00E639C9" w:rsidRDefault="00230568" w:rsidP="001E31D3">
            <w:pPr>
              <w:jc w:val="right"/>
              <w:rPr>
                <w:color w:val="000000" w:themeColor="text1"/>
                <w:szCs w:val="20"/>
              </w:rPr>
            </w:pPr>
            <w:r w:rsidRPr="00E639C9">
              <w:rPr>
                <w:color w:val="000000" w:themeColor="text1"/>
                <w:szCs w:val="20"/>
              </w:rPr>
              <w:t>65%</w:t>
            </w:r>
          </w:p>
        </w:tc>
        <w:tc>
          <w:tcPr>
            <w:tcW w:w="1277" w:type="dxa"/>
            <w:shd w:val="clear" w:color="auto" w:fill="F2DBDB" w:themeFill="accent2" w:themeFillTint="33"/>
            <w:vAlign w:val="bottom"/>
          </w:tcPr>
          <w:p w:rsidR="00230568" w:rsidRPr="00E639C9" w:rsidRDefault="00230568" w:rsidP="001E31D3">
            <w:pPr>
              <w:jc w:val="right"/>
              <w:rPr>
                <w:color w:val="000000" w:themeColor="text1"/>
                <w:szCs w:val="20"/>
              </w:rPr>
            </w:pPr>
            <w:r w:rsidRPr="00E639C9">
              <w:rPr>
                <w:color w:val="000000" w:themeColor="text1"/>
                <w:szCs w:val="20"/>
              </w:rPr>
              <w:t>54%</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11%</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9%</w:t>
            </w:r>
          </w:p>
        </w:tc>
      </w:tr>
      <w:tr w:rsidR="00230568" w:rsidRPr="00E639C9" w:rsidTr="00651009">
        <w:trPr>
          <w:trHeight w:val="20"/>
        </w:trPr>
        <w:tc>
          <w:tcPr>
            <w:tcW w:w="1427" w:type="dxa"/>
            <w:shd w:val="clear" w:color="auto" w:fill="auto"/>
            <w:noWrap/>
            <w:tcMar>
              <w:top w:w="15" w:type="dxa"/>
              <w:left w:w="15" w:type="dxa"/>
              <w:bottom w:w="0" w:type="dxa"/>
              <w:right w:w="15" w:type="dxa"/>
            </w:tcMar>
            <w:vAlign w:val="bottom"/>
            <w:hideMark/>
          </w:tcPr>
          <w:p w:rsidR="00230568" w:rsidRPr="00E639C9" w:rsidRDefault="00230568" w:rsidP="000E4E30">
            <w:pPr>
              <w:rPr>
                <w:color w:val="000000" w:themeColor="text1"/>
                <w:szCs w:val="20"/>
              </w:rPr>
            </w:pPr>
            <w:r w:rsidRPr="00E639C9">
              <w:rPr>
                <w:color w:val="000000" w:themeColor="text1"/>
                <w:szCs w:val="20"/>
              </w:rPr>
              <w:t>United Kingdom</w:t>
            </w:r>
            <w:r w:rsidRPr="00E639C9">
              <w:rPr>
                <w:rStyle w:val="FootnoteReference"/>
                <w:color w:val="000000" w:themeColor="text1"/>
                <w:szCs w:val="20"/>
              </w:rPr>
              <w:footnoteReference w:id="13"/>
            </w:r>
          </w:p>
        </w:tc>
        <w:tc>
          <w:tcPr>
            <w:tcW w:w="993" w:type="dxa"/>
            <w:shd w:val="clear" w:color="auto" w:fill="EAF1DD" w:themeFill="accent3" w:themeFillTint="33"/>
            <w:noWrap/>
            <w:tcMar>
              <w:top w:w="15" w:type="dxa"/>
              <w:left w:w="15" w:type="dxa"/>
              <w:bottom w:w="0" w:type="dxa"/>
              <w:right w:w="15" w:type="dxa"/>
            </w:tcMar>
            <w:vAlign w:val="bottom"/>
            <w:hideMark/>
          </w:tcPr>
          <w:p w:rsidR="00230568" w:rsidRPr="00E639C9" w:rsidRDefault="00230568" w:rsidP="000E4E30">
            <w:pPr>
              <w:jc w:val="right"/>
              <w:rPr>
                <w:color w:val="000000" w:themeColor="text1"/>
                <w:szCs w:val="20"/>
              </w:rPr>
            </w:pPr>
            <w:r w:rsidRPr="00E639C9">
              <w:rPr>
                <w:color w:val="000000" w:themeColor="text1"/>
                <w:szCs w:val="20"/>
              </w:rPr>
              <w:t>25%</w:t>
            </w:r>
          </w:p>
        </w:tc>
        <w:tc>
          <w:tcPr>
            <w:tcW w:w="1419"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42%</w:t>
            </w:r>
          </w:p>
        </w:tc>
        <w:tc>
          <w:tcPr>
            <w:tcW w:w="1276"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26%</w:t>
            </w:r>
          </w:p>
        </w:tc>
        <w:tc>
          <w:tcPr>
            <w:tcW w:w="1277" w:type="dxa"/>
            <w:shd w:val="clear" w:color="auto" w:fill="EAF1DD" w:themeFill="accent3" w:themeFillTint="33"/>
            <w:vAlign w:val="bottom"/>
          </w:tcPr>
          <w:p w:rsidR="00230568" w:rsidRPr="00E639C9" w:rsidRDefault="00230568" w:rsidP="001E31D3">
            <w:pPr>
              <w:jc w:val="right"/>
              <w:rPr>
                <w:color w:val="000000" w:themeColor="text1"/>
                <w:szCs w:val="20"/>
              </w:rPr>
            </w:pPr>
            <w:r w:rsidRPr="00E639C9">
              <w:rPr>
                <w:color w:val="000000" w:themeColor="text1"/>
                <w:szCs w:val="20"/>
              </w:rPr>
              <w:t>42%</w:t>
            </w:r>
          </w:p>
        </w:tc>
        <w:tc>
          <w:tcPr>
            <w:tcW w:w="1278"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48%</w:t>
            </w:r>
          </w:p>
        </w:tc>
        <w:tc>
          <w:tcPr>
            <w:tcW w:w="1276" w:type="dxa"/>
            <w:shd w:val="clear" w:color="auto" w:fill="EAF1DD" w:themeFill="accent3" w:themeFillTint="33"/>
            <w:noWrap/>
            <w:tcMar>
              <w:top w:w="15" w:type="dxa"/>
              <w:left w:w="15" w:type="dxa"/>
              <w:bottom w:w="0" w:type="dxa"/>
              <w:right w:w="15" w:type="dxa"/>
            </w:tcMar>
            <w:vAlign w:val="bottom"/>
          </w:tcPr>
          <w:p w:rsidR="00230568" w:rsidRPr="00E639C9" w:rsidRDefault="00230568" w:rsidP="001E31D3">
            <w:pPr>
              <w:jc w:val="right"/>
              <w:rPr>
                <w:color w:val="000000" w:themeColor="text1"/>
                <w:szCs w:val="20"/>
              </w:rPr>
            </w:pPr>
            <w:r w:rsidRPr="00E639C9">
              <w:rPr>
                <w:color w:val="000000" w:themeColor="text1"/>
                <w:szCs w:val="20"/>
              </w:rPr>
              <w:t>17%</w:t>
            </w:r>
          </w:p>
        </w:tc>
      </w:tr>
    </w:tbl>
    <w:p w:rsidR="002A61E1" w:rsidRDefault="00B446BC" w:rsidP="000E4E30">
      <w:pPr>
        <w:spacing w:after="120" w:line="288" w:lineRule="auto"/>
        <w:rPr>
          <w:rFonts w:cs="Arial"/>
          <w:bCs/>
          <w:i/>
          <w:color w:val="000000" w:themeColor="text1"/>
          <w:sz w:val="16"/>
          <w:szCs w:val="16"/>
          <w:lang w:eastAsia="de-DE"/>
        </w:rPr>
      </w:pPr>
      <w:r w:rsidRPr="000E4E30">
        <w:rPr>
          <w:rFonts w:cs="Arial"/>
          <w:bCs/>
          <w:i/>
          <w:color w:val="000000" w:themeColor="text1"/>
          <w:sz w:val="16"/>
          <w:szCs w:val="16"/>
          <w:lang w:eastAsia="de-DE"/>
        </w:rPr>
        <w:t>Notes: own elaboration based on PIAAC and IALS data</w:t>
      </w:r>
    </w:p>
    <w:p w:rsidR="00E639C9" w:rsidRDefault="00E639C9" w:rsidP="00E639C9">
      <w:pPr>
        <w:pStyle w:val="BodyText"/>
        <w:spacing w:line="288" w:lineRule="auto"/>
      </w:pPr>
      <w:r>
        <w:t xml:space="preserve">However, it needs to be pointed out that the categorisation of educational attainment between PIAAC and IALS is not always directly comparable </w:t>
      </w:r>
      <w:r w:rsidR="00402AD6">
        <w:t>with</w:t>
      </w:r>
      <w:r>
        <w:t xml:space="preserve"> </w:t>
      </w:r>
      <w:r w:rsidR="00402AD6">
        <w:t xml:space="preserve">considerable </w:t>
      </w:r>
      <w:r>
        <w:t>measurement issues. Inconsistencies in coding upper secondary and lower secondary education in PIAAC and IALS explain</w:t>
      </w:r>
      <w:r w:rsidR="00402AD6">
        <w:t xml:space="preserve"> for example</w:t>
      </w:r>
      <w:r>
        <w:t xml:space="preserve"> the large increases in upper secondary attainment in Germany and the United Kingdom. Hence, it is not possible to disentangle where real educational expansion has taken place based on the information provided by PIAAC and IALS alone. </w:t>
      </w:r>
    </w:p>
    <w:p w:rsidR="00E639C9" w:rsidRPr="00E639C9" w:rsidRDefault="00E639C9" w:rsidP="00E639C9">
      <w:pPr>
        <w:pStyle w:val="BodyText"/>
        <w:spacing w:line="288" w:lineRule="auto"/>
      </w:pPr>
      <w:r>
        <w:t>The analysis of EULFS data</w:t>
      </w:r>
      <w:r w:rsidR="0051512A">
        <w:t xml:space="preserve"> in section 4.1 and 4.2</w:t>
      </w:r>
      <w:r>
        <w:t xml:space="preserve"> above provides a more comprehensive picture</w:t>
      </w:r>
      <w:r w:rsidR="007501FB">
        <w:t>. It</w:t>
      </w:r>
      <w:r w:rsidR="00230568">
        <w:t xml:space="preserve"> </w:t>
      </w:r>
      <w:r>
        <w:t>indicate</w:t>
      </w:r>
      <w:r w:rsidR="007501FB">
        <w:t>s</w:t>
      </w:r>
      <w:r>
        <w:t xml:space="preserve"> that educational expansion ha</w:t>
      </w:r>
      <w:r w:rsidR="007501FB">
        <w:t>s</w:t>
      </w:r>
      <w:r>
        <w:t xml:space="preserve"> taken place throughout Europe, albeit to different degrees</w:t>
      </w:r>
      <w:r w:rsidR="00230568">
        <w:t>. It</w:t>
      </w:r>
      <w:r>
        <w:t xml:space="preserve"> has been more substantial in some countries, e.g. in Poland, and less substantial in others, e.g. in Germany. A similar expansion of literacy competences cannot be observed, with the notably exception of Poland. Interestingly, Poland did in fact undergo substantial educational reform in the relevant time period relating to the large average competence gain, including educational expansion through raising the school leaving age at the turn of the millennium.</w:t>
      </w:r>
    </w:p>
    <w:p w:rsidR="002505F3" w:rsidRPr="000E4E30" w:rsidRDefault="002524DF" w:rsidP="000E4E30">
      <w:pPr>
        <w:pStyle w:val="Heading3"/>
        <w:spacing w:before="0" w:after="120" w:line="288" w:lineRule="auto"/>
        <w:rPr>
          <w:szCs w:val="20"/>
        </w:rPr>
      </w:pPr>
      <w:bookmarkStart w:id="118" w:name="_Toc432873763"/>
      <w:bookmarkStart w:id="119" w:name="_Toc435620164"/>
      <w:bookmarkStart w:id="120" w:name="_Toc435802085"/>
      <w:r w:rsidRPr="000E4E30">
        <w:rPr>
          <w:szCs w:val="20"/>
        </w:rPr>
        <w:t xml:space="preserve">4.3.2 </w:t>
      </w:r>
      <w:r w:rsidR="002505F3" w:rsidRPr="000E4E30">
        <w:rPr>
          <w:szCs w:val="20"/>
        </w:rPr>
        <w:t xml:space="preserve">Changes in the </w:t>
      </w:r>
      <w:r w:rsidR="00C62228" w:rsidRPr="000E4E30">
        <w:rPr>
          <w:szCs w:val="20"/>
        </w:rPr>
        <w:t>distribution</w:t>
      </w:r>
      <w:r w:rsidR="002505F3" w:rsidRPr="000E4E30">
        <w:rPr>
          <w:szCs w:val="20"/>
        </w:rPr>
        <w:t xml:space="preserve"> of literacy proficiency over time</w:t>
      </w:r>
      <w:bookmarkEnd w:id="116"/>
      <w:bookmarkEnd w:id="117"/>
      <w:bookmarkEnd w:id="118"/>
      <w:bookmarkEnd w:id="119"/>
      <w:bookmarkEnd w:id="120"/>
      <w:r w:rsidR="002505F3" w:rsidRPr="000E4E30">
        <w:rPr>
          <w:szCs w:val="20"/>
        </w:rPr>
        <w:t xml:space="preserve"> </w:t>
      </w:r>
    </w:p>
    <w:p w:rsidR="002505F3" w:rsidRPr="000E4E30" w:rsidRDefault="002505F3" w:rsidP="000E4E30">
      <w:pPr>
        <w:spacing w:after="120" w:line="288" w:lineRule="auto"/>
        <w:rPr>
          <w:rFonts w:cs="Arial"/>
          <w:szCs w:val="20"/>
        </w:rPr>
      </w:pPr>
      <w:r w:rsidRPr="000E4E30">
        <w:rPr>
          <w:rFonts w:cs="Arial"/>
          <w:szCs w:val="20"/>
        </w:rPr>
        <w:t xml:space="preserve">In addition to any changes in the average literacy competence over time, it is interesting to analyse any changes in the </w:t>
      </w:r>
      <w:r w:rsidR="00C62228" w:rsidRPr="000E4E30">
        <w:rPr>
          <w:rFonts w:cs="Arial"/>
          <w:szCs w:val="20"/>
        </w:rPr>
        <w:t>distribution</w:t>
      </w:r>
      <w:r w:rsidRPr="000E4E30">
        <w:rPr>
          <w:rFonts w:cs="Arial"/>
          <w:szCs w:val="20"/>
        </w:rPr>
        <w:t xml:space="preserve"> of literacy proficiency within a country</w:t>
      </w:r>
      <w:r w:rsidR="00C62228" w:rsidRPr="000E4E30">
        <w:rPr>
          <w:rFonts w:cs="Arial"/>
          <w:szCs w:val="20"/>
        </w:rPr>
        <w:t>. In the following, the distribution of</w:t>
      </w:r>
      <w:r w:rsidRPr="000E4E30">
        <w:rPr>
          <w:rFonts w:cs="Arial"/>
          <w:szCs w:val="20"/>
        </w:rPr>
        <w:t xml:space="preserve"> literacy performance within country is measured by the </w:t>
      </w:r>
      <w:r w:rsidR="00B013ED" w:rsidRPr="000E4E30">
        <w:rPr>
          <w:rFonts w:cs="Arial"/>
          <w:szCs w:val="20"/>
        </w:rPr>
        <w:t>gap</w:t>
      </w:r>
      <w:r w:rsidRPr="000E4E30">
        <w:rPr>
          <w:rFonts w:cs="Arial"/>
          <w:szCs w:val="20"/>
        </w:rPr>
        <w:t xml:space="preserve"> in the literacy score at the 95</w:t>
      </w:r>
      <w:r w:rsidRPr="000E4E30">
        <w:rPr>
          <w:rFonts w:cs="Arial"/>
          <w:szCs w:val="20"/>
          <w:vertAlign w:val="superscript"/>
        </w:rPr>
        <w:t>th</w:t>
      </w:r>
      <w:r w:rsidRPr="000E4E30">
        <w:rPr>
          <w:rFonts w:cs="Arial"/>
          <w:szCs w:val="20"/>
        </w:rPr>
        <w:t xml:space="preserve"> and the 5</w:t>
      </w:r>
      <w:r w:rsidRPr="000E4E30">
        <w:rPr>
          <w:rFonts w:cs="Arial"/>
          <w:szCs w:val="20"/>
          <w:vertAlign w:val="superscript"/>
        </w:rPr>
        <w:t>th</w:t>
      </w:r>
      <w:r w:rsidRPr="000E4E30">
        <w:rPr>
          <w:rFonts w:cs="Arial"/>
          <w:szCs w:val="20"/>
        </w:rPr>
        <w:t xml:space="preserve"> percentile. Hence, the difference between the two percentiles is taken as a proxy of variance of the sample.</w:t>
      </w:r>
    </w:p>
    <w:p w:rsidR="002505F3" w:rsidRPr="000E4E30" w:rsidRDefault="002505F3" w:rsidP="000E4E30">
      <w:pPr>
        <w:spacing w:after="120" w:line="288" w:lineRule="auto"/>
        <w:rPr>
          <w:rFonts w:cs="Arial"/>
          <w:szCs w:val="20"/>
        </w:rPr>
      </w:pPr>
      <w:r w:rsidRPr="000E4E30">
        <w:rPr>
          <w:rFonts w:cs="Arial"/>
          <w:szCs w:val="20"/>
        </w:rPr>
        <w:t>Figure 4.</w:t>
      </w:r>
      <w:r w:rsidR="00C27743" w:rsidRPr="000E4E30">
        <w:rPr>
          <w:rFonts w:cs="Arial"/>
          <w:szCs w:val="20"/>
        </w:rPr>
        <w:t>6</w:t>
      </w:r>
      <w:r w:rsidRPr="000E4E30">
        <w:rPr>
          <w:rFonts w:cs="Arial"/>
          <w:szCs w:val="20"/>
        </w:rPr>
        <w:t xml:space="preserve"> presents this measure of </w:t>
      </w:r>
      <w:r w:rsidR="007501FB">
        <w:rPr>
          <w:rFonts w:cs="Arial"/>
          <w:szCs w:val="20"/>
        </w:rPr>
        <w:t>equity</w:t>
      </w:r>
      <w:r w:rsidR="007501FB" w:rsidRPr="000E4E30">
        <w:rPr>
          <w:rFonts w:cs="Arial"/>
          <w:szCs w:val="20"/>
        </w:rPr>
        <w:t xml:space="preserve"> </w:t>
      </w:r>
      <w:r w:rsidRPr="000E4E30">
        <w:rPr>
          <w:rFonts w:cs="Arial"/>
          <w:szCs w:val="20"/>
        </w:rPr>
        <w:t xml:space="preserve">for PIAAC on the vertical axis and IALS on the horizontal axis. We can observe three different patterns: </w:t>
      </w:r>
    </w:p>
    <w:p w:rsidR="002505F3" w:rsidRPr="000E4E30" w:rsidRDefault="001E31D3" w:rsidP="00A05A88">
      <w:pPr>
        <w:pStyle w:val="ListParagraph"/>
        <w:numPr>
          <w:ilvl w:val="0"/>
          <w:numId w:val="20"/>
        </w:numPr>
        <w:spacing w:after="120" w:line="288" w:lineRule="auto"/>
        <w:rPr>
          <w:rFonts w:cs="Arial"/>
          <w:szCs w:val="20"/>
        </w:rPr>
      </w:pPr>
      <w:r w:rsidRPr="001E31D3">
        <w:rPr>
          <w:rFonts w:cs="Arial"/>
          <w:b/>
          <w:color w:val="1F497D" w:themeColor="text2"/>
          <w:szCs w:val="20"/>
        </w:rPr>
        <w:t xml:space="preserve">Closing </w:t>
      </w:r>
      <w:r w:rsidR="00230568" w:rsidRPr="001E31D3">
        <w:rPr>
          <w:rFonts w:cs="Arial"/>
          <w:b/>
          <w:color w:val="1F497D" w:themeColor="text2"/>
          <w:szCs w:val="20"/>
        </w:rPr>
        <w:t>gaps</w:t>
      </w:r>
      <w:r w:rsidR="002505F3" w:rsidRPr="001E31D3">
        <w:rPr>
          <w:rFonts w:cs="Arial"/>
          <w:b/>
          <w:color w:val="1F497D" w:themeColor="text2"/>
          <w:szCs w:val="20"/>
        </w:rPr>
        <w:t xml:space="preserve"> </w:t>
      </w:r>
      <w:r w:rsidR="002505F3" w:rsidRPr="000E4E30">
        <w:rPr>
          <w:rFonts w:cs="Arial"/>
          <w:szCs w:val="20"/>
        </w:rPr>
        <w:t xml:space="preserve">when countries display above average </w:t>
      </w:r>
      <w:r w:rsidR="00B013ED" w:rsidRPr="000E4E30">
        <w:rPr>
          <w:rFonts w:cs="Arial"/>
          <w:szCs w:val="20"/>
        </w:rPr>
        <w:t>gaps between highest and lowest performers in IALS but below average</w:t>
      </w:r>
      <w:r w:rsidR="002505F3" w:rsidRPr="000E4E30">
        <w:rPr>
          <w:rFonts w:cs="Arial"/>
          <w:szCs w:val="20"/>
        </w:rPr>
        <w:t xml:space="preserve"> in PIAAC. This includes Ireland and Italy.</w:t>
      </w:r>
    </w:p>
    <w:p w:rsidR="002505F3" w:rsidRPr="000E4E30" w:rsidRDefault="001E31D3" w:rsidP="00A05A88">
      <w:pPr>
        <w:pStyle w:val="ListParagraph"/>
        <w:numPr>
          <w:ilvl w:val="0"/>
          <w:numId w:val="20"/>
        </w:numPr>
        <w:spacing w:after="120" w:line="288" w:lineRule="auto"/>
        <w:rPr>
          <w:rFonts w:cs="Arial"/>
          <w:szCs w:val="20"/>
        </w:rPr>
      </w:pPr>
      <w:r w:rsidRPr="001E31D3">
        <w:rPr>
          <w:rFonts w:cs="Arial"/>
          <w:b/>
          <w:color w:val="1F497D" w:themeColor="text2"/>
          <w:szCs w:val="20"/>
        </w:rPr>
        <w:t xml:space="preserve">Widening </w:t>
      </w:r>
      <w:r w:rsidR="00230568" w:rsidRPr="001E31D3">
        <w:rPr>
          <w:rFonts w:cs="Arial"/>
          <w:b/>
          <w:color w:val="1F497D" w:themeColor="text2"/>
          <w:szCs w:val="20"/>
        </w:rPr>
        <w:t>gaps</w:t>
      </w:r>
      <w:r w:rsidR="002505F3" w:rsidRPr="001E31D3">
        <w:rPr>
          <w:rFonts w:cs="Arial"/>
          <w:color w:val="1F497D" w:themeColor="text2"/>
          <w:szCs w:val="20"/>
        </w:rPr>
        <w:t xml:space="preserve"> </w:t>
      </w:r>
      <w:r w:rsidR="002505F3" w:rsidRPr="000E4E30">
        <w:rPr>
          <w:rFonts w:cs="Arial"/>
          <w:szCs w:val="20"/>
        </w:rPr>
        <w:t xml:space="preserve">if countries display below average </w:t>
      </w:r>
      <w:r w:rsidR="00B013ED" w:rsidRPr="000E4E30">
        <w:rPr>
          <w:rFonts w:cs="Arial"/>
          <w:szCs w:val="20"/>
        </w:rPr>
        <w:t>gaps between highest and lowest performers</w:t>
      </w:r>
      <w:r w:rsidR="002505F3" w:rsidRPr="000E4E30">
        <w:rPr>
          <w:rFonts w:cs="Arial"/>
          <w:szCs w:val="20"/>
        </w:rPr>
        <w:t xml:space="preserve"> in IALS and above average </w:t>
      </w:r>
      <w:r w:rsidR="00B013ED" w:rsidRPr="000E4E30">
        <w:rPr>
          <w:rFonts w:cs="Arial"/>
          <w:szCs w:val="20"/>
        </w:rPr>
        <w:t>gaps</w:t>
      </w:r>
      <w:r w:rsidR="002505F3" w:rsidRPr="000E4E30">
        <w:rPr>
          <w:rFonts w:cs="Arial"/>
          <w:szCs w:val="20"/>
        </w:rPr>
        <w:t xml:space="preserve"> in PIAAC. This includes Denmark, Germany, Sweden and the Netherlands.</w:t>
      </w:r>
    </w:p>
    <w:p w:rsidR="002505F3" w:rsidRPr="000E4E30" w:rsidRDefault="002505F3" w:rsidP="00A05A88">
      <w:pPr>
        <w:pStyle w:val="ListParagraph"/>
        <w:numPr>
          <w:ilvl w:val="0"/>
          <w:numId w:val="20"/>
        </w:numPr>
        <w:spacing w:after="120" w:line="288" w:lineRule="auto"/>
        <w:rPr>
          <w:rFonts w:cs="Arial"/>
          <w:szCs w:val="20"/>
        </w:rPr>
      </w:pPr>
      <w:r w:rsidRPr="001E31D3">
        <w:rPr>
          <w:rFonts w:cs="Arial"/>
          <w:b/>
          <w:color w:val="1F497D" w:themeColor="text2"/>
          <w:szCs w:val="20"/>
        </w:rPr>
        <w:t>No change</w:t>
      </w:r>
      <w:r w:rsidRPr="001E31D3">
        <w:rPr>
          <w:rFonts w:cs="Arial"/>
          <w:color w:val="1F497D" w:themeColor="text2"/>
          <w:szCs w:val="20"/>
        </w:rPr>
        <w:t xml:space="preserve"> </w:t>
      </w:r>
      <w:r w:rsidR="007501FB">
        <w:rPr>
          <w:rFonts w:cs="Arial"/>
          <w:szCs w:val="20"/>
        </w:rPr>
        <w:t>which implies</w:t>
      </w:r>
      <w:r w:rsidRPr="000E4E30">
        <w:rPr>
          <w:rFonts w:cs="Arial"/>
          <w:szCs w:val="20"/>
        </w:rPr>
        <w:t xml:space="preserve"> either the persistence of above or below average </w:t>
      </w:r>
      <w:r w:rsidR="00B013ED" w:rsidRPr="000E4E30">
        <w:rPr>
          <w:rFonts w:cs="Arial"/>
          <w:szCs w:val="20"/>
        </w:rPr>
        <w:t>gaps between highest and lowest performers</w:t>
      </w:r>
      <w:r w:rsidRPr="000E4E30">
        <w:rPr>
          <w:rFonts w:cs="Arial"/>
          <w:szCs w:val="20"/>
        </w:rPr>
        <w:t>. It does not impl</w:t>
      </w:r>
      <w:r w:rsidR="00B013ED" w:rsidRPr="000E4E30">
        <w:rPr>
          <w:rFonts w:cs="Arial"/>
          <w:szCs w:val="20"/>
        </w:rPr>
        <w:t>y the absence of any change in th</w:t>
      </w:r>
      <w:r w:rsidR="007501FB">
        <w:rPr>
          <w:rFonts w:cs="Arial"/>
          <w:szCs w:val="20"/>
        </w:rPr>
        <w:t>e size of the</w:t>
      </w:r>
      <w:r w:rsidR="00B013ED" w:rsidRPr="000E4E30">
        <w:rPr>
          <w:rFonts w:cs="Arial"/>
          <w:szCs w:val="20"/>
        </w:rPr>
        <w:t xml:space="preserve"> gap</w:t>
      </w:r>
      <w:r w:rsidRPr="000E4E30">
        <w:rPr>
          <w:rFonts w:cs="Arial"/>
          <w:szCs w:val="20"/>
        </w:rPr>
        <w:t xml:space="preserve">. Countries with unchanged above average </w:t>
      </w:r>
      <w:r w:rsidR="00B013ED" w:rsidRPr="000E4E30">
        <w:rPr>
          <w:rFonts w:cs="Arial"/>
          <w:szCs w:val="20"/>
        </w:rPr>
        <w:t>gaps</w:t>
      </w:r>
      <w:r w:rsidRPr="000E4E30">
        <w:rPr>
          <w:rFonts w:cs="Arial"/>
          <w:szCs w:val="20"/>
        </w:rPr>
        <w:t xml:space="preserve"> include Poland and the United Kingdom, while Belgium</w:t>
      </w:r>
      <w:r w:rsidR="000A1B92">
        <w:rPr>
          <w:rFonts w:cs="Arial"/>
          <w:szCs w:val="20"/>
        </w:rPr>
        <w:t xml:space="preserve"> (FL),</w:t>
      </w:r>
      <w:r w:rsidRPr="000E4E30">
        <w:rPr>
          <w:rFonts w:cs="Arial"/>
          <w:szCs w:val="20"/>
        </w:rPr>
        <w:t xml:space="preserve"> the Czech Republic and Finland display below average </w:t>
      </w:r>
      <w:r w:rsidR="00B013ED" w:rsidRPr="000E4E30">
        <w:rPr>
          <w:rFonts w:cs="Arial"/>
          <w:szCs w:val="20"/>
        </w:rPr>
        <w:t xml:space="preserve">gaps </w:t>
      </w:r>
      <w:r w:rsidRPr="000E4E30">
        <w:rPr>
          <w:rFonts w:cs="Arial"/>
          <w:szCs w:val="20"/>
        </w:rPr>
        <w:t xml:space="preserve">at both points in time. </w:t>
      </w:r>
    </w:p>
    <w:p w:rsidR="002505F3" w:rsidRPr="000E4E30" w:rsidRDefault="002505F3" w:rsidP="000E4E30">
      <w:pPr>
        <w:pStyle w:val="Caption"/>
        <w:spacing w:before="0" w:after="120" w:line="288" w:lineRule="auto"/>
        <w:jc w:val="left"/>
        <w:rPr>
          <w:rFonts w:ascii="Verdana" w:hAnsi="Verdana"/>
          <w:color w:val="000000" w:themeColor="text1"/>
          <w:sz w:val="20"/>
        </w:rPr>
      </w:pPr>
      <w:r w:rsidRPr="000E4E30">
        <w:rPr>
          <w:rFonts w:ascii="Verdana" w:hAnsi="Verdana" w:cs="Arial"/>
          <w:b w:val="0"/>
          <w:color w:val="1F497D" w:themeColor="text2"/>
          <w:sz w:val="20"/>
        </w:rPr>
        <w:t xml:space="preserve">Figure </w:t>
      </w:r>
      <w:r w:rsidR="00F50E55">
        <w:rPr>
          <w:rFonts w:ascii="Verdana" w:hAnsi="Verdana" w:cs="Arial"/>
          <w:b w:val="0"/>
          <w:color w:val="1F497D" w:themeColor="text2"/>
          <w:sz w:val="20"/>
        </w:rPr>
        <w:t>4.6</w:t>
      </w:r>
      <w:r w:rsidRPr="000E4E30">
        <w:rPr>
          <w:rFonts w:ascii="Verdana" w:hAnsi="Verdana" w:cs="Arial"/>
          <w:b w:val="0"/>
          <w:color w:val="1F497D" w:themeColor="text2"/>
          <w:sz w:val="20"/>
        </w:rPr>
        <w:t xml:space="preserve"> Percentile differences of literacy proficiency in IALS and PIAAC, age group 20-34</w:t>
      </w:r>
      <w:r w:rsidRPr="000E4E30">
        <w:rPr>
          <w:rFonts w:ascii="Verdana" w:hAnsi="Verdana" w:cs="Arial"/>
          <w:noProof/>
          <w:color w:val="000000" w:themeColor="text1"/>
          <w:sz w:val="20"/>
        </w:rPr>
        <w:t xml:space="preserve"> </w:t>
      </w:r>
      <w:r w:rsidRPr="000E4E30">
        <w:rPr>
          <w:rFonts w:ascii="Verdana" w:hAnsi="Verdana" w:cs="Arial"/>
          <w:noProof/>
          <w:color w:val="000000" w:themeColor="text1"/>
          <w:sz w:val="20"/>
          <w:lang w:val="en-US"/>
        </w:rPr>
        <w:drawing>
          <wp:inline distT="0" distB="0" distL="0" distR="0" wp14:anchorId="7B5214AB" wp14:editId="16EFCC93">
            <wp:extent cx="5580000" cy="3600000"/>
            <wp:effectExtent l="0" t="0" r="1905" b="635"/>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2505F3" w:rsidRPr="000E4E30" w:rsidRDefault="002505F3" w:rsidP="000E4E30">
      <w:pPr>
        <w:spacing w:after="120" w:line="288" w:lineRule="auto"/>
        <w:rPr>
          <w:rFonts w:cs="Arial"/>
          <w:i/>
          <w:color w:val="000000" w:themeColor="text1"/>
          <w:sz w:val="16"/>
          <w:szCs w:val="16"/>
        </w:rPr>
      </w:pPr>
      <w:r w:rsidRPr="000E4E30">
        <w:rPr>
          <w:rFonts w:cs="Arial"/>
          <w:i/>
          <w:color w:val="000000" w:themeColor="text1"/>
          <w:sz w:val="16"/>
          <w:szCs w:val="16"/>
        </w:rPr>
        <w:t>Notes: own elaboration based on IALS and PIAAC surveys</w:t>
      </w:r>
    </w:p>
    <w:p w:rsidR="00E04F1A" w:rsidRPr="001E31D3" w:rsidRDefault="002505F3" w:rsidP="000E4E30">
      <w:pPr>
        <w:spacing w:after="120" w:line="288" w:lineRule="auto"/>
        <w:rPr>
          <w:rFonts w:cs="Arial"/>
          <w:szCs w:val="20"/>
        </w:rPr>
      </w:pPr>
      <w:r w:rsidRPr="001E31D3">
        <w:rPr>
          <w:rFonts w:cs="Arial"/>
          <w:szCs w:val="20"/>
        </w:rPr>
        <w:t>Figure 4.</w:t>
      </w:r>
      <w:r w:rsidR="00C27743" w:rsidRPr="001E31D3">
        <w:rPr>
          <w:rFonts w:cs="Arial"/>
          <w:szCs w:val="20"/>
        </w:rPr>
        <w:t>7</w:t>
      </w:r>
      <w:r w:rsidRPr="001E31D3">
        <w:rPr>
          <w:rFonts w:cs="Arial"/>
          <w:szCs w:val="20"/>
        </w:rPr>
        <w:t xml:space="preserve"> complements this picture by displaying the percentage change of dispersion between both surveys. </w:t>
      </w:r>
    </w:p>
    <w:p w:rsidR="002505F3" w:rsidRPr="000E4E30" w:rsidRDefault="002505F3" w:rsidP="000E4E30">
      <w:pPr>
        <w:spacing w:after="120" w:line="288" w:lineRule="auto"/>
        <w:rPr>
          <w:rFonts w:cs="Arial"/>
          <w:bCs/>
          <w:color w:val="1F497D" w:themeColor="text2"/>
          <w:szCs w:val="20"/>
          <w:lang w:eastAsia="en-US"/>
        </w:rPr>
      </w:pPr>
      <w:r w:rsidRPr="000E4E30">
        <w:rPr>
          <w:rFonts w:cs="Arial"/>
          <w:bCs/>
          <w:color w:val="1F497D" w:themeColor="text2"/>
          <w:szCs w:val="20"/>
          <w:lang w:eastAsia="en-US"/>
        </w:rPr>
        <w:t xml:space="preserve">Figure </w:t>
      </w:r>
      <w:r w:rsidR="00FA0136">
        <w:rPr>
          <w:rFonts w:cs="Arial"/>
          <w:bCs/>
          <w:color w:val="1F497D" w:themeColor="text2"/>
          <w:szCs w:val="20"/>
          <w:lang w:eastAsia="en-US"/>
        </w:rPr>
        <w:t>4</w:t>
      </w:r>
      <w:r w:rsidR="00C27743" w:rsidRPr="000E4E30">
        <w:rPr>
          <w:rFonts w:cs="Arial"/>
          <w:bCs/>
          <w:color w:val="1F497D" w:themeColor="text2"/>
          <w:szCs w:val="20"/>
          <w:lang w:eastAsia="en-US"/>
        </w:rPr>
        <w:t>.7</w:t>
      </w:r>
      <w:r w:rsidR="00FA0136">
        <w:rPr>
          <w:rFonts w:cs="Arial"/>
          <w:bCs/>
          <w:color w:val="1F497D" w:themeColor="text2"/>
          <w:szCs w:val="20"/>
          <w:lang w:eastAsia="en-US"/>
        </w:rPr>
        <w:t xml:space="preserve"> </w:t>
      </w:r>
      <w:r w:rsidR="00E04F1A" w:rsidRPr="000E4E30">
        <w:rPr>
          <w:rFonts w:cs="Arial"/>
          <w:bCs/>
          <w:color w:val="1F497D" w:themeColor="text2"/>
          <w:szCs w:val="20"/>
          <w:lang w:eastAsia="en-US"/>
        </w:rPr>
        <w:t>Change in dispersion</w:t>
      </w:r>
      <w:r w:rsidRPr="000E4E30">
        <w:rPr>
          <w:rFonts w:cs="Arial"/>
          <w:bCs/>
          <w:color w:val="1F497D" w:themeColor="text2"/>
          <w:szCs w:val="20"/>
          <w:lang w:eastAsia="en-US"/>
        </w:rPr>
        <w:t xml:space="preserve"> of literacy proficiency between PIAAC and IALS, age 20-34</w:t>
      </w:r>
    </w:p>
    <w:p w:rsidR="002505F3" w:rsidRPr="000E4E30" w:rsidRDefault="002505F3" w:rsidP="000E4E30">
      <w:pPr>
        <w:keepNext/>
        <w:spacing w:after="120" w:line="288" w:lineRule="auto"/>
        <w:rPr>
          <w:rFonts w:cs="Arial"/>
          <w:color w:val="000000" w:themeColor="text1"/>
          <w:szCs w:val="20"/>
        </w:rPr>
      </w:pPr>
      <w:r w:rsidRPr="000E4E30">
        <w:rPr>
          <w:rFonts w:cs="Arial"/>
          <w:noProof/>
          <w:color w:val="000000" w:themeColor="text1"/>
          <w:szCs w:val="20"/>
          <w:lang w:val="en-US" w:eastAsia="en-US"/>
        </w:rPr>
        <w:drawing>
          <wp:inline distT="0" distB="0" distL="0" distR="0" wp14:anchorId="0887DED3" wp14:editId="5F7BF9B3">
            <wp:extent cx="5580000" cy="2422566"/>
            <wp:effectExtent l="0" t="0" r="1905" b="0"/>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2505F3" w:rsidRPr="000E4E30" w:rsidRDefault="002505F3" w:rsidP="000E4E30">
      <w:pPr>
        <w:spacing w:after="120" w:line="288" w:lineRule="auto"/>
        <w:rPr>
          <w:rFonts w:cs="Arial"/>
          <w:i/>
          <w:color w:val="000000" w:themeColor="text1"/>
          <w:sz w:val="16"/>
          <w:szCs w:val="16"/>
        </w:rPr>
      </w:pPr>
      <w:r w:rsidRPr="000E4E30">
        <w:rPr>
          <w:rFonts w:cs="Arial"/>
          <w:i/>
          <w:color w:val="000000" w:themeColor="text1"/>
          <w:sz w:val="16"/>
          <w:szCs w:val="16"/>
        </w:rPr>
        <w:t>Notes: own elaboration based on IALS and PIAAC surveys</w:t>
      </w:r>
    </w:p>
    <w:p w:rsidR="009F0C67" w:rsidRPr="001E31D3" w:rsidRDefault="00E04F1A" w:rsidP="00810FA8">
      <w:pPr>
        <w:spacing w:after="120" w:line="288" w:lineRule="auto"/>
        <w:rPr>
          <w:rFonts w:cs="Arial"/>
          <w:szCs w:val="20"/>
        </w:rPr>
      </w:pPr>
      <w:bookmarkStart w:id="121" w:name="_Toc427232489"/>
      <w:r w:rsidRPr="001E31D3">
        <w:rPr>
          <w:rFonts w:cs="Arial"/>
          <w:szCs w:val="20"/>
        </w:rPr>
        <w:t xml:space="preserve">The distance between young people assessed as </w:t>
      </w:r>
      <w:r w:rsidR="007501FB" w:rsidRPr="001E31D3">
        <w:rPr>
          <w:rFonts w:cs="Arial"/>
          <w:szCs w:val="20"/>
        </w:rPr>
        <w:t xml:space="preserve">being at </w:t>
      </w:r>
      <w:r w:rsidRPr="001E31D3">
        <w:rPr>
          <w:rFonts w:cs="Arial"/>
          <w:szCs w:val="20"/>
        </w:rPr>
        <w:t>the 95</w:t>
      </w:r>
      <w:r w:rsidRPr="001E31D3">
        <w:rPr>
          <w:rFonts w:cs="Arial"/>
          <w:szCs w:val="20"/>
          <w:vertAlign w:val="superscript"/>
        </w:rPr>
        <w:t>th</w:t>
      </w:r>
      <w:r w:rsidRPr="001E31D3">
        <w:rPr>
          <w:rFonts w:cs="Arial"/>
          <w:szCs w:val="20"/>
        </w:rPr>
        <w:t xml:space="preserve"> percentile and those at the 5</w:t>
      </w:r>
      <w:r w:rsidRPr="001E31D3">
        <w:rPr>
          <w:rFonts w:cs="Arial"/>
          <w:szCs w:val="20"/>
          <w:vertAlign w:val="superscript"/>
        </w:rPr>
        <w:t>th</w:t>
      </w:r>
      <w:r w:rsidRPr="001E31D3">
        <w:rPr>
          <w:rFonts w:cs="Arial"/>
          <w:szCs w:val="20"/>
        </w:rPr>
        <w:t xml:space="preserve"> </w:t>
      </w:r>
      <w:r w:rsidR="007501FB" w:rsidRPr="001E31D3">
        <w:rPr>
          <w:rFonts w:cs="Arial"/>
          <w:szCs w:val="20"/>
        </w:rPr>
        <w:t xml:space="preserve">percentile </w:t>
      </w:r>
      <w:r w:rsidRPr="001E31D3">
        <w:rPr>
          <w:rFonts w:cs="Arial"/>
          <w:szCs w:val="20"/>
        </w:rPr>
        <w:t>has decreased for countries as Poland (-16.1%), Italy (-15.1%), Ireland (-14.1%), United Kingdom (-7.6%) and a small drop for Czech Republic (-0.4%). The other countries have seen increased gaps, with the strongest deterioration observed in Denmark (+34.3%) and the smallest observed in Belgium</w:t>
      </w:r>
      <w:r w:rsidR="000A1B92" w:rsidRPr="001E31D3">
        <w:rPr>
          <w:rFonts w:cs="Arial"/>
          <w:szCs w:val="20"/>
        </w:rPr>
        <w:t xml:space="preserve"> (FR)</w:t>
      </w:r>
      <w:r w:rsidRPr="001E31D3">
        <w:rPr>
          <w:rFonts w:cs="Arial"/>
          <w:szCs w:val="20"/>
        </w:rPr>
        <w:t xml:space="preserve"> (+5.9%).</w:t>
      </w:r>
      <w:r w:rsidR="00810FA8" w:rsidRPr="001E31D3">
        <w:rPr>
          <w:rFonts w:cs="Arial"/>
          <w:szCs w:val="20"/>
        </w:rPr>
        <w:t xml:space="preserve"> This is interesting in that Denmark and Sweden, who today display a relatively large dispersion of competences compared to average proficiency levels, have seen a strong increase of inequity in the distribution of competences in the relevant time period.</w:t>
      </w:r>
      <w:bookmarkEnd w:id="121"/>
      <w:r w:rsidR="006F5766" w:rsidRPr="001E31D3">
        <w:rPr>
          <w:rFonts w:cs="Arial"/>
          <w:szCs w:val="20"/>
        </w:rPr>
        <w:t xml:space="preserve"> </w:t>
      </w:r>
      <w:r w:rsidR="00211990" w:rsidRPr="001E31D3">
        <w:rPr>
          <w:rFonts w:cs="Arial"/>
          <w:szCs w:val="20"/>
        </w:rPr>
        <w:t>Case study 4</w:t>
      </w:r>
      <w:r w:rsidR="006F5766" w:rsidRPr="001E31D3">
        <w:rPr>
          <w:rFonts w:cs="Arial"/>
          <w:szCs w:val="20"/>
        </w:rPr>
        <w:t xml:space="preserve"> below explores the reasons behind these observed patterns for Denmark.</w:t>
      </w:r>
    </w:p>
    <w:p w:rsidR="006F5766" w:rsidRPr="000E4E30" w:rsidRDefault="006F5766" w:rsidP="00810FA8">
      <w:pPr>
        <w:spacing w:after="120" w:line="288" w:lineRule="auto"/>
        <w:rPr>
          <w:rFonts w:cs="Arial"/>
          <w:b/>
          <w:bCs/>
          <w:color w:val="000000" w:themeColor="text1"/>
          <w:kern w:val="32"/>
          <w:sz w:val="28"/>
          <w:szCs w:val="32"/>
        </w:rPr>
      </w:pPr>
      <w:r w:rsidRPr="006F5766">
        <w:rPr>
          <w:rFonts w:cs="Arial"/>
          <w:b/>
          <w:bCs/>
          <w:noProof/>
          <w:color w:val="000000" w:themeColor="text1"/>
          <w:kern w:val="32"/>
          <w:sz w:val="28"/>
          <w:szCs w:val="32"/>
          <w:lang w:val="en-US" w:eastAsia="en-US"/>
        </w:rPr>
        <mc:AlternateContent>
          <mc:Choice Requires="wps">
            <w:drawing>
              <wp:inline distT="0" distB="0" distL="0" distR="0" wp14:anchorId="322738F2" wp14:editId="25C06B7D">
                <wp:extent cx="5580000" cy="5882185"/>
                <wp:effectExtent l="38100" t="38100" r="135255" b="137795"/>
                <wp:docPr id="305"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588218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6F5766" w:rsidRDefault="00394EBA" w:rsidP="006F5766">
                            <w:pPr>
                              <w:spacing w:after="120" w:line="288" w:lineRule="auto"/>
                              <w:rPr>
                                <w:rFonts w:cs="Arial"/>
                                <w:b/>
                                <w:color w:val="1F497D" w:themeColor="text2"/>
                                <w:szCs w:val="20"/>
                                <w:u w:val="single"/>
                              </w:rPr>
                            </w:pPr>
                            <w:r w:rsidRPr="006F5766">
                              <w:rPr>
                                <w:rFonts w:cs="Arial"/>
                                <w:b/>
                                <w:color w:val="1F497D" w:themeColor="text2"/>
                                <w:szCs w:val="20"/>
                                <w:u w:val="single"/>
                              </w:rPr>
                              <w:t>C</w:t>
                            </w:r>
                            <w:r>
                              <w:rPr>
                                <w:rFonts w:cs="Arial"/>
                                <w:b/>
                                <w:color w:val="1F497D" w:themeColor="text2"/>
                                <w:szCs w:val="20"/>
                                <w:u w:val="single"/>
                              </w:rPr>
                              <w:t>ase study example 4: Decreasing literacy competence in Denmark</w:t>
                            </w:r>
                          </w:p>
                          <w:p w:rsidR="00394EBA" w:rsidRPr="001E31D3" w:rsidRDefault="00394EBA" w:rsidP="006F5766">
                            <w:pPr>
                              <w:spacing w:after="120" w:line="288" w:lineRule="auto"/>
                              <w:rPr>
                                <w:rFonts w:cs="Arial"/>
                                <w:szCs w:val="20"/>
                              </w:rPr>
                            </w:pPr>
                            <w:r w:rsidRPr="001E31D3">
                              <w:rPr>
                                <w:rFonts w:cs="Arial"/>
                                <w:szCs w:val="20"/>
                              </w:rPr>
                              <w:t>Evidence from interviews with key informants provided two key explanations behind the patterns of deteriorating literacy competences of young people in recent years:</w:t>
                            </w:r>
                          </w:p>
                          <w:p w:rsidR="00394EBA" w:rsidRPr="001E31D3" w:rsidRDefault="00394EBA" w:rsidP="006F5766">
                            <w:pPr>
                              <w:spacing w:after="120" w:line="288" w:lineRule="auto"/>
                              <w:rPr>
                                <w:rFonts w:cs="Arial"/>
                                <w:szCs w:val="20"/>
                              </w:rPr>
                            </w:pPr>
                            <w:r w:rsidRPr="001E31D3">
                              <w:rPr>
                                <w:rFonts w:cs="Arial"/>
                                <w:b/>
                                <w:color w:val="1F497D" w:themeColor="text2"/>
                                <w:szCs w:val="20"/>
                              </w:rPr>
                              <w:t>Increased levels of immigration in Denmark</w:t>
                            </w:r>
                            <w:r w:rsidRPr="001E31D3">
                              <w:rPr>
                                <w:rFonts w:cs="Arial"/>
                                <w:color w:val="1F497D" w:themeColor="text2"/>
                                <w:szCs w:val="20"/>
                              </w:rPr>
                              <w:t xml:space="preserve"> </w:t>
                            </w:r>
                            <w:r w:rsidRPr="001E31D3">
                              <w:rPr>
                                <w:rFonts w:cs="Arial"/>
                                <w:szCs w:val="20"/>
                              </w:rPr>
                              <w:t>may explain both some of the decline in average competences and the increase in its dispersion. First and second generation immigrants perform less well on basic skills tests than Danish-born young people (Cederberg and Lingärde 2008). Theories as to why immigrants perform less well on basic skills tests are attributed to language differences and marginalisation of these groups within the education system. To address the language issue, free education classes are offered to immigrants to learn Danish within the first few years of moving to the country (over 3 years if an immigrant have an educational background and 5 years if he/she you does not). There are also policy initiatives to improve the integration of immigrants into the education system. Specifically, the aim is to reduce the difference between Danish-born students and second generation immigrants, as both should have equal opportunity and outcomes within the system. However, interviewees from the Danish National Centre of Social Research suggested that immigration can only explain a third of the decline in literacy ability and therefore other factors are needed to explain the whole picture.</w:t>
                            </w:r>
                          </w:p>
                          <w:p w:rsidR="00394EBA" w:rsidRPr="001E31D3" w:rsidRDefault="00394EBA" w:rsidP="006F5766">
                            <w:pPr>
                              <w:spacing w:after="120" w:line="288" w:lineRule="auto"/>
                              <w:rPr>
                                <w:rFonts w:cs="Arial"/>
                                <w:szCs w:val="20"/>
                              </w:rPr>
                            </w:pPr>
                            <w:r w:rsidRPr="001E31D3">
                              <w:rPr>
                                <w:rFonts w:cs="Arial"/>
                                <w:szCs w:val="20"/>
                              </w:rPr>
                              <w:t xml:space="preserve">A second theory posited in interviews with key informants is that the decline in literacy skills in Denmark is due to </w:t>
                            </w:r>
                            <w:r w:rsidRPr="001E31D3">
                              <w:rPr>
                                <w:rFonts w:cs="Arial"/>
                                <w:b/>
                                <w:color w:val="1F497D" w:themeColor="text2"/>
                                <w:szCs w:val="20"/>
                              </w:rPr>
                              <w:t>a change in reading habits within the younger generation and the widespread use of technology for literacy activities</w:t>
                            </w:r>
                            <w:r w:rsidRPr="001E31D3">
                              <w:rPr>
                                <w:rFonts w:cs="Arial"/>
                                <w:szCs w:val="20"/>
                              </w:rPr>
                              <w:t xml:space="preserve">. It was suggested that specifically, younger generations are reading less, or shorter articles on electronic screens, rather than longer texts on paper. </w:t>
                            </w:r>
                          </w:p>
                          <w:p w:rsidR="00394EBA" w:rsidRDefault="00394EBA">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322738F2" id="_x0000_s1042" style="width:439.35pt;height:463.1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" fillcolor="white [3212]" strokecolor="gray [1629]" strokeweight="1.5pt">
                <v:shadow on="t" type="perspective" color="black" opacity="26214f" origin="-.5,-.5" offset=".74836mm,.74836mm" matrix="65864f,,,65864f"/>
                <v:textbox inset="21.6pt,21.6pt,21.6pt,21.6pt">
                  <w:txbxContent>
                    <w:p w:rsidR="00394EBA" w:rsidRPr="006F5766" w:rsidRDefault="00394EBA" w:rsidP="006F5766">
                      <w:pPr>
                        <w:spacing w:after="120" w:line="288" w:lineRule="auto"/>
                        <w:rPr>
                          <w:rFonts w:cs="Arial"/>
                          <w:b/>
                          <w:color w:val="1F497D" w:themeColor="text2"/>
                          <w:szCs w:val="20"/>
                          <w:u w:val="single"/>
                        </w:rPr>
                      </w:pPr>
                      <w:r w:rsidRPr="006F5766">
                        <w:rPr>
                          <w:rFonts w:cs="Arial"/>
                          <w:b/>
                          <w:color w:val="1F497D" w:themeColor="text2"/>
                          <w:szCs w:val="20"/>
                          <w:u w:val="single"/>
                        </w:rPr>
                        <w:t>C</w:t>
                      </w:r>
                      <w:r>
                        <w:rPr>
                          <w:rFonts w:cs="Arial"/>
                          <w:b/>
                          <w:color w:val="1F497D" w:themeColor="text2"/>
                          <w:szCs w:val="20"/>
                          <w:u w:val="single"/>
                        </w:rPr>
                        <w:t>ase study example 4: Decreasing literacy competence in Denmark</w:t>
                      </w:r>
                    </w:p>
                    <w:p w:rsidR="00394EBA" w:rsidRPr="001E31D3" w:rsidRDefault="00394EBA" w:rsidP="006F5766">
                      <w:pPr>
                        <w:spacing w:after="120" w:line="288" w:lineRule="auto"/>
                        <w:rPr>
                          <w:rFonts w:cs="Arial"/>
                          <w:szCs w:val="20"/>
                        </w:rPr>
                      </w:pPr>
                      <w:r w:rsidRPr="001E31D3">
                        <w:rPr>
                          <w:rFonts w:cs="Arial"/>
                          <w:szCs w:val="20"/>
                        </w:rPr>
                        <w:t>Evidence from interviews with key informants provided two key explanations behind the patterns of deteriorating literacy competences of young people in recent years:</w:t>
                      </w:r>
                    </w:p>
                    <w:p w:rsidR="00394EBA" w:rsidRPr="001E31D3" w:rsidRDefault="00394EBA" w:rsidP="006F5766">
                      <w:pPr>
                        <w:spacing w:after="120" w:line="288" w:lineRule="auto"/>
                        <w:rPr>
                          <w:rFonts w:cs="Arial"/>
                          <w:szCs w:val="20"/>
                        </w:rPr>
                      </w:pPr>
                      <w:r w:rsidRPr="001E31D3">
                        <w:rPr>
                          <w:rFonts w:cs="Arial"/>
                          <w:b/>
                          <w:color w:val="1F497D" w:themeColor="text2"/>
                          <w:szCs w:val="20"/>
                        </w:rPr>
                        <w:t>Increased levels of immigration in Denmark</w:t>
                      </w:r>
                      <w:r w:rsidRPr="001E31D3">
                        <w:rPr>
                          <w:rFonts w:cs="Arial"/>
                          <w:color w:val="1F497D" w:themeColor="text2"/>
                          <w:szCs w:val="20"/>
                        </w:rPr>
                        <w:t xml:space="preserve"> </w:t>
                      </w:r>
                      <w:r w:rsidRPr="001E31D3">
                        <w:rPr>
                          <w:rFonts w:cs="Arial"/>
                          <w:szCs w:val="20"/>
                        </w:rPr>
                        <w:t>may explain both some of the decline in average competences and the increase in its dispersion. First and second generation immigrants perform less well on basic skills tests than Danish-born young people (Cederberg and Lingärde 2008). Theories as to why immigrants perform less well on basic skills tests are attributed to language differences and marginalisation of these groups within the education system. To address the language issue, free education classes are offered to immigrants to learn Danish within the first few years of moving to the country (over 3 years if an immigrant have an educational background and 5 years if he/she you does not). There are also policy initiatives to improve the integration of immigrants into the education system. Specifically, the aim is to reduce the difference between Danish-born students and second generation immigrants, as both should have equal opportunity and outcomes within the system. However, interviewees from the Danish National Centre of Social Research suggested that immigration can only explain a third of the decline in literacy ability and therefore other factors are needed to explain the whole picture.</w:t>
                      </w:r>
                    </w:p>
                    <w:p w:rsidR="00394EBA" w:rsidRPr="001E31D3" w:rsidRDefault="00394EBA" w:rsidP="006F5766">
                      <w:pPr>
                        <w:spacing w:after="120" w:line="288" w:lineRule="auto"/>
                        <w:rPr>
                          <w:rFonts w:cs="Arial"/>
                          <w:szCs w:val="20"/>
                        </w:rPr>
                      </w:pPr>
                      <w:r w:rsidRPr="001E31D3">
                        <w:rPr>
                          <w:rFonts w:cs="Arial"/>
                          <w:szCs w:val="20"/>
                        </w:rPr>
                        <w:t xml:space="preserve">A second theory posited in interviews with key informants is that the decline in literacy skills in Denmark is due to </w:t>
                      </w:r>
                      <w:r w:rsidRPr="001E31D3">
                        <w:rPr>
                          <w:rFonts w:cs="Arial"/>
                          <w:b/>
                          <w:color w:val="1F497D" w:themeColor="text2"/>
                          <w:szCs w:val="20"/>
                        </w:rPr>
                        <w:t>a change in reading habits within the younger generation and the widespread use of technology for literacy activities</w:t>
                      </w:r>
                      <w:r w:rsidRPr="001E31D3">
                        <w:rPr>
                          <w:rFonts w:cs="Arial"/>
                          <w:szCs w:val="20"/>
                        </w:rPr>
                        <w:t xml:space="preserve">. It was suggested that specifically, younger generations are reading less, or shorter articles on electronic screens, rather than longer texts on paper. </w:t>
                      </w:r>
                    </w:p>
                    <w:p w:rsidR="00394EBA" w:rsidRDefault="00394EBA">
                      <w:pPr>
                        <w:rPr>
                          <w:color w:val="4F81BD" w:themeColor="accent1"/>
                          <w:szCs w:val="20"/>
                        </w:rPr>
                      </w:pPr>
                    </w:p>
                  </w:txbxContent>
                </v:textbox>
                <w10:anchorlock/>
              </v:rect>
            </w:pict>
          </mc:Fallback>
        </mc:AlternateContent>
      </w:r>
    </w:p>
    <w:p w:rsidR="002D12F3" w:rsidRPr="00CB46AB" w:rsidRDefault="002D12F3" w:rsidP="002D12F3">
      <w:pPr>
        <w:pStyle w:val="Caption"/>
        <w:rPr>
          <w:rFonts w:ascii="Verdana" w:hAnsi="Verdana" w:cs="Arial"/>
          <w:b w:val="0"/>
          <w:i/>
          <w:color w:val="333333"/>
          <w:sz w:val="16"/>
          <w:szCs w:val="16"/>
        </w:rPr>
      </w:pPr>
      <w:bookmarkStart w:id="122" w:name="_Toc427232490"/>
      <w:r w:rsidRPr="00CB46AB">
        <w:rPr>
          <w:rFonts w:ascii="Verdana" w:hAnsi="Verdana"/>
          <w:b w:val="0"/>
          <w:i/>
          <w:color w:val="333333"/>
          <w:sz w:val="16"/>
          <w:szCs w:val="16"/>
        </w:rPr>
        <w:t>Note</w:t>
      </w:r>
      <w:r w:rsidR="00CB46AB" w:rsidRPr="00CB46AB">
        <w:rPr>
          <w:rFonts w:ascii="Verdana" w:hAnsi="Verdana"/>
          <w:b w:val="0"/>
          <w:i/>
          <w:color w:val="333333"/>
          <w:sz w:val="16"/>
          <w:szCs w:val="16"/>
        </w:rPr>
        <w:t>s</w:t>
      </w:r>
      <w:r w:rsidRPr="00CB46AB">
        <w:rPr>
          <w:rFonts w:ascii="Verdana" w:hAnsi="Verdana"/>
          <w:b w:val="0"/>
          <w:i/>
          <w:color w:val="333333"/>
          <w:sz w:val="16"/>
          <w:szCs w:val="16"/>
        </w:rPr>
        <w:t>: qualitative case study based on key informant interviews; the list of interviewees can be consulted in Annex II.</w:t>
      </w:r>
    </w:p>
    <w:p w:rsidR="002D12F3" w:rsidRDefault="002D12F3">
      <w:pPr>
        <w:jc w:val="left"/>
        <w:rPr>
          <w:rFonts w:cs="Arial"/>
          <w:b/>
          <w:bCs/>
          <w:noProof/>
          <w:color w:val="263673"/>
          <w:kern w:val="32"/>
          <w:sz w:val="28"/>
          <w:szCs w:val="32"/>
        </w:rPr>
      </w:pPr>
    </w:p>
    <w:p w:rsidR="002D12F3" w:rsidRDefault="002D12F3">
      <w:pPr>
        <w:jc w:val="left"/>
        <w:rPr>
          <w:rFonts w:cs="Arial"/>
          <w:b/>
          <w:bCs/>
          <w:noProof/>
          <w:color w:val="263673"/>
          <w:kern w:val="32"/>
          <w:sz w:val="28"/>
          <w:szCs w:val="32"/>
        </w:rPr>
      </w:pPr>
      <w:r>
        <w:rPr>
          <w:noProof/>
        </w:rPr>
        <w:br w:type="page"/>
      </w:r>
    </w:p>
    <w:p w:rsidR="000E4E30" w:rsidRPr="000E4E30" w:rsidRDefault="000E4E30" w:rsidP="00F50E55">
      <w:pPr>
        <w:pStyle w:val="Heading1"/>
        <w:rPr>
          <w:noProof/>
        </w:rPr>
      </w:pPr>
      <w:bookmarkStart w:id="123" w:name="_Toc435802086"/>
      <w:r w:rsidRPr="000E4E30">
        <w:rPr>
          <w:noProof/>
        </w:rPr>
        <w:t xml:space="preserve">5. </w:t>
      </w:r>
      <w:r>
        <w:rPr>
          <w:noProof/>
        </w:rPr>
        <w:t>Linking</w:t>
      </w:r>
      <w:r w:rsidRPr="000E4E30">
        <w:rPr>
          <w:noProof/>
        </w:rPr>
        <w:t xml:space="preserve"> educational attainment and </w:t>
      </w:r>
      <w:r>
        <w:rPr>
          <w:noProof/>
        </w:rPr>
        <w:t xml:space="preserve">basic </w:t>
      </w:r>
      <w:r w:rsidRPr="000E4E30">
        <w:rPr>
          <w:noProof/>
        </w:rPr>
        <w:t>competences</w:t>
      </w:r>
      <w:bookmarkEnd w:id="122"/>
      <w:bookmarkEnd w:id="123"/>
      <w:r w:rsidRPr="000E4E30">
        <w:rPr>
          <w:noProof/>
        </w:rPr>
        <w:t xml:space="preserve"> </w:t>
      </w:r>
    </w:p>
    <w:p w:rsidR="00F2695A" w:rsidRDefault="00E005E5" w:rsidP="000E4E30">
      <w:pPr>
        <w:spacing w:after="120" w:line="288" w:lineRule="auto"/>
        <w:rPr>
          <w:rFonts w:cs="Arial"/>
          <w:szCs w:val="20"/>
        </w:rPr>
      </w:pPr>
      <w:r>
        <w:rPr>
          <w:rFonts w:cs="Arial"/>
          <w:szCs w:val="20"/>
        </w:rPr>
        <w:t>The previous chapter highlights</w:t>
      </w:r>
      <w:r w:rsidR="000E4E30" w:rsidRPr="000E4E30">
        <w:rPr>
          <w:rFonts w:cs="Arial"/>
          <w:szCs w:val="20"/>
        </w:rPr>
        <w:t xml:space="preserve"> that </w:t>
      </w:r>
      <w:r w:rsidR="00770BA8">
        <w:rPr>
          <w:rFonts w:cs="Arial"/>
          <w:szCs w:val="20"/>
        </w:rPr>
        <w:t>educational expansion is not necessarily accompanied by a similar increase in competences. This is true when educational expansion is achieved without increasing the quality</w:t>
      </w:r>
      <w:r w:rsidR="00310CA6">
        <w:rPr>
          <w:rFonts w:cs="Arial"/>
          <w:szCs w:val="20"/>
        </w:rPr>
        <w:t xml:space="preserve"> or outcomes</w:t>
      </w:r>
      <w:r w:rsidR="00770BA8">
        <w:rPr>
          <w:rFonts w:cs="Arial"/>
          <w:szCs w:val="20"/>
        </w:rPr>
        <w:t xml:space="preserve"> of education, a phenomenon which is often referred to as ‘credential inflation’. </w:t>
      </w:r>
      <w:r w:rsidR="00F2695A" w:rsidRPr="00427890">
        <w:rPr>
          <w:rFonts w:cs="Arial"/>
          <w:szCs w:val="20"/>
        </w:rPr>
        <w:t>While we can assume that there is a strong link between innate individual ability and competences across countries for example, the same is not true for the correlation between educational attainment and competences. In fact, the latter is bound to vary depending on the effectiveness of the education system in providing young people with these competences, as well as its degree of selectivity.</w:t>
      </w:r>
    </w:p>
    <w:p w:rsidR="000E4E30" w:rsidRPr="000E4E30" w:rsidRDefault="00770BA8" w:rsidP="000E4E30">
      <w:pPr>
        <w:spacing w:after="120" w:line="288" w:lineRule="auto"/>
        <w:rPr>
          <w:rFonts w:cs="Arial"/>
          <w:szCs w:val="20"/>
        </w:rPr>
      </w:pPr>
      <w:r>
        <w:rPr>
          <w:rFonts w:cs="Arial"/>
          <w:szCs w:val="20"/>
        </w:rPr>
        <w:t>Understanding</w:t>
      </w:r>
      <w:r w:rsidR="000E4E30" w:rsidRPr="000E4E30">
        <w:rPr>
          <w:rFonts w:cs="Arial"/>
          <w:szCs w:val="20"/>
        </w:rPr>
        <w:t xml:space="preserve"> </w:t>
      </w:r>
      <w:r w:rsidR="00CA0800">
        <w:rPr>
          <w:rFonts w:cs="Arial"/>
          <w:szCs w:val="20"/>
        </w:rPr>
        <w:t xml:space="preserve">this </w:t>
      </w:r>
      <w:r w:rsidR="000E4E30" w:rsidRPr="000E4E30">
        <w:rPr>
          <w:rFonts w:cs="Arial"/>
          <w:szCs w:val="20"/>
        </w:rPr>
        <w:t xml:space="preserve">relationship between educational attainment and competence proficiency and how it varies across countries is crucial for at least two reasons: first, to identify those education systems or qualifications which equip young people </w:t>
      </w:r>
      <w:r w:rsidR="00CA0800">
        <w:rPr>
          <w:rFonts w:cs="Arial"/>
          <w:szCs w:val="20"/>
        </w:rPr>
        <w:t>more effectively with key competences</w:t>
      </w:r>
      <w:r w:rsidR="000E4E30" w:rsidRPr="000E4E30">
        <w:rPr>
          <w:rFonts w:cs="Arial"/>
          <w:szCs w:val="20"/>
        </w:rPr>
        <w:t xml:space="preserve"> and explore the factors behind their effectiveness; and, second, to understand to what degree qualifications are comparable across countries, with important implications for international qualification frameworks, the recognition of qualifications across countries and also comparative research which uses qualifications as proxies for skills. </w:t>
      </w:r>
    </w:p>
    <w:p w:rsidR="0081586E" w:rsidRDefault="000E4E30" w:rsidP="0081586E">
      <w:pPr>
        <w:spacing w:after="120" w:line="288" w:lineRule="auto"/>
        <w:rPr>
          <w:rFonts w:cs="Arial"/>
          <w:szCs w:val="20"/>
        </w:rPr>
      </w:pPr>
      <w:r w:rsidRPr="000E4E30">
        <w:rPr>
          <w:rFonts w:cs="Arial"/>
          <w:szCs w:val="20"/>
        </w:rPr>
        <w:t xml:space="preserve">This chapter </w:t>
      </w:r>
      <w:r w:rsidR="00B27C25">
        <w:rPr>
          <w:rFonts w:cs="Arial"/>
          <w:szCs w:val="20"/>
        </w:rPr>
        <w:t xml:space="preserve">gives a brief overview of the </w:t>
      </w:r>
      <w:r w:rsidRPr="000E4E30">
        <w:rPr>
          <w:rFonts w:cs="Arial"/>
          <w:szCs w:val="20"/>
        </w:rPr>
        <w:t>existing body of literature on the link between educational attainment and competences. It then presents descriptive results on the link between numeracy and literacy competence</w:t>
      </w:r>
      <w:r w:rsidR="007108FC">
        <w:rPr>
          <w:rFonts w:cs="Arial"/>
          <w:szCs w:val="20"/>
        </w:rPr>
        <w:t>s</w:t>
      </w:r>
      <w:r w:rsidRPr="000E4E30">
        <w:rPr>
          <w:rFonts w:cs="Arial"/>
          <w:szCs w:val="20"/>
        </w:rPr>
        <w:t xml:space="preserve"> and educational attainment. Subsequently,</w:t>
      </w:r>
      <w:r w:rsidR="00CB3EA8">
        <w:rPr>
          <w:rFonts w:cs="Arial"/>
          <w:szCs w:val="20"/>
        </w:rPr>
        <w:t xml:space="preserve"> it</w:t>
      </w:r>
      <w:r w:rsidRPr="000E4E30">
        <w:rPr>
          <w:rFonts w:cs="Arial"/>
          <w:szCs w:val="20"/>
        </w:rPr>
        <w:t xml:space="preserve"> </w:t>
      </w:r>
      <w:r w:rsidR="00B27C25">
        <w:rPr>
          <w:rFonts w:cs="Arial"/>
          <w:szCs w:val="20"/>
        </w:rPr>
        <w:t>estimates</w:t>
      </w:r>
      <w:r w:rsidRPr="000E4E30">
        <w:rPr>
          <w:rFonts w:cs="Arial"/>
          <w:szCs w:val="20"/>
        </w:rPr>
        <w:t xml:space="preserve"> the effect of educational attainment on competences and its variation across countries.</w:t>
      </w:r>
    </w:p>
    <w:p w:rsidR="00B27C25" w:rsidRDefault="00B27C25" w:rsidP="0081586E">
      <w:pPr>
        <w:spacing w:after="120" w:line="288" w:lineRule="auto"/>
        <w:rPr>
          <w:rFonts w:cs="Arial"/>
          <w:szCs w:val="20"/>
        </w:rPr>
      </w:pPr>
      <w:r w:rsidRPr="005B7890">
        <w:rPr>
          <w:rFonts w:cs="Arial"/>
          <w:noProof/>
          <w:szCs w:val="20"/>
          <w:lang w:val="en-US" w:eastAsia="en-US"/>
        </w:rPr>
        <mc:AlternateContent>
          <mc:Choice Requires="wps">
            <w:drawing>
              <wp:inline distT="0" distB="0" distL="0" distR="0" wp14:anchorId="61E87080" wp14:editId="2D30D364">
                <wp:extent cx="5580000" cy="4804012"/>
                <wp:effectExtent l="38100" t="38100" r="135255" b="130175"/>
                <wp:docPr id="681"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4804012"/>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B27C25">
                            <w:pPr>
                              <w:jc w:val="center"/>
                              <w:rPr>
                                <w:b/>
                              </w:rPr>
                            </w:pPr>
                            <w:r w:rsidRPr="00EB1A32">
                              <w:rPr>
                                <w:b/>
                              </w:rPr>
                              <w:t>Key findings</w:t>
                            </w:r>
                          </w:p>
                          <w:p w:rsidR="00394EBA" w:rsidRDefault="00394EBA" w:rsidP="00B27C25">
                            <w:pPr>
                              <w:jc w:val="center"/>
                              <w:rPr>
                                <w:b/>
                              </w:rPr>
                            </w:pPr>
                          </w:p>
                          <w:p w:rsidR="00394EBA" w:rsidRPr="001E31D3" w:rsidRDefault="00394EBA" w:rsidP="009409BE">
                            <w:pPr>
                              <w:pStyle w:val="ListParagraph"/>
                              <w:spacing w:after="120" w:line="288" w:lineRule="auto"/>
                              <w:ind w:left="357" w:hanging="357"/>
                            </w:pPr>
                            <w:r w:rsidRPr="001E31D3">
                              <w:t>There is great cross-country and within-country variation with regards to average literacy and numeracy proficiency at different levels of educational attainment.</w:t>
                            </w:r>
                          </w:p>
                          <w:p w:rsidR="00394EBA" w:rsidRPr="001E31D3" w:rsidRDefault="00394EBA" w:rsidP="009409BE">
                            <w:pPr>
                              <w:pStyle w:val="ListParagraph"/>
                              <w:spacing w:after="120" w:line="288" w:lineRule="auto"/>
                              <w:ind w:left="357" w:hanging="357"/>
                            </w:pPr>
                            <w:r w:rsidRPr="001E31D3">
                              <w:t xml:space="preserve">We show that there is a significantly positive effect of educational attainment on competence levels, when controlling for a range of individual and country-level factors. Those with tertiary education have approximately 6.5% higher competence scores on average than those with upper secondary education. Those with upper secondary education have 10.4% higher competence scores on average compared to those with only lower secondary education. </w:t>
                            </w:r>
                          </w:p>
                          <w:p w:rsidR="00394EBA" w:rsidRPr="001E31D3" w:rsidRDefault="00394EBA" w:rsidP="008C6E53">
                            <w:pPr>
                              <w:pStyle w:val="ListParagraph"/>
                              <w:spacing w:after="120" w:line="288" w:lineRule="auto"/>
                              <w:ind w:left="357" w:hanging="357"/>
                            </w:pPr>
                            <w:r w:rsidRPr="001E31D3">
                              <w:t>Other significant predictors of proficiency in numeracy and literacy are being currently in education, parental educational background, migrant/non-native speaker status, health status, work experience and the extent to which the occupation held by an individual is skilled.</w:t>
                            </w:r>
                          </w:p>
                          <w:p w:rsidR="00394EBA" w:rsidRPr="001E31D3" w:rsidRDefault="00394EBA" w:rsidP="008C6E53">
                            <w:pPr>
                              <w:pStyle w:val="ListParagraph"/>
                              <w:spacing w:after="120" w:line="288" w:lineRule="auto"/>
                              <w:ind w:left="357" w:hanging="357"/>
                            </w:pPr>
                            <w:r w:rsidRPr="001E31D3">
                              <w:t xml:space="preserve">Further, we find that the strength of the relationship between educational attainment and competences varies between countries and that, while for the majority of countries differences between the strength are not significant, some countries display a significantly larger or smaller relationship between educational attainment on skills proficiency than others. </w:t>
                            </w:r>
                          </w:p>
                          <w:p w:rsidR="00394EBA" w:rsidRDefault="00394EBA" w:rsidP="00B27C25">
                            <w:pPr>
                              <w:jc w:val="center"/>
                              <w:rPr>
                                <w:b/>
                              </w:rPr>
                            </w:pPr>
                          </w:p>
                          <w:p w:rsidR="00394EBA" w:rsidRDefault="00394EBA" w:rsidP="00B27C25">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61E87080" id="_x0000_s1043" style="width:439.35pt;height:378.2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" fillcolor="#c6d9f1 [671]" strokecolor="gray [1629]" strokeweight="1.5pt">
                <v:shadow on="t" type="perspective" color="black" opacity="26214f" origin="-.5,-.5" offset=".74836mm,.74836mm" matrix="65864f,,,65864f"/>
                <v:textbox inset="21.6pt,21.6pt,21.6pt,21.6pt">
                  <w:txbxContent>
                    <w:p w:rsidR="00394EBA" w:rsidRDefault="00394EBA" w:rsidP="00B27C25">
                      <w:pPr>
                        <w:jc w:val="center"/>
                        <w:rPr>
                          <w:b/>
                        </w:rPr>
                      </w:pPr>
                      <w:r w:rsidRPr="00EB1A32">
                        <w:rPr>
                          <w:b/>
                        </w:rPr>
                        <w:t>Key findings</w:t>
                      </w:r>
                    </w:p>
                    <w:p w:rsidR="00394EBA" w:rsidRDefault="00394EBA" w:rsidP="00B27C25">
                      <w:pPr>
                        <w:jc w:val="center"/>
                        <w:rPr>
                          <w:b/>
                        </w:rPr>
                      </w:pPr>
                    </w:p>
                    <w:p w:rsidR="00394EBA" w:rsidRPr="001E31D3" w:rsidRDefault="00394EBA" w:rsidP="009409BE">
                      <w:pPr>
                        <w:pStyle w:val="ListParagraph"/>
                        <w:spacing w:after="120" w:line="288" w:lineRule="auto"/>
                        <w:ind w:left="357" w:hanging="357"/>
                      </w:pPr>
                      <w:r w:rsidRPr="001E31D3">
                        <w:t>There is great cross-country and within-country variation with regards to average literacy and numeracy proficiency at different levels of educational attainment.</w:t>
                      </w:r>
                    </w:p>
                    <w:p w:rsidR="00394EBA" w:rsidRPr="001E31D3" w:rsidRDefault="00394EBA" w:rsidP="009409BE">
                      <w:pPr>
                        <w:pStyle w:val="ListParagraph"/>
                        <w:spacing w:after="120" w:line="288" w:lineRule="auto"/>
                        <w:ind w:left="357" w:hanging="357"/>
                      </w:pPr>
                      <w:r w:rsidRPr="001E31D3">
                        <w:t xml:space="preserve">We show that there is a significantly positive effect of educational attainment on competence levels, when controlling for a range of individual and country-level factors. Those with tertiary education have approximately 6.5% higher competence scores on average than those with upper secondary education. Those with upper secondary education have 10.4% higher competence scores on average compared to those with only lower secondary education. </w:t>
                      </w:r>
                    </w:p>
                    <w:p w:rsidR="00394EBA" w:rsidRPr="001E31D3" w:rsidRDefault="00394EBA" w:rsidP="008C6E53">
                      <w:pPr>
                        <w:pStyle w:val="ListParagraph"/>
                        <w:spacing w:after="120" w:line="288" w:lineRule="auto"/>
                        <w:ind w:left="357" w:hanging="357"/>
                      </w:pPr>
                      <w:r w:rsidRPr="001E31D3">
                        <w:t>Other significant predictors of proficiency in numeracy and literacy are being currently in education, parental educational background, migrant/non-native speaker status, health status, work experience and the extent to which the occupation held by an individual is skilled.</w:t>
                      </w:r>
                    </w:p>
                    <w:p w:rsidR="00394EBA" w:rsidRPr="001E31D3" w:rsidRDefault="00394EBA" w:rsidP="008C6E53">
                      <w:pPr>
                        <w:pStyle w:val="ListParagraph"/>
                        <w:spacing w:after="120" w:line="288" w:lineRule="auto"/>
                        <w:ind w:left="357" w:hanging="357"/>
                      </w:pPr>
                      <w:r w:rsidRPr="001E31D3">
                        <w:t xml:space="preserve">Further, we find that the strength of the relationship between educational attainment and competences varies between countries and that, while for the majority of countries differences between the strength are not significant, some countries display a significantly larger or smaller relationship between educational attainment on skills proficiency than others. </w:t>
                      </w:r>
                    </w:p>
                    <w:p w:rsidR="00394EBA" w:rsidRDefault="00394EBA" w:rsidP="00B27C25">
                      <w:pPr>
                        <w:jc w:val="center"/>
                        <w:rPr>
                          <w:b/>
                        </w:rPr>
                      </w:pPr>
                    </w:p>
                    <w:p w:rsidR="00394EBA" w:rsidRDefault="00394EBA" w:rsidP="00B27C25">
                      <w:pPr>
                        <w:rPr>
                          <w:color w:val="4F81BD" w:themeColor="accent1"/>
                          <w:szCs w:val="20"/>
                        </w:rPr>
                      </w:pPr>
                    </w:p>
                  </w:txbxContent>
                </v:textbox>
                <w10:anchorlock/>
              </v:rect>
            </w:pict>
          </mc:Fallback>
        </mc:AlternateContent>
      </w:r>
    </w:p>
    <w:p w:rsidR="000E4E30" w:rsidRPr="00394938" w:rsidRDefault="00B27C25" w:rsidP="0081586E">
      <w:pPr>
        <w:pStyle w:val="Heading2"/>
      </w:pPr>
      <w:bookmarkStart w:id="124" w:name="_Toc427232491"/>
      <w:r>
        <w:br w:type="page"/>
      </w:r>
      <w:bookmarkStart w:id="125" w:name="_Toc435802087"/>
      <w:r w:rsidR="000E4E30">
        <w:t xml:space="preserve">5.1 </w:t>
      </w:r>
      <w:r w:rsidR="000E4E30" w:rsidRPr="00807A68">
        <w:t xml:space="preserve">Brief </w:t>
      </w:r>
      <w:r w:rsidR="000E4E30" w:rsidRPr="00394938">
        <w:t>overview of the literature</w:t>
      </w:r>
      <w:bookmarkEnd w:id="124"/>
      <w:bookmarkEnd w:id="125"/>
    </w:p>
    <w:p w:rsidR="000E4E30" w:rsidRPr="000E4E30" w:rsidRDefault="000E4E30" w:rsidP="000E4E30">
      <w:pPr>
        <w:spacing w:after="120" w:line="288" w:lineRule="auto"/>
        <w:rPr>
          <w:rFonts w:cs="Arial"/>
          <w:szCs w:val="20"/>
        </w:rPr>
      </w:pPr>
      <w:r w:rsidRPr="000E4E30">
        <w:rPr>
          <w:rFonts w:cs="Arial"/>
          <w:szCs w:val="20"/>
        </w:rPr>
        <w:t xml:space="preserve">PIAAC and previous adult skills surveys have shown that there is a strong and </w:t>
      </w:r>
      <w:r w:rsidRPr="000E4E30">
        <w:rPr>
          <w:rFonts w:cs="Arial"/>
          <w:b/>
          <w:color w:val="1F497D" w:themeColor="text2"/>
          <w:szCs w:val="20"/>
        </w:rPr>
        <w:t>positive relationship between educational attainment and basic competences</w:t>
      </w:r>
      <w:r w:rsidRPr="000E4E30">
        <w:rPr>
          <w:rFonts w:cs="Arial"/>
          <w:color w:val="1F497D" w:themeColor="text2"/>
          <w:szCs w:val="20"/>
        </w:rPr>
        <w:t>.</w:t>
      </w:r>
      <w:r w:rsidRPr="000E4E30">
        <w:rPr>
          <w:rFonts w:cs="Arial"/>
          <w:szCs w:val="20"/>
        </w:rPr>
        <w:t xml:space="preserve"> Using PIAAC survey data, both the OECD (2013b, 2015) and EC (2014) find that the higher the educational attainment level of an individual, the higher the numeracy and literacy competence on average, even after accounting for individual background factors such as social background and age. This is in line with findings of earlier adult skills surveys. An analysis of the International Adult Literacy Survey (IALS) (OECD and Statistics Canada, 2000) finds formal educational attainment to be the main predictor of literacy proficiency. Desjardins (2</w:t>
      </w:r>
      <w:r w:rsidR="00CA0800">
        <w:rPr>
          <w:rFonts w:cs="Arial"/>
          <w:szCs w:val="20"/>
        </w:rPr>
        <w:t>003) confirms that education is</w:t>
      </w:r>
      <w:r w:rsidRPr="000E4E30">
        <w:rPr>
          <w:rFonts w:cs="Arial"/>
          <w:szCs w:val="20"/>
        </w:rPr>
        <w:t xml:space="preserve"> the strongest predictor of literacy prof</w:t>
      </w:r>
      <w:r w:rsidR="00CA0800">
        <w:rPr>
          <w:rFonts w:cs="Arial"/>
          <w:szCs w:val="20"/>
        </w:rPr>
        <w:t>iciency, but that its effect is</w:t>
      </w:r>
      <w:r w:rsidRPr="000E4E30">
        <w:rPr>
          <w:rFonts w:cs="Arial"/>
          <w:szCs w:val="20"/>
        </w:rPr>
        <w:t xml:space="preserve"> mediated through further learning occurring at work, at home and in the community.</w:t>
      </w:r>
    </w:p>
    <w:p w:rsidR="000E4E30" w:rsidRPr="000E4E30" w:rsidRDefault="000E4E30" w:rsidP="000E4E30">
      <w:pPr>
        <w:spacing w:after="120" w:line="288" w:lineRule="auto"/>
        <w:rPr>
          <w:rFonts w:cs="Arial"/>
          <w:szCs w:val="20"/>
        </w:rPr>
      </w:pPr>
      <w:r w:rsidRPr="000E4E30">
        <w:rPr>
          <w:rFonts w:cs="Arial"/>
          <w:szCs w:val="20"/>
        </w:rPr>
        <w:t>However, the strength of this relationship may differ between countries. Using IALS and ALL survey data</w:t>
      </w:r>
      <w:r w:rsidR="00455CEE">
        <w:rPr>
          <w:rFonts w:cs="Arial"/>
          <w:szCs w:val="20"/>
        </w:rPr>
        <w:t>,</w:t>
      </w:r>
      <w:r w:rsidRPr="000E4E30">
        <w:rPr>
          <w:rFonts w:cs="Arial"/>
          <w:szCs w:val="20"/>
        </w:rPr>
        <w:t xml:space="preserve"> Somers (2005) shows that years of schooling are a much better proxy of competences in some countries than in others. In particular, schooling tends to be a poorer predictor of competences in countries whose population is more homogeneous in its levels of schooling, i.e. where the standard deviation of years of schooling is smaller.</w:t>
      </w:r>
      <w:r w:rsidRPr="000E4E30">
        <w:rPr>
          <w:rFonts w:cs="Arial"/>
          <w:szCs w:val="20"/>
          <w:vertAlign w:val="superscript"/>
        </w:rPr>
        <w:t xml:space="preserve"> </w:t>
      </w:r>
      <w:r w:rsidRPr="000E4E30">
        <w:rPr>
          <w:rFonts w:cs="Arial"/>
          <w:szCs w:val="20"/>
        </w:rPr>
        <w:t>This pattern may be explained in a number of ways: there may be real differences in the relevance and quality of education in different countries, and in different types of education in the same country. People may have acquired new competences since completion of their formal education or lost some competences that they did not use, at different rates across countries, and for different groups within countries. The quality of education may also have changed over the decades, even within the same country, meaning that individuals with apparently similar qualifications or levels of attainment may have had very different experiences in education (OECD 2013, EC 2013).</w:t>
      </w:r>
    </w:p>
    <w:p w:rsidR="000E4E30" w:rsidRPr="000E4E30" w:rsidRDefault="000E4E30" w:rsidP="000E4E30">
      <w:pPr>
        <w:spacing w:after="120" w:line="288" w:lineRule="auto"/>
        <w:rPr>
          <w:rFonts w:cs="Arial"/>
          <w:szCs w:val="20"/>
          <w:vertAlign w:val="superscript"/>
        </w:rPr>
      </w:pPr>
      <w:r w:rsidRPr="000E4E30">
        <w:rPr>
          <w:rFonts w:cs="Arial"/>
          <w:szCs w:val="20"/>
        </w:rPr>
        <w:t xml:space="preserve">While there is no doubt that the link between educational attainment and basic competences is positive across countries, previous studies highlight that there are </w:t>
      </w:r>
      <w:r w:rsidRPr="000E4E30">
        <w:rPr>
          <w:rFonts w:cs="Arial"/>
          <w:b/>
          <w:color w:val="1F497D" w:themeColor="text2"/>
          <w:szCs w:val="20"/>
        </w:rPr>
        <w:t>substantial differences between average skill</w:t>
      </w:r>
      <w:r w:rsidR="00455CEE">
        <w:rPr>
          <w:rFonts w:cs="Arial"/>
          <w:b/>
          <w:color w:val="1F497D" w:themeColor="text2"/>
          <w:szCs w:val="20"/>
        </w:rPr>
        <w:t>s</w:t>
      </w:r>
      <w:r w:rsidRPr="000E4E30">
        <w:rPr>
          <w:rFonts w:cs="Arial"/>
          <w:b/>
          <w:color w:val="1F497D" w:themeColor="text2"/>
          <w:szCs w:val="20"/>
        </w:rPr>
        <w:t xml:space="preserve"> proficiency of those with the same level of educational attainment </w:t>
      </w:r>
      <w:r w:rsidRPr="000E4E30">
        <w:rPr>
          <w:rFonts w:cs="Arial"/>
          <w:szCs w:val="20"/>
        </w:rPr>
        <w:t>across countries. This can be exemplified by the fact that upper secondary graduates in the Netherlands have higher skill</w:t>
      </w:r>
      <w:r w:rsidR="00863619">
        <w:rPr>
          <w:rFonts w:cs="Arial"/>
          <w:szCs w:val="20"/>
        </w:rPr>
        <w:t>s</w:t>
      </w:r>
      <w:r w:rsidRPr="000E4E30">
        <w:rPr>
          <w:rFonts w:cs="Arial"/>
          <w:szCs w:val="20"/>
        </w:rPr>
        <w:t xml:space="preserve"> levels than tertiary graduates in Spain or Italy on average (EC 2013). The OECD suggests that this may be due to variation in selection into different educational tracks in different systems, or to variations in the opportunities for, and the effectiveness of, ongoing competence development and use after educational qualifications are obtained, as the competences assessed can be gained outside of formal education, and can be lost over time; however, it does not test these hypotheses (OECD 2013b). When comparing results in literacy across countries, an analysis by the European Commission confirms these patterns (EC 2013). Graduates with lower levels of educational attainment in some countries outperform graduates with higher formal qualifications in other countries. For example, lower secondary graduates in Finland and the Netherlands score close to or better than upper secondary graduates in Ireland, the UK</w:t>
      </w:r>
      <w:r w:rsidR="00CA0800">
        <w:rPr>
          <w:rFonts w:cs="Arial"/>
          <w:szCs w:val="20"/>
        </w:rPr>
        <w:t xml:space="preserve"> (EN/NI)</w:t>
      </w:r>
      <w:r w:rsidRPr="000E4E30">
        <w:rPr>
          <w:rFonts w:cs="Arial"/>
          <w:szCs w:val="20"/>
        </w:rPr>
        <w:t>, Italy and Cyprus. No explanation for these patterns is explored by the EC (EC 2013). Using PIAAC data, Schneider and Massing (2014) confirm that these cross-country differences hold even when controlling for some individual background factors. They conclude that this reveals conceptual and empirical differences between skill proficiency and formal educational attainment.</w:t>
      </w:r>
    </w:p>
    <w:p w:rsidR="000E4E30" w:rsidRPr="000E4E30" w:rsidRDefault="000E4E30" w:rsidP="000E4E30">
      <w:pPr>
        <w:spacing w:after="120" w:line="288" w:lineRule="auto"/>
        <w:rPr>
          <w:rFonts w:cs="Arial"/>
          <w:szCs w:val="20"/>
        </w:rPr>
      </w:pPr>
      <w:r w:rsidRPr="000E4E30">
        <w:rPr>
          <w:rFonts w:cs="Arial"/>
          <w:szCs w:val="20"/>
        </w:rPr>
        <w:t xml:space="preserve">Finally, previous studies show that, while in some countries there are vast differences between those with lower and higher educational attainment, other countries seem to display </w:t>
      </w:r>
      <w:r w:rsidRPr="000E4E30">
        <w:rPr>
          <w:rFonts w:cs="Arial"/>
          <w:b/>
          <w:color w:val="1F497D" w:themeColor="text2"/>
          <w:szCs w:val="20"/>
        </w:rPr>
        <w:t>smaller inequalities when it comes to competency levels by different educational levels</w:t>
      </w:r>
      <w:r w:rsidRPr="000E4E30">
        <w:rPr>
          <w:rFonts w:cs="Arial"/>
          <w:color w:val="1F497D" w:themeColor="text2"/>
          <w:szCs w:val="20"/>
        </w:rPr>
        <w:t xml:space="preserve"> </w:t>
      </w:r>
      <w:r w:rsidRPr="000E4E30">
        <w:rPr>
          <w:rFonts w:cs="Arial"/>
          <w:szCs w:val="20"/>
        </w:rPr>
        <w:t>(OECD 2013b, EC 2014). In general, the performance gap between those with lower secondary and upper secondary education is larger than between those with upper secondary and tertiary education. The OECD suggests that these differences may be due to differences in school quality or the adult learning system, but also differences in educational participation. Evidence is not however provided to back up these hypotheses. Of the European countries surveyed, the differences in skills proficiency between adults with low levels of education and those with high levels of education are largest in France and smallest in Estonia.</w:t>
      </w:r>
    </w:p>
    <w:p w:rsidR="000E4E30" w:rsidRPr="000E4E30" w:rsidRDefault="000E4E30" w:rsidP="000E4E30">
      <w:pPr>
        <w:spacing w:after="120" w:line="288" w:lineRule="auto"/>
        <w:rPr>
          <w:rFonts w:cs="Arial"/>
          <w:szCs w:val="20"/>
        </w:rPr>
      </w:pPr>
      <w:r w:rsidRPr="000E4E30">
        <w:rPr>
          <w:rFonts w:cs="Arial"/>
          <w:szCs w:val="20"/>
        </w:rPr>
        <w:t>A recent analysis of PIAAC data by Cedefop (2014)</w:t>
      </w:r>
      <w:r w:rsidRPr="000E4E30">
        <w:rPr>
          <w:rFonts w:cs="Arial"/>
          <w:szCs w:val="20"/>
          <w:vertAlign w:val="superscript"/>
        </w:rPr>
        <w:t xml:space="preserve"> </w:t>
      </w:r>
      <w:r w:rsidRPr="000E4E30">
        <w:rPr>
          <w:rFonts w:cs="Arial"/>
          <w:szCs w:val="20"/>
        </w:rPr>
        <w:t xml:space="preserve">compares </w:t>
      </w:r>
      <w:r w:rsidR="00863619">
        <w:rPr>
          <w:rFonts w:cs="Arial"/>
          <w:szCs w:val="20"/>
        </w:rPr>
        <w:t xml:space="preserve">the results of </w:t>
      </w:r>
      <w:r w:rsidRPr="000E4E30">
        <w:rPr>
          <w:rFonts w:cs="Arial"/>
          <w:szCs w:val="20"/>
        </w:rPr>
        <w:t>those with general and vocational oriented upper-secondary qualifications. Adults with upper secondary vocational education and training (VET) qualifications generally have lower levels of literacy and numeracy proficiency than people with general upper secondary education. The Cedefop report argues that this is to be expected due to self-selection biases into VET education. Most potential university candidates tend to choose general education rather than VET as their path to higher education. Although the gap between literacy rates of adults with VET and general education is found in all countries, its extent varies considerably. Differences in literacy rates are smallest in Estonia, Ireland and Sweden. They are largest in some European countries that separate vocational and general learning tracks at upper secondary level such as the Czech Republic, Denmark, Germany, the Netherlands and Finland. Some countries, such as Finland, the Netherlands and Sweden, display relatively high literacy scores for adults irrespective of the type of education (vocational or general) at upper or post-secondary non-tertiary education level. In others, such as Ireland, Poland and Spain, adults have relatively low scores regardless of their type of education. Cedefop does not provide any analysis of the reasons behind this variation.</w:t>
      </w:r>
    </w:p>
    <w:p w:rsidR="000E4E30" w:rsidRPr="000E4E30" w:rsidRDefault="000E4E30" w:rsidP="000E4E30">
      <w:pPr>
        <w:spacing w:after="120" w:line="288" w:lineRule="auto"/>
        <w:rPr>
          <w:rFonts w:cs="Arial"/>
          <w:szCs w:val="20"/>
          <w:vertAlign w:val="superscript"/>
        </w:rPr>
      </w:pPr>
      <w:r w:rsidRPr="000E4E30">
        <w:rPr>
          <w:rFonts w:cs="Arial"/>
          <w:szCs w:val="20"/>
        </w:rPr>
        <w:t xml:space="preserve">Only two studies to date have </w:t>
      </w:r>
      <w:r w:rsidRPr="000E4E30">
        <w:rPr>
          <w:rFonts w:cs="Arial"/>
          <w:b/>
          <w:color w:val="1F497D" w:themeColor="text2"/>
          <w:szCs w:val="20"/>
        </w:rPr>
        <w:t>tested any hypotheses for these within-country variations</w:t>
      </w:r>
      <w:r w:rsidRPr="000E4E30">
        <w:rPr>
          <w:rFonts w:cs="Arial"/>
          <w:szCs w:val="20"/>
        </w:rPr>
        <w:t>, namely Park and Kyei (</w:t>
      </w:r>
      <w:r w:rsidR="00234B21">
        <w:rPr>
          <w:rFonts w:cs="Arial"/>
          <w:szCs w:val="20"/>
        </w:rPr>
        <w:t>2011) and Heisig and Solga (2015</w:t>
      </w:r>
      <w:r w:rsidRPr="000E4E30">
        <w:rPr>
          <w:rFonts w:cs="Arial"/>
          <w:szCs w:val="20"/>
        </w:rPr>
        <w:t>). Using IALS data on 19 countries</w:t>
      </w:r>
      <w:r w:rsidR="00863619">
        <w:rPr>
          <w:rFonts w:cs="Arial"/>
          <w:szCs w:val="20"/>
        </w:rPr>
        <w:t>,</w:t>
      </w:r>
      <w:r w:rsidRPr="000E4E30">
        <w:rPr>
          <w:rFonts w:cs="Arial"/>
          <w:szCs w:val="20"/>
        </w:rPr>
        <w:t xml:space="preserve"> Park and Kyei (2011) examine literacy differentials by level of formal qualification. They find substantial cross-national variation in literacy gaps between less and intermediate educated adults and, to a lesser extent, also between adults with intermediate and high levels of formal qualification. The main country-level explanatory variable examined by Park and Kyei is within-country heterogeneity of school quality. They show that greater between-school resource inequality is associated with larger low-intermediate literacy gaps. Resource inequality however does not explain differences in intermediate-high literacy gaps. Park and Kyei (2011) do not however consider differences in educational stratification processes as an explanatory factor.</w:t>
      </w:r>
    </w:p>
    <w:p w:rsidR="000E4E30" w:rsidRPr="000E4E30" w:rsidRDefault="00234B21" w:rsidP="000E4E30">
      <w:pPr>
        <w:spacing w:after="120" w:line="288" w:lineRule="auto"/>
        <w:rPr>
          <w:rFonts w:cs="Arial"/>
          <w:szCs w:val="20"/>
          <w:vertAlign w:val="superscript"/>
        </w:rPr>
      </w:pPr>
      <w:r>
        <w:rPr>
          <w:rFonts w:cs="Arial"/>
          <w:szCs w:val="20"/>
        </w:rPr>
        <w:t>Heisig and Solga (2015</w:t>
      </w:r>
      <w:r w:rsidR="000E4E30" w:rsidRPr="000E4E30">
        <w:rPr>
          <w:rFonts w:cs="Arial"/>
          <w:szCs w:val="20"/>
        </w:rPr>
        <w:t>) also aim to explain the cross-country variation of within-country differences between adults with different levels of qualification, and they consider differences in educational stratification. They focus on two types of stratification: vertical stratification by student performance in lower secondary education (e.g. via achievement-related tracking) and horizontal stratification in terms of the primary content of educational programmes in upper secondary education (occupational/vocational vs. general). In their two-step analysis of PIAAC results for prime-age adults (25-54), they find that more horizontally stratified education systems (more occupation-specific) produce smaller differences in basic general skills between adults with low and intermediate levels of education. Higher levels of vertical stratification (via achievement-related tracking), by contrast, result in larger low-intermediate skills gaps. Neither of the two stratification aspects can however explain variations in the skills gaps between inter</w:t>
      </w:r>
      <w:r w:rsidR="00CB3EA8">
        <w:rPr>
          <w:rFonts w:cs="Arial"/>
          <w:szCs w:val="20"/>
        </w:rPr>
        <w:t>mediate and high educated adults.</w:t>
      </w:r>
    </w:p>
    <w:p w:rsidR="000E4E30" w:rsidRPr="000E4E30" w:rsidRDefault="000E4E30" w:rsidP="000E4E30">
      <w:pPr>
        <w:spacing w:after="120" w:line="288" w:lineRule="auto"/>
        <w:rPr>
          <w:rFonts w:cs="Arial"/>
          <w:szCs w:val="20"/>
        </w:rPr>
      </w:pPr>
      <w:r w:rsidRPr="000E4E30">
        <w:rPr>
          <w:rFonts w:cs="Arial"/>
          <w:szCs w:val="20"/>
        </w:rPr>
        <w:t>In this report, we add to the existing evidenc</w:t>
      </w:r>
      <w:r w:rsidR="00CB3EA8">
        <w:rPr>
          <w:rFonts w:cs="Arial"/>
          <w:szCs w:val="20"/>
        </w:rPr>
        <w:t>e base in two important aspects: f</w:t>
      </w:r>
      <w:r w:rsidRPr="000E4E30">
        <w:rPr>
          <w:rFonts w:cs="Arial"/>
          <w:szCs w:val="20"/>
        </w:rPr>
        <w:t>irstly, this report focuses on young adults, where the effects of formal education on skill proficiency can be assumed to be strongest. Existing research focusing on the total adult population or prime-age (24-54) adults is likely to overestimate cross</w:t>
      </w:r>
      <w:r w:rsidR="00CB3EA8">
        <w:rPr>
          <w:rFonts w:cs="Arial"/>
          <w:szCs w:val="20"/>
        </w:rPr>
        <w:t>-country variation. Secondly, this report investigates the relationship between educational attainment and competences controlling for a range of individual and country-level background factors.</w:t>
      </w:r>
    </w:p>
    <w:p w:rsidR="000E4E30" w:rsidRPr="005936AE" w:rsidRDefault="000E4E30" w:rsidP="00F50E55">
      <w:pPr>
        <w:pStyle w:val="Heading2"/>
      </w:pPr>
      <w:bookmarkStart w:id="126" w:name="_Toc427232492"/>
      <w:bookmarkStart w:id="127" w:name="_Toc435802088"/>
      <w:r>
        <w:t xml:space="preserve">5.2 </w:t>
      </w:r>
      <w:r w:rsidR="00B27C25">
        <w:t>Average n</w:t>
      </w:r>
      <w:r w:rsidRPr="005936AE">
        <w:t>umeracy and literacy competence by educational attainment</w:t>
      </w:r>
      <w:bookmarkEnd w:id="126"/>
      <w:bookmarkEnd w:id="127"/>
    </w:p>
    <w:p w:rsidR="000E4E30" w:rsidRPr="00234B21" w:rsidRDefault="00234B21" w:rsidP="000E4E30">
      <w:pPr>
        <w:spacing w:after="120" w:line="288" w:lineRule="auto"/>
        <w:rPr>
          <w:rFonts w:cs="Arial"/>
          <w:szCs w:val="20"/>
        </w:rPr>
      </w:pPr>
      <w:r>
        <w:t xml:space="preserve">In line with </w:t>
      </w:r>
      <w:r w:rsidR="000E4E30" w:rsidRPr="00234B21">
        <w:t xml:space="preserve">the review of the literature above, one would expect to see a positive relationship between educational attainment and basic competences across </w:t>
      </w:r>
      <w:r>
        <w:t>EU Member States</w:t>
      </w:r>
      <w:r w:rsidR="000E4E30" w:rsidRPr="00234B21">
        <w:t>. Figure 5.1 presents the average numeracy proficiency of young adults as measured by PIAAC by highest qualification level achieved. The level of educational attainment is coded into 5 categories: 1) lower secondary education and below, 2) upper-secondary education, 3) post-secondary non-tertiary education, 4) tertiary (professional</w:t>
      </w:r>
      <w:r w:rsidR="004938D1">
        <w:t>ly oriented</w:t>
      </w:r>
      <w:r w:rsidR="000E4E30" w:rsidRPr="00234B21">
        <w:t>) and 5) tertiary (</w:t>
      </w:r>
      <w:r w:rsidR="004938D1">
        <w:t>academically oriented</w:t>
      </w:r>
      <w:r w:rsidR="000E4E30" w:rsidRPr="00234B21">
        <w:t>)</w:t>
      </w:r>
      <w:r w:rsidR="000E4E30" w:rsidRPr="00234B21">
        <w:rPr>
          <w:rStyle w:val="FootnoteReference"/>
          <w:rFonts w:cs="Arial"/>
          <w:szCs w:val="20"/>
        </w:rPr>
        <w:footnoteReference w:id="14"/>
      </w:r>
      <w:r w:rsidR="000E4E30" w:rsidRPr="00234B21">
        <w:rPr>
          <w:rFonts w:cs="Arial"/>
          <w:szCs w:val="20"/>
        </w:rPr>
        <w:t xml:space="preserve">. </w:t>
      </w:r>
      <w:bookmarkStart w:id="128" w:name="_Ref419280968"/>
    </w:p>
    <w:p w:rsidR="000E4E30" w:rsidRDefault="000E4E30" w:rsidP="000E4E30">
      <w:pPr>
        <w:pStyle w:val="Caption"/>
        <w:spacing w:before="0" w:after="120" w:line="288" w:lineRule="auto"/>
        <w:rPr>
          <w:rFonts w:ascii="Verdana" w:hAnsi="Verdana"/>
          <w:b w:val="0"/>
          <w:color w:val="1F497D" w:themeColor="text2"/>
          <w:sz w:val="20"/>
        </w:rPr>
      </w:pPr>
      <w:bookmarkStart w:id="129" w:name="_Ref419280941"/>
      <w:bookmarkEnd w:id="128"/>
      <w:r w:rsidRPr="000E4E30">
        <w:rPr>
          <w:rFonts w:ascii="Verdana" w:hAnsi="Verdana"/>
          <w:b w:val="0"/>
          <w:color w:val="1F497D" w:themeColor="text2"/>
          <w:sz w:val="20"/>
        </w:rPr>
        <w:t xml:space="preserve">Figure </w:t>
      </w:r>
      <w:r w:rsidR="00F50E55">
        <w:rPr>
          <w:rFonts w:ascii="Verdana" w:hAnsi="Verdana"/>
          <w:b w:val="0"/>
          <w:color w:val="1F497D" w:themeColor="text2"/>
          <w:sz w:val="20"/>
        </w:rPr>
        <w:t>5.1</w:t>
      </w:r>
      <w:r w:rsidRPr="000E4E30">
        <w:rPr>
          <w:rFonts w:ascii="Verdana" w:hAnsi="Verdana"/>
          <w:b w:val="0"/>
          <w:color w:val="1F497D" w:themeColor="text2"/>
          <w:sz w:val="20"/>
        </w:rPr>
        <w:t xml:space="preserve"> Average numeracy proficiency of young adults by highest qualification level obtained</w:t>
      </w:r>
      <w:bookmarkEnd w:id="129"/>
      <w:r w:rsidR="00234B21">
        <w:rPr>
          <w:rFonts w:ascii="Verdana" w:hAnsi="Verdana"/>
          <w:b w:val="0"/>
          <w:color w:val="1F497D" w:themeColor="text2"/>
          <w:sz w:val="20"/>
        </w:rPr>
        <w:t>, non-adjusted</w:t>
      </w:r>
      <w:r w:rsidRPr="000E4E30">
        <w:rPr>
          <w:rStyle w:val="FootnoteReference"/>
          <w:rFonts w:ascii="Verdana" w:hAnsi="Verdana" w:cs="Arial"/>
          <w:b w:val="0"/>
          <w:color w:val="1F497D" w:themeColor="text2"/>
          <w:sz w:val="20"/>
        </w:rPr>
        <w:footnoteReference w:id="15"/>
      </w:r>
    </w:p>
    <w:p w:rsidR="000E4E30" w:rsidRPr="005936AE" w:rsidRDefault="0048614B" w:rsidP="00651009">
      <w:pPr>
        <w:pStyle w:val="BodyText"/>
      </w:pPr>
      <w:r>
        <w:rPr>
          <w:noProof/>
          <w:lang w:val="en-US" w:eastAsia="en-US"/>
        </w:rPr>
        <w:drawing>
          <wp:inline distT="0" distB="0" distL="0" distR="0" wp14:anchorId="452A6497" wp14:editId="0661D6B7">
            <wp:extent cx="5579745" cy="3839003"/>
            <wp:effectExtent l="0" t="0" r="1905" b="0"/>
            <wp:docPr id="679" name="Chart 67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E4E30" w:rsidRPr="0049007F" w:rsidRDefault="000E4E30" w:rsidP="000E4E30">
      <w:pPr>
        <w:keepNext/>
        <w:spacing w:after="120" w:line="288" w:lineRule="auto"/>
        <w:rPr>
          <w:rFonts w:cs="Arial"/>
          <w:i/>
          <w:sz w:val="16"/>
          <w:szCs w:val="16"/>
        </w:rPr>
      </w:pPr>
      <w:r w:rsidRPr="0049007F">
        <w:rPr>
          <w:rFonts w:cs="Arial"/>
          <w:i/>
          <w:sz w:val="16"/>
          <w:szCs w:val="16"/>
        </w:rPr>
        <w:t>Notes: n=29946, 20-34 year old respondents, PIAAC data, ordered by average scores achieved by those with tertiary (</w:t>
      </w:r>
      <w:r w:rsidR="004938D1">
        <w:rPr>
          <w:rFonts w:cs="Arial"/>
          <w:i/>
          <w:sz w:val="16"/>
          <w:szCs w:val="16"/>
        </w:rPr>
        <w:t>academically oriented</w:t>
      </w:r>
      <w:r w:rsidRPr="0049007F">
        <w:rPr>
          <w:rFonts w:cs="Arial"/>
          <w:i/>
          <w:sz w:val="16"/>
          <w:szCs w:val="16"/>
        </w:rPr>
        <w:t>) attainment (descending), data missing on post-secondary non-tertiary for NL, FR, data missing on tertiary (professional</w:t>
      </w:r>
      <w:r w:rsidR="004938D1">
        <w:rPr>
          <w:rFonts w:cs="Arial"/>
          <w:i/>
          <w:sz w:val="16"/>
          <w:szCs w:val="16"/>
        </w:rPr>
        <w:t>ly oriented</w:t>
      </w:r>
      <w:r w:rsidRPr="0049007F">
        <w:rPr>
          <w:rFonts w:cs="Arial"/>
          <w:i/>
          <w:sz w:val="16"/>
          <w:szCs w:val="16"/>
        </w:rPr>
        <w:t>) for IE, PL, SK</w:t>
      </w:r>
    </w:p>
    <w:p w:rsidR="000E4E30" w:rsidRPr="005936AE" w:rsidRDefault="000E4E30" w:rsidP="000E4E30">
      <w:pPr>
        <w:pStyle w:val="BodyText"/>
        <w:spacing w:line="288" w:lineRule="auto"/>
      </w:pPr>
      <w:r w:rsidRPr="001F38A2">
        <w:rPr>
          <w:b/>
          <w:color w:val="1F497D" w:themeColor="text2"/>
        </w:rPr>
        <w:t>The EU-16 average</w:t>
      </w:r>
      <w:r w:rsidRPr="00307A77">
        <w:t xml:space="preserve"> shows that there is </w:t>
      </w:r>
      <w:r w:rsidRPr="008A62A8">
        <w:t>indeed a positive rel</w:t>
      </w:r>
      <w:r w:rsidRPr="008E7CEE">
        <w:t>ationship between qualification levels and average numeracy proficiency, i.e. the higher the qualification level obtained, the higher the numeracy scores achieved on average. Average numeracy scores for different qualificatio</w:t>
      </w:r>
      <w:r w:rsidRPr="005936AE">
        <w:t>n levels are: 307 for those with tertiary (</w:t>
      </w:r>
      <w:r w:rsidR="004938D1">
        <w:t>academically oriented</w:t>
      </w:r>
      <w:r w:rsidRPr="005936AE">
        <w:t>) degrees, 290 for those with tertiary (professional</w:t>
      </w:r>
      <w:r w:rsidR="004938D1">
        <w:t>ly oriented</w:t>
      </w:r>
      <w:r w:rsidRPr="005936AE">
        <w:t>) degrees and 280 for those with post-secondary (non-tertiary) degrees. Those with upper secondary education score 275 points on average, while average scores are 235 for lower secondary and below. Differences between groups are significant at EU-16 level, apart from mean differences between upper secondary and post-secondary non-tertiary, which are not significant.</w:t>
      </w:r>
    </w:p>
    <w:p w:rsidR="000E4E30" w:rsidRPr="005936AE" w:rsidRDefault="000E4E30" w:rsidP="000E4E30">
      <w:pPr>
        <w:pStyle w:val="BodyText"/>
        <w:spacing w:line="288" w:lineRule="auto"/>
      </w:pPr>
      <w:r w:rsidRPr="005936AE">
        <w:t xml:space="preserve">The </w:t>
      </w:r>
      <w:r w:rsidR="00234B21">
        <w:t>biggest average ‘competence difference’</w:t>
      </w:r>
      <w:r w:rsidRPr="005936AE">
        <w:t xml:space="preserve"> between different qualification levels can be observed between lower secondary or less and upper secondary education (39 points). It should be noted that post-secondary, tertiary (professional</w:t>
      </w:r>
      <w:r w:rsidR="004938D1">
        <w:t>ly oriented</w:t>
      </w:r>
      <w:r w:rsidRPr="005936AE">
        <w:t>) and tertiary (</w:t>
      </w:r>
      <w:r w:rsidR="004938D1">
        <w:t>academically oriented</w:t>
      </w:r>
      <w:r w:rsidRPr="005936AE">
        <w:t xml:space="preserve">) degrees can </w:t>
      </w:r>
      <w:r w:rsidR="00234B21">
        <w:t xml:space="preserve">often </w:t>
      </w:r>
      <w:r w:rsidRPr="005936AE">
        <w:t>be seen as alternative education options after upper secondary level. Taking this into account</w:t>
      </w:r>
      <w:r w:rsidR="003D24BD">
        <w:t>,</w:t>
      </w:r>
      <w:r w:rsidRPr="005936AE">
        <w:t xml:space="preserve"> the average proficiency increase between upper secondary and tertiary (</w:t>
      </w:r>
      <w:r w:rsidR="004938D1">
        <w:t>academically oriented</w:t>
      </w:r>
      <w:r w:rsidRPr="005936AE">
        <w:t>) degree level displ</w:t>
      </w:r>
      <w:r w:rsidR="00234B21">
        <w:t>ays the highest ‘competence difference’</w:t>
      </w:r>
      <w:r w:rsidRPr="005936AE">
        <w:t xml:space="preserve"> (32 points) of all post-secondary options. Average numeracy proficiency consistently increases from lower secondary to upper secondary and tertiary (</w:t>
      </w:r>
      <w:r w:rsidR="004938D1">
        <w:t>academically oriented</w:t>
      </w:r>
      <w:r w:rsidRPr="005936AE">
        <w:t>) in all countries.</w:t>
      </w:r>
    </w:p>
    <w:p w:rsidR="000E4E30" w:rsidRPr="005936AE" w:rsidRDefault="000E4E30" w:rsidP="000E4E30">
      <w:pPr>
        <w:pStyle w:val="BodyText"/>
        <w:spacing w:line="288" w:lineRule="auto"/>
      </w:pPr>
      <w:r w:rsidRPr="005936AE">
        <w:t xml:space="preserve">This analysis reiterates the </w:t>
      </w:r>
      <w:r w:rsidRPr="005936AE">
        <w:rPr>
          <w:b/>
          <w:color w:val="1F497D" w:themeColor="text2"/>
        </w:rPr>
        <w:t xml:space="preserve">cross-country and within country differences </w:t>
      </w:r>
      <w:r w:rsidRPr="00234B21">
        <w:t>highlighted previously</w:t>
      </w:r>
      <w:r w:rsidRPr="005936AE">
        <w:t xml:space="preserve">. </w:t>
      </w:r>
      <w:r w:rsidRPr="005936AE">
        <w:rPr>
          <w:b/>
          <w:color w:val="1F497D" w:themeColor="text2"/>
        </w:rPr>
        <w:t>Across countries</w:t>
      </w:r>
      <w:r w:rsidRPr="005936AE">
        <w:t xml:space="preserve"> those with tertiary education (</w:t>
      </w:r>
      <w:r w:rsidR="004938D1">
        <w:t>academically oriented</w:t>
      </w:r>
      <w:r w:rsidRPr="005936AE">
        <w:t>) score highest in numeracy competence in Belgium</w:t>
      </w:r>
      <w:r w:rsidR="00234B21">
        <w:t xml:space="preserve"> (FL)</w:t>
      </w:r>
      <w:r w:rsidRPr="005936AE">
        <w:t xml:space="preserve"> (326 points) and Finland (324 points) and lowest in Spain (286) and Italy (287). In addition, the average numeracy proficiency of young people with upper secondary education in some countries is not significantly different or even exceeds the proficiency of tertiary graduates in other countries. Upper secondary graduates in Finland (294 points) display significantly higher average numeracy proficiency than tertiary graduates in Spain (286 points). The numeracy proficiency of tertiary graduates in Spain and Italy is not significantly different from the numeracy proficiency of upper secondary graduates in a vast number of European Member States, including Belgium</w:t>
      </w:r>
      <w:r w:rsidR="00234B21">
        <w:t xml:space="preserve"> (FL)</w:t>
      </w:r>
      <w:r w:rsidRPr="005936AE">
        <w:t>, the Czech Republic, Denmark, Estonia, the Netherlands, Slovakia and Sweden; it is not significantly different between upper secondary graduates in Finland and tertiary graduates in Italy. Similarly, the numeracy proficiency of tertiary graduates in Ireland, Poland and the United Kingdom</w:t>
      </w:r>
      <w:r w:rsidR="00234B21">
        <w:t xml:space="preserve"> (EN/NI)</w:t>
      </w:r>
      <w:r w:rsidRPr="005936AE">
        <w:t xml:space="preserve"> is not significantly different from the proficiency of upper secondary graduates in Denmark, Finland, the Netherlands and Sweden.</w:t>
      </w:r>
    </w:p>
    <w:p w:rsidR="000E4E30" w:rsidRPr="005936AE" w:rsidRDefault="000E4E30" w:rsidP="000E4E30">
      <w:pPr>
        <w:pStyle w:val="BodyText"/>
        <w:spacing w:line="288" w:lineRule="auto"/>
        <w:rPr>
          <w:rFonts w:cs="Arial"/>
          <w:szCs w:val="20"/>
        </w:rPr>
      </w:pPr>
      <w:r w:rsidRPr="005936AE">
        <w:rPr>
          <w:rFonts w:cs="Arial"/>
          <w:szCs w:val="20"/>
        </w:rPr>
        <w:t xml:space="preserve">Moreover, there are vast differences </w:t>
      </w:r>
      <w:r w:rsidRPr="005936AE">
        <w:rPr>
          <w:rFonts w:cs="Arial"/>
          <w:b/>
          <w:color w:val="1F497D" w:themeColor="text2"/>
          <w:szCs w:val="20"/>
        </w:rPr>
        <w:t>within countries</w:t>
      </w:r>
      <w:r w:rsidRPr="005936AE">
        <w:rPr>
          <w:rFonts w:cs="Arial"/>
          <w:szCs w:val="20"/>
        </w:rPr>
        <w:t>. The smallest gap between those with only lower secondary education or below and tertiary (</w:t>
      </w:r>
      <w:r w:rsidR="004938D1">
        <w:rPr>
          <w:rFonts w:cs="Arial"/>
          <w:szCs w:val="20"/>
        </w:rPr>
        <w:t>academically oriented</w:t>
      </w:r>
      <w:r w:rsidRPr="005936AE">
        <w:rPr>
          <w:rFonts w:cs="Arial"/>
          <w:szCs w:val="20"/>
        </w:rPr>
        <w:t>) education</w:t>
      </w:r>
      <w:r w:rsidRPr="005936AE">
        <w:rPr>
          <w:rStyle w:val="FootnoteReference"/>
          <w:rFonts w:cs="Arial"/>
          <w:szCs w:val="20"/>
        </w:rPr>
        <w:footnoteReference w:id="16"/>
      </w:r>
      <w:r w:rsidRPr="005936AE">
        <w:rPr>
          <w:rFonts w:cs="Arial"/>
          <w:szCs w:val="20"/>
        </w:rPr>
        <w:t xml:space="preserve"> can be observed in Spain and Italy, i.e. young people with different levels of educational attainment display relatively similar numeracy proficiency. The largest gaps can be observed in Belgium</w:t>
      </w:r>
      <w:r w:rsidR="00234B21">
        <w:rPr>
          <w:rFonts w:cs="Arial"/>
          <w:szCs w:val="20"/>
        </w:rPr>
        <w:t xml:space="preserve"> (FL)</w:t>
      </w:r>
      <w:r w:rsidRPr="005936AE">
        <w:rPr>
          <w:rFonts w:cs="Arial"/>
          <w:szCs w:val="20"/>
        </w:rPr>
        <w:t xml:space="preserve">, France and Slovakia. </w:t>
      </w:r>
    </w:p>
    <w:p w:rsidR="000E4E30" w:rsidRPr="00A37C3A" w:rsidRDefault="000E4E30" w:rsidP="000E4E30">
      <w:pPr>
        <w:pStyle w:val="BodyText"/>
        <w:spacing w:line="288" w:lineRule="auto"/>
        <w:rPr>
          <w:rFonts w:cs="Arial"/>
          <w:szCs w:val="20"/>
        </w:rPr>
      </w:pPr>
      <w:r w:rsidRPr="005936AE">
        <w:rPr>
          <w:rFonts w:cs="Arial"/>
          <w:szCs w:val="20"/>
        </w:rPr>
        <w:t>While patterns of average numeracy proficiency by educational attainment are relatively consistent across countries for lower secondary and below, upper secondary and tertiary (</w:t>
      </w:r>
      <w:r w:rsidR="004938D1">
        <w:rPr>
          <w:rFonts w:cs="Arial"/>
          <w:szCs w:val="20"/>
        </w:rPr>
        <w:t>academically oriented</w:t>
      </w:r>
      <w:r w:rsidRPr="005936AE">
        <w:rPr>
          <w:rFonts w:cs="Arial"/>
          <w:szCs w:val="20"/>
        </w:rPr>
        <w:t xml:space="preserve">) education, they vary more strongly across countries for those holding </w:t>
      </w:r>
      <w:r w:rsidRPr="006C21EC">
        <w:rPr>
          <w:rFonts w:cs="Arial"/>
          <w:b/>
          <w:color w:val="1F497D" w:themeColor="text2"/>
          <w:szCs w:val="20"/>
        </w:rPr>
        <w:t>post-secondary non-tertiary and tertiary (professional</w:t>
      </w:r>
      <w:r w:rsidR="004938D1">
        <w:rPr>
          <w:rFonts w:cs="Arial"/>
          <w:b/>
          <w:color w:val="1F497D" w:themeColor="text2"/>
          <w:szCs w:val="20"/>
        </w:rPr>
        <w:t>ly oriented</w:t>
      </w:r>
      <w:r w:rsidRPr="006C21EC">
        <w:rPr>
          <w:rFonts w:cs="Arial"/>
          <w:b/>
          <w:color w:val="1F497D" w:themeColor="text2"/>
          <w:szCs w:val="20"/>
        </w:rPr>
        <w:t>) degrees.</w:t>
      </w:r>
      <w:r w:rsidRPr="006C21EC">
        <w:rPr>
          <w:rFonts w:cs="Arial"/>
          <w:color w:val="1F497D" w:themeColor="text2"/>
          <w:szCs w:val="20"/>
        </w:rPr>
        <w:t xml:space="preserve"> </w:t>
      </w:r>
      <w:r w:rsidRPr="005936AE">
        <w:rPr>
          <w:rFonts w:cs="Arial"/>
          <w:szCs w:val="20"/>
        </w:rPr>
        <w:t>Those with tertiary (professional</w:t>
      </w:r>
      <w:r w:rsidR="004938D1">
        <w:rPr>
          <w:rFonts w:cs="Arial"/>
          <w:szCs w:val="20"/>
        </w:rPr>
        <w:t>ly oriented</w:t>
      </w:r>
      <w:r w:rsidRPr="005936AE">
        <w:rPr>
          <w:rFonts w:cs="Arial"/>
          <w:szCs w:val="20"/>
        </w:rPr>
        <w:t>) education perform best in Sweden (312) - where their numeracy proficiency is not significantly different from those with tertiary (</w:t>
      </w:r>
      <w:r w:rsidR="004938D1">
        <w:rPr>
          <w:rFonts w:cs="Arial"/>
          <w:szCs w:val="20"/>
        </w:rPr>
        <w:t>academically oriented</w:t>
      </w:r>
      <w:r w:rsidRPr="005936AE">
        <w:rPr>
          <w:rFonts w:cs="Arial"/>
          <w:szCs w:val="20"/>
        </w:rPr>
        <w:t>) education - and worst in the United Kingdom</w:t>
      </w:r>
      <w:r w:rsidR="00234B21">
        <w:rPr>
          <w:rFonts w:cs="Arial"/>
          <w:szCs w:val="20"/>
        </w:rPr>
        <w:t xml:space="preserve"> (EN/NI)</w:t>
      </w:r>
      <w:r w:rsidRPr="005936AE">
        <w:rPr>
          <w:rFonts w:cs="Arial"/>
          <w:szCs w:val="20"/>
        </w:rPr>
        <w:t xml:space="preserve"> (265), where their numeracy proficiency is not significantly different to those with upper secondary education. Those with post-secondary non-tertiary education display the highest numeracy proficiency in Germany (303) - where their performance is not significantly different to those with tertiary (professional</w:t>
      </w:r>
      <w:r w:rsidR="004938D1">
        <w:rPr>
          <w:rFonts w:cs="Arial"/>
          <w:szCs w:val="20"/>
        </w:rPr>
        <w:t>ly oriented</w:t>
      </w:r>
      <w:r w:rsidRPr="005936AE">
        <w:rPr>
          <w:rFonts w:cs="Arial"/>
          <w:szCs w:val="20"/>
        </w:rPr>
        <w:t xml:space="preserve">) education - and worst in the United Kingdom </w:t>
      </w:r>
      <w:r w:rsidR="00234B21">
        <w:rPr>
          <w:rFonts w:cs="Arial"/>
          <w:szCs w:val="20"/>
        </w:rPr>
        <w:t xml:space="preserve">(EN/NI) </w:t>
      </w:r>
      <w:r w:rsidRPr="005936AE">
        <w:rPr>
          <w:rFonts w:cs="Arial"/>
          <w:szCs w:val="20"/>
        </w:rPr>
        <w:t>(223), although results are not significantly different to those with upper secondary or tertiary (professional</w:t>
      </w:r>
      <w:r w:rsidR="004938D1">
        <w:rPr>
          <w:rFonts w:cs="Arial"/>
          <w:szCs w:val="20"/>
        </w:rPr>
        <w:t>ly oriented</w:t>
      </w:r>
      <w:r w:rsidRPr="005936AE">
        <w:rPr>
          <w:rFonts w:cs="Arial"/>
          <w:szCs w:val="20"/>
        </w:rPr>
        <w:t xml:space="preserve">) qualification, due to the small sample </w:t>
      </w:r>
      <w:r w:rsidR="00234B21">
        <w:rPr>
          <w:rFonts w:cs="Arial"/>
          <w:szCs w:val="20"/>
        </w:rPr>
        <w:t>size of this group in the country</w:t>
      </w:r>
      <w:r w:rsidRPr="005936AE">
        <w:rPr>
          <w:rFonts w:cs="Arial"/>
          <w:szCs w:val="20"/>
        </w:rPr>
        <w:t xml:space="preserve">. The greater variability of relative numeracy proficiency for young people with post-secondary non-tertiary degrees may be due to larger differences in </w:t>
      </w:r>
      <w:r w:rsidR="006C21EC">
        <w:rPr>
          <w:rFonts w:cs="Arial"/>
          <w:szCs w:val="20"/>
        </w:rPr>
        <w:t>the design, quality and prevalence</w:t>
      </w:r>
      <w:r w:rsidRPr="005936AE">
        <w:rPr>
          <w:rFonts w:cs="Arial"/>
          <w:szCs w:val="20"/>
        </w:rPr>
        <w:t xml:space="preserve"> of such programm</w:t>
      </w:r>
      <w:r w:rsidR="006C21EC">
        <w:rPr>
          <w:rFonts w:cs="Arial"/>
          <w:szCs w:val="20"/>
        </w:rPr>
        <w:t xml:space="preserve">es across Member States and </w:t>
      </w:r>
      <w:r w:rsidRPr="005936AE">
        <w:rPr>
          <w:rFonts w:cs="Arial"/>
          <w:szCs w:val="20"/>
        </w:rPr>
        <w:t>differences in selecting young people into these programmes.</w:t>
      </w:r>
    </w:p>
    <w:p w:rsidR="000E4E30" w:rsidRPr="005936AE" w:rsidRDefault="000E4E30" w:rsidP="000E4E30">
      <w:pPr>
        <w:pStyle w:val="BodyText"/>
        <w:spacing w:line="288" w:lineRule="auto"/>
        <w:rPr>
          <w:rFonts w:cs="Arial"/>
          <w:szCs w:val="20"/>
        </w:rPr>
      </w:pPr>
      <w:r w:rsidRPr="00A37C3A">
        <w:rPr>
          <w:rFonts w:cs="Arial"/>
          <w:szCs w:val="20"/>
        </w:rPr>
        <w:t>Patterns are similar when looking at the picture for literacy proficiency (</w:t>
      </w:r>
      <w:r w:rsidRPr="00A37C3A">
        <w:rPr>
          <w:rFonts w:cs="Arial"/>
          <w:color w:val="003C64"/>
          <w:szCs w:val="20"/>
        </w:rPr>
        <w:t>Figure 5.2</w:t>
      </w:r>
      <w:r w:rsidRPr="00A37C3A">
        <w:rPr>
          <w:rFonts w:cs="Arial"/>
          <w:szCs w:val="20"/>
        </w:rPr>
        <w:t>). Across the EU-16, it shows that, for literacy proficiency, there is also a positive relationship between qualification levels and competence, i.e. the higher the qualification levels</w:t>
      </w:r>
      <w:r w:rsidRPr="005936AE">
        <w:rPr>
          <w:rFonts w:cs="Arial"/>
          <w:szCs w:val="20"/>
        </w:rPr>
        <w:t xml:space="preserve"> obtained, the higher the literacy scores achieved on average. Average literacy scores are: 308 for those with tertiary (</w:t>
      </w:r>
      <w:r w:rsidR="004938D1">
        <w:rPr>
          <w:rFonts w:cs="Arial"/>
          <w:szCs w:val="20"/>
        </w:rPr>
        <w:t>academically oriented</w:t>
      </w:r>
      <w:r w:rsidRPr="005936AE">
        <w:rPr>
          <w:rFonts w:cs="Arial"/>
          <w:szCs w:val="20"/>
        </w:rPr>
        <w:t>) degrees, 293 for those with tertiary (professional</w:t>
      </w:r>
      <w:r w:rsidR="004938D1">
        <w:rPr>
          <w:rFonts w:cs="Arial"/>
          <w:szCs w:val="20"/>
        </w:rPr>
        <w:t>ly oriented</w:t>
      </w:r>
      <w:r w:rsidRPr="005936AE">
        <w:rPr>
          <w:rFonts w:cs="Arial"/>
          <w:szCs w:val="20"/>
        </w:rPr>
        <w:t>) degrees and 285 for those with post-secondary (non-tertiary) degrees. Those with upper secondary education score 279 points on average, while average scores are 244 for those with lower secondary or less. Differences between groups are significant.</w:t>
      </w:r>
      <w:bookmarkStart w:id="130" w:name="_Ref419379448"/>
    </w:p>
    <w:p w:rsidR="000E4E30" w:rsidRDefault="000E4E30" w:rsidP="000E4E30">
      <w:pPr>
        <w:pStyle w:val="BodyText"/>
        <w:spacing w:line="288" w:lineRule="auto"/>
      </w:pPr>
      <w:r w:rsidRPr="005936AE">
        <w:t>For literacy proficiency, those with tertiary education (</w:t>
      </w:r>
      <w:r w:rsidR="004938D1">
        <w:t>academically oriented</w:t>
      </w:r>
      <w:r w:rsidRPr="005936AE">
        <w:t>) score highest in Finland (332) and the Netherlands (324) and lowest in Italy (290) and Spain (293). The order of countries is slightly changed from numeracy proficiency, but in general countries where tertiary graduates display high numeracy proficiency also display high literacy proficiency.</w:t>
      </w:r>
      <w:bookmarkEnd w:id="130"/>
    </w:p>
    <w:p w:rsidR="000E4E30" w:rsidRPr="00A37C3A" w:rsidRDefault="000E4E30" w:rsidP="000E4E30">
      <w:pPr>
        <w:pStyle w:val="Caption"/>
        <w:spacing w:before="0" w:after="120" w:line="288" w:lineRule="auto"/>
        <w:rPr>
          <w:rFonts w:ascii="Verdana" w:hAnsi="Verdana"/>
          <w:b w:val="0"/>
          <w:color w:val="1F497D" w:themeColor="text2"/>
          <w:sz w:val="20"/>
          <w:vertAlign w:val="superscript"/>
        </w:rPr>
      </w:pPr>
      <w:r w:rsidRPr="00A37C3A">
        <w:rPr>
          <w:rFonts w:ascii="Verdana" w:hAnsi="Verdana"/>
          <w:b w:val="0"/>
          <w:color w:val="1F497D" w:themeColor="text2"/>
          <w:sz w:val="20"/>
        </w:rPr>
        <w:t xml:space="preserve">Figure </w:t>
      </w:r>
      <w:r w:rsidR="00F50E55">
        <w:rPr>
          <w:rFonts w:ascii="Verdana" w:hAnsi="Verdana"/>
          <w:b w:val="0"/>
          <w:color w:val="1F497D" w:themeColor="text2"/>
          <w:sz w:val="20"/>
        </w:rPr>
        <w:t>5.2</w:t>
      </w:r>
      <w:r w:rsidRPr="00A37C3A">
        <w:rPr>
          <w:rFonts w:ascii="Verdana" w:hAnsi="Verdana"/>
          <w:b w:val="0"/>
          <w:color w:val="1F497D" w:themeColor="text2"/>
          <w:sz w:val="20"/>
        </w:rPr>
        <w:t xml:space="preserve"> Average literacy proficiency of young adults by highest qualification level obtained</w:t>
      </w:r>
      <w:r w:rsidR="00234B21">
        <w:rPr>
          <w:rFonts w:ascii="Verdana" w:hAnsi="Verdana"/>
          <w:b w:val="0"/>
          <w:color w:val="1F497D" w:themeColor="text2"/>
          <w:sz w:val="20"/>
        </w:rPr>
        <w:t>, unadjusted</w:t>
      </w:r>
      <w:r w:rsidRPr="00A37C3A">
        <w:rPr>
          <w:rFonts w:ascii="Verdana" w:hAnsi="Verdana"/>
          <w:b w:val="0"/>
          <w:color w:val="1F497D" w:themeColor="text2"/>
          <w:sz w:val="20"/>
          <w:vertAlign w:val="superscript"/>
        </w:rPr>
        <w:footnoteReference w:id="17"/>
      </w:r>
    </w:p>
    <w:p w:rsidR="000E4E30" w:rsidRPr="005936AE" w:rsidRDefault="0048614B" w:rsidP="000E4E30">
      <w:pPr>
        <w:keepNext/>
        <w:spacing w:after="120" w:line="288" w:lineRule="auto"/>
        <w:jc w:val="center"/>
        <w:rPr>
          <w:rFonts w:cs="Arial"/>
          <w:sz w:val="16"/>
          <w:szCs w:val="16"/>
        </w:rPr>
      </w:pPr>
      <w:r>
        <w:rPr>
          <w:noProof/>
          <w:lang w:val="en-US" w:eastAsia="en-US"/>
        </w:rPr>
        <w:drawing>
          <wp:inline distT="0" distB="0" distL="0" distR="0" wp14:anchorId="7276E67F" wp14:editId="567582EE">
            <wp:extent cx="5579745" cy="3809602"/>
            <wp:effectExtent l="0" t="0" r="1905" b="635"/>
            <wp:docPr id="680" name="Chart 68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E4E30" w:rsidRPr="0049007F" w:rsidRDefault="000E4E30" w:rsidP="000E4E30">
      <w:pPr>
        <w:keepNext/>
        <w:spacing w:after="120" w:line="288" w:lineRule="auto"/>
        <w:rPr>
          <w:rFonts w:cs="Arial"/>
          <w:i/>
          <w:sz w:val="16"/>
          <w:szCs w:val="16"/>
        </w:rPr>
      </w:pPr>
      <w:r w:rsidRPr="0049007F">
        <w:rPr>
          <w:rFonts w:cs="Arial"/>
          <w:i/>
          <w:sz w:val="16"/>
          <w:szCs w:val="16"/>
        </w:rPr>
        <w:t>Notes: n=29946, 20-34 year old respondents, PIAAC data, ordered by average scores achieved by those with tertiary (</w:t>
      </w:r>
      <w:r w:rsidR="004938D1">
        <w:rPr>
          <w:rFonts w:cs="Arial"/>
          <w:i/>
          <w:sz w:val="16"/>
          <w:szCs w:val="16"/>
        </w:rPr>
        <w:t>academically oriented</w:t>
      </w:r>
      <w:r w:rsidRPr="0049007F">
        <w:rPr>
          <w:rFonts w:cs="Arial"/>
          <w:i/>
          <w:sz w:val="16"/>
          <w:szCs w:val="16"/>
        </w:rPr>
        <w:t>) attainment (descending), data missing on post-secondary non-tertiary for NL, FR, data missing on tertiary (professional</w:t>
      </w:r>
      <w:r w:rsidR="004938D1">
        <w:rPr>
          <w:rFonts w:cs="Arial"/>
          <w:i/>
          <w:sz w:val="16"/>
          <w:szCs w:val="16"/>
        </w:rPr>
        <w:t>ly oriented</w:t>
      </w:r>
      <w:r w:rsidRPr="0049007F">
        <w:rPr>
          <w:rFonts w:cs="Arial"/>
          <w:i/>
          <w:sz w:val="16"/>
          <w:szCs w:val="16"/>
        </w:rPr>
        <w:t>) for IE, PL, SK</w:t>
      </w:r>
    </w:p>
    <w:p w:rsidR="000E4E30" w:rsidRPr="00EA2714" w:rsidRDefault="000E4E30" w:rsidP="000E4E30">
      <w:pPr>
        <w:pStyle w:val="BodyText"/>
        <w:spacing w:line="288" w:lineRule="auto"/>
      </w:pPr>
      <w:r w:rsidRPr="00394938">
        <w:t>Again, vast cross-country differences can be observed and</w:t>
      </w:r>
      <w:r w:rsidRPr="004F7DD2">
        <w:t xml:space="preserve"> </w:t>
      </w:r>
      <w:r w:rsidRPr="001F38A2">
        <w:t>– also again - young people with upper secondary education in Finland display significantly higher literacy proficiency than young people with tertiary (</w:t>
      </w:r>
      <w:r w:rsidR="004938D1">
        <w:t>academically oriented</w:t>
      </w:r>
      <w:r w:rsidRPr="001F38A2">
        <w:t>) education in Italy and Spain. The literacy proficiency of tertiary graduates in Italy is not significantly dif</w:t>
      </w:r>
      <w:r w:rsidRPr="008A62A8">
        <w:t>ferent from the literacy proficiency of upper</w:t>
      </w:r>
      <w:r w:rsidR="003D24BD">
        <w:t xml:space="preserve"> </w:t>
      </w:r>
      <w:r w:rsidRPr="008A62A8">
        <w:t>secondary graduates in the Czech Republic, Denmark, Estonia, the Netherlands and Sweden. Tertiary graduates in Spain do not display significantly different literacy competence to upper</w:t>
      </w:r>
      <w:r w:rsidRPr="008E7CEE">
        <w:t xml:space="preserve"> </w:t>
      </w:r>
      <w:r w:rsidRPr="005936AE">
        <w:t>secondary graduates in Estonia, the Netherlands and Sweden. The smallest proficiency gaps between lower secondary and below and tertiary (</w:t>
      </w:r>
      <w:r w:rsidR="004938D1">
        <w:t>academically oriented</w:t>
      </w:r>
      <w:r w:rsidRPr="005936AE">
        <w:t>) within countries can be observed in the Czech Republic and Denmark, while the largest gaps are observed in Belgium and again France.</w:t>
      </w:r>
    </w:p>
    <w:p w:rsidR="000E4E30" w:rsidRDefault="00B27C25" w:rsidP="00F50E55">
      <w:pPr>
        <w:pStyle w:val="Heading2"/>
      </w:pPr>
      <w:bookmarkStart w:id="131" w:name="_Toc427232493"/>
      <w:bookmarkStart w:id="132" w:name="_Toc435802089"/>
      <w:r w:rsidRPr="00CB3EA8">
        <w:t xml:space="preserve">5.3 </w:t>
      </w:r>
      <w:r w:rsidR="000E4E30" w:rsidRPr="00CB3EA8">
        <w:t>Competence</w:t>
      </w:r>
      <w:r w:rsidR="003D6CAE">
        <w:t xml:space="preserve"> differences</w:t>
      </w:r>
      <w:r w:rsidR="000E4E30" w:rsidRPr="00CB3EA8">
        <w:t xml:space="preserve"> </w:t>
      </w:r>
      <w:r w:rsidR="003D6CAE">
        <w:t>between qualification levels</w:t>
      </w:r>
      <w:r w:rsidR="000E4E30" w:rsidRPr="00CB3EA8">
        <w:t xml:space="preserve"> </w:t>
      </w:r>
      <w:bookmarkEnd w:id="131"/>
      <w:r w:rsidR="00400E46" w:rsidRPr="00CB3EA8">
        <w:t>across the EU-28</w:t>
      </w:r>
      <w:bookmarkEnd w:id="132"/>
    </w:p>
    <w:p w:rsidR="00EA2714" w:rsidRDefault="00EA2714" w:rsidP="00EA2714">
      <w:pPr>
        <w:pStyle w:val="BodyText"/>
        <w:spacing w:line="288" w:lineRule="auto"/>
      </w:pPr>
      <w:r w:rsidRPr="005936AE">
        <w:t xml:space="preserve">However, the relationship between competence levels and educational attainment is </w:t>
      </w:r>
      <w:r w:rsidRPr="005936AE">
        <w:rPr>
          <w:b/>
          <w:color w:val="1F497D" w:themeColor="text2"/>
        </w:rPr>
        <w:t>more complex than suggested</w:t>
      </w:r>
      <w:r w:rsidRPr="005936AE">
        <w:rPr>
          <w:color w:val="1F497D" w:themeColor="text2"/>
        </w:rPr>
        <w:t xml:space="preserve"> </w:t>
      </w:r>
      <w:r>
        <w:t>in the descriptive statistics above</w:t>
      </w:r>
      <w:r w:rsidRPr="005936AE">
        <w:t xml:space="preserve"> due to potential </w:t>
      </w:r>
      <w:r w:rsidRPr="00CB3EA8">
        <w:rPr>
          <w:b/>
          <w:color w:val="1F497D" w:themeColor="text2"/>
        </w:rPr>
        <w:t>composition effects</w:t>
      </w:r>
      <w:r w:rsidRPr="005936AE">
        <w:t xml:space="preserve"> of the population at different qualification levels. This means that the group of graduates at a particular level of educational attainment (e.g. at upper secondary level) in different countries may be very different from each other with regard</w:t>
      </w:r>
      <w:r w:rsidR="00CB3EA8">
        <w:t>s</w:t>
      </w:r>
      <w:r w:rsidRPr="005936AE">
        <w:t xml:space="preserve"> to background variables that have an influence on competences. For example, if the group of upper secondary graduates in Italy features much higher shares of young people from a low socio-economic background and with limited local language skills than the group of upper secondary graduates in Finland, this may explain some of their differences in outcomes. In the following, we therefore structure our analysis </w:t>
      </w:r>
      <w:r>
        <w:t>around</w:t>
      </w:r>
      <w:r w:rsidRPr="005936AE">
        <w:t xml:space="preserve"> theoretical and empirical models and </w:t>
      </w:r>
      <w:r w:rsidRPr="005936AE">
        <w:rPr>
          <w:b/>
          <w:color w:val="1F497D" w:themeColor="text2"/>
        </w:rPr>
        <w:t>start controlling for a number of individual background</w:t>
      </w:r>
      <w:r w:rsidRPr="005936AE">
        <w:rPr>
          <w:color w:val="1F497D" w:themeColor="text2"/>
        </w:rPr>
        <w:t xml:space="preserve"> </w:t>
      </w:r>
      <w:r w:rsidRPr="005936AE">
        <w:t>factors that may explain these differences.</w:t>
      </w:r>
    </w:p>
    <w:p w:rsidR="002D4694" w:rsidRDefault="002D4694" w:rsidP="00EA2714">
      <w:pPr>
        <w:pStyle w:val="BodyText"/>
        <w:spacing w:line="288" w:lineRule="auto"/>
      </w:pPr>
      <w:r w:rsidRPr="00DA3A94">
        <w:rPr>
          <w:noProof/>
          <w:szCs w:val="20"/>
          <w:lang w:val="en-US" w:eastAsia="en-US"/>
        </w:rPr>
        <mc:AlternateContent>
          <mc:Choice Requires="wps">
            <w:drawing>
              <wp:inline distT="0" distB="0" distL="0" distR="0" wp14:anchorId="752CDAC5" wp14:editId="54D1B080">
                <wp:extent cx="5580000" cy="5677469"/>
                <wp:effectExtent l="38100" t="38100" r="135255" b="133350"/>
                <wp:docPr id="292"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5677469"/>
                        </a:xfrm>
                        <a:prstGeom prst="rect">
                          <a:avLst/>
                        </a:prstGeom>
                        <a:solidFill>
                          <a:schemeClr val="bg1">
                            <a:lumMod val="85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2D4694" w:rsidRDefault="00394EBA" w:rsidP="002D4694">
                            <w:pPr>
                              <w:pStyle w:val="Heading3"/>
                              <w:shd w:val="clear" w:color="auto" w:fill="D9D9D9" w:themeFill="background1" w:themeFillShade="D9"/>
                              <w:spacing w:before="0" w:after="120" w:line="288" w:lineRule="auto"/>
                              <w:jc w:val="center"/>
                              <w:rPr>
                                <w:szCs w:val="20"/>
                                <w:shd w:val="clear" w:color="auto" w:fill="D9D9D9" w:themeFill="background1" w:themeFillShade="D9"/>
                              </w:rPr>
                            </w:pPr>
                            <w:bookmarkStart w:id="133" w:name="_Toc435620169"/>
                            <w:bookmarkStart w:id="134" w:name="_Toc435802090"/>
                            <w:r>
                              <w:rPr>
                                <w:szCs w:val="20"/>
                                <w:shd w:val="clear" w:color="auto" w:fill="D9D9D9" w:themeFill="background1" w:themeFillShade="D9"/>
                              </w:rPr>
                              <w:t>Theoretical model: competence production function</w:t>
                            </w:r>
                            <w:bookmarkEnd w:id="133"/>
                            <w:bookmarkEnd w:id="134"/>
                          </w:p>
                          <w:p w:rsidR="00394EBA" w:rsidRPr="001E31D3" w:rsidRDefault="00394EBA" w:rsidP="002D4694">
                            <w:pPr>
                              <w:pStyle w:val="BodyText"/>
                              <w:spacing w:line="288" w:lineRule="auto"/>
                            </w:pPr>
                            <w:r w:rsidRPr="001E31D3">
                              <w:t>This study uses a competence production function to model the relationship between educational attainment and competences in theory. The model is based in the literature on educational production functions which relate inputs to education (e.g. individual characteristics, schools, teacher and curricular characteristics) to outputs of the educational process (e.g. individual attainment, individual cognitive achievement, competences) (Hanushek 2008). Some of these inputs can be controlled by policy makers (e.g. school inputs, teacher quality, teaching content), while other inputs are non-controllable, such as individual ability, friends and family (Hanushek 2008: 3). Modelling this function is relatively straightforward and specified by Hanushek et al (2015) as follows:</w:t>
                            </w:r>
                          </w:p>
                          <w:p w:rsidR="00394EBA" w:rsidRPr="001E31D3" w:rsidRDefault="00394EBA" w:rsidP="00F90C88">
                            <w:pPr>
                              <w:pStyle w:val="ListParagraph"/>
                              <w:numPr>
                                <w:ilvl w:val="0"/>
                                <w:numId w:val="33"/>
                              </w:numPr>
                              <w:autoSpaceDE w:val="0"/>
                              <w:autoSpaceDN w:val="0"/>
                              <w:adjustRightInd w:val="0"/>
                              <w:spacing w:after="120" w:line="288" w:lineRule="auto"/>
                              <w:contextualSpacing/>
                              <w:jc w:val="center"/>
                              <w:rPr>
                                <w:rFonts w:ascii="Cambria Math" w:hAnsi="Cambria Math" w:cs="Cambria Math"/>
                                <w:sz w:val="16"/>
                                <w:szCs w:val="16"/>
                              </w:rPr>
                            </w:pPr>
                            <w:r w:rsidRPr="001E31D3">
                              <w:rPr>
                                <w:rFonts w:ascii="Cambria Math" w:hAnsi="Cambria Math" w:cs="Cambria Math"/>
                              </w:rPr>
                              <w:t>ln⁡(𝐻</w:t>
                            </w:r>
                            <w:r w:rsidRPr="001E31D3">
                              <w:rPr>
                                <w:rFonts w:ascii="Cambria Math" w:hAnsi="Cambria Math" w:cs="Cambria Math"/>
                                <w:sz w:val="16"/>
                                <w:szCs w:val="16"/>
                              </w:rPr>
                              <w:t>𝑖</w:t>
                            </w:r>
                            <w:r w:rsidRPr="001E31D3">
                              <w:rPr>
                                <w:rFonts w:ascii="Cambria Math" w:hAnsi="Cambria Math" w:cs="Cambria Math"/>
                              </w:rPr>
                              <w:t>)=𝛼𝑄(𝑠</w:t>
                            </w:r>
                            <w:r w:rsidRPr="001E31D3">
                              <w:rPr>
                                <w:rFonts w:ascii="Cambria Math" w:hAnsi="Cambria Math" w:cs="Cambria Math"/>
                                <w:sz w:val="16"/>
                                <w:szCs w:val="16"/>
                              </w:rPr>
                              <w:t>𝑖</w:t>
                            </w:r>
                            <w:r w:rsidRPr="001E31D3">
                              <w:rPr>
                                <w:rFonts w:ascii="Cambria Math" w:hAnsi="Cambria Math" w:cs="Cambria Math"/>
                              </w:rPr>
                              <w:t>)+𝛾𝐹</w:t>
                            </w:r>
                            <w:r w:rsidRPr="001E31D3">
                              <w:rPr>
                                <w:rFonts w:ascii="Cambria Math" w:hAnsi="Cambria Math" w:cs="Cambria Math"/>
                                <w:sz w:val="16"/>
                                <w:szCs w:val="16"/>
                              </w:rPr>
                              <w:t>𝑖</w:t>
                            </w:r>
                            <w:r w:rsidRPr="001E31D3">
                              <w:rPr>
                                <w:rFonts w:ascii="Cambria Math" w:hAnsi="Cambria Math" w:cs="Cambria Math"/>
                              </w:rPr>
                              <w:t>+𝛿𝐴</w:t>
                            </w:r>
                            <w:r w:rsidRPr="001E31D3">
                              <w:rPr>
                                <w:rFonts w:ascii="Cambria Math" w:hAnsi="Cambria Math" w:cs="Cambria Math"/>
                                <w:sz w:val="16"/>
                                <w:szCs w:val="16"/>
                              </w:rPr>
                              <w:t>𝑖</w:t>
                            </w:r>
                            <w:r w:rsidRPr="001E31D3">
                              <w:rPr>
                                <w:rFonts w:ascii="Cambria Math" w:hAnsi="Cambria Math" w:cs="Cambria Math"/>
                              </w:rPr>
                              <w:t>+𝜑𝑋</w:t>
                            </w:r>
                            <w:r w:rsidRPr="001E31D3">
                              <w:rPr>
                                <w:rFonts w:ascii="Cambria Math" w:hAnsi="Cambria Math" w:cs="Cambria Math"/>
                                <w:sz w:val="16"/>
                                <w:szCs w:val="16"/>
                              </w:rPr>
                              <w:t>𝑖</w:t>
                            </w:r>
                            <w:r w:rsidRPr="001E31D3">
                              <w:rPr>
                                <w:rFonts w:ascii="Cambria Math" w:hAnsi="Cambria Math" w:cs="Cambria Math"/>
                              </w:rPr>
                              <w:t>+𝑣</w:t>
                            </w:r>
                            <w:r w:rsidRPr="001E31D3">
                              <w:rPr>
                                <w:rFonts w:ascii="Cambria Math" w:hAnsi="Cambria Math" w:cs="Cambria Math"/>
                                <w:sz w:val="16"/>
                                <w:szCs w:val="16"/>
                              </w:rPr>
                              <w:t>𝑖</w:t>
                            </w:r>
                          </w:p>
                          <w:p w:rsidR="00394EBA" w:rsidRPr="001E31D3" w:rsidRDefault="00394EBA" w:rsidP="002D4694">
                            <w:pPr>
                              <w:pStyle w:val="BodyText"/>
                              <w:spacing w:line="288" w:lineRule="auto"/>
                            </w:pPr>
                            <w:r w:rsidRPr="001E31D3">
                              <w:t xml:space="preserve">Specified in this way, </w:t>
                            </w:r>
                            <w:r w:rsidRPr="001E31D3">
                              <w:rPr>
                                <w:rFonts w:ascii="Cambria Math" w:hAnsi="Cambria Math" w:cs="Cambria Math"/>
                              </w:rPr>
                              <w:t>𝐻𝑖</w:t>
                            </w:r>
                            <w:r w:rsidRPr="001E31D3">
                              <w:t xml:space="preserve"> are the competences of an individual i, Q(</w:t>
                            </w:r>
                            <w:r w:rsidRPr="001E31D3">
                              <w:rPr>
                                <w:rFonts w:ascii="Cambria Math" w:hAnsi="Cambria Math" w:cs="Cambria Math"/>
                              </w:rPr>
                              <w:t>𝑆𝑖</w:t>
                            </w:r>
                            <w:r w:rsidRPr="001E31D3">
                              <w:t xml:space="preserve">) is a function of school inputs and </w:t>
                            </w:r>
                            <w:r w:rsidRPr="001E31D3">
                              <w:rPr>
                                <w:rFonts w:ascii="Cambria Math" w:hAnsi="Cambria Math" w:cs="Cambria Math"/>
                              </w:rPr>
                              <w:t>𝑆𝑖</w:t>
                            </w:r>
                            <w:r w:rsidRPr="001E31D3">
                              <w:t xml:space="preserve"> is individual educational attainment, </w:t>
                            </w:r>
                            <w:r w:rsidRPr="001E31D3">
                              <w:rPr>
                                <w:rFonts w:ascii="Cambria Math" w:hAnsi="Cambria Math" w:cs="Cambria Math"/>
                              </w:rPr>
                              <w:t>𝐹𝑖</w:t>
                            </w:r>
                            <w:r w:rsidRPr="001E31D3">
                              <w:t xml:space="preserve"> are family and other socio-demographic inputs, </w:t>
                            </w:r>
                            <w:r w:rsidRPr="001E31D3">
                              <w:rPr>
                                <w:rFonts w:ascii="Cambria Math" w:hAnsi="Cambria Math" w:cs="Cambria Math"/>
                              </w:rPr>
                              <w:t>𝐴𝑖</w:t>
                            </w:r>
                            <w:r w:rsidRPr="001E31D3">
                              <w:t xml:space="preserve"> is individual ability,</w:t>
                            </w:r>
                            <w:r w:rsidRPr="001E31D3">
                              <w:rPr>
                                <w:rFonts w:ascii="Cambria Math" w:hAnsi="Cambria Math" w:cs="Cambria Math"/>
                              </w:rPr>
                              <w:t xml:space="preserve">⁡𝑋𝑖 </w:t>
                            </w:r>
                            <w:r w:rsidRPr="001E31D3">
                              <w:t xml:space="preserve">are other inputs such as labour market experience, while </w:t>
                            </w:r>
                            <w:r w:rsidRPr="001E31D3">
                              <w:rPr>
                                <w:rFonts w:ascii="Cambria Math" w:hAnsi="Cambria Math" w:cs="Cambria Math"/>
                              </w:rPr>
                              <w:t>𝑣𝑖</w:t>
                            </w:r>
                            <w:r w:rsidRPr="001E31D3">
                              <w:t xml:space="preserve"> is a stochastic term. It is assumed to be uncorrelated with </w:t>
                            </w:r>
                            <w:r w:rsidRPr="001E31D3">
                              <w:rPr>
                                <w:rFonts w:ascii="Cambria Math" w:hAnsi="Cambria Math" w:cs="Cambria Math"/>
                              </w:rPr>
                              <w:t>𝐻𝑖</w:t>
                            </w:r>
                            <w:r w:rsidRPr="001E31D3">
                              <w:t>. Being modelled as a production function, it is assumed that each of these factors makes a positive contribution to the individual’s competence level and that the educational inputs are cumulative – past inputs affect current competence levels. It should be noted that there are likely to be interaction effects between the independent variables; for example educational attainment is likely to interact with individual ability (OECD 2013b: 118). This could be included in a more comprehensive model deviating from this educational production function. Figure 5.3 below presents this model graphically.</w:t>
                            </w:r>
                          </w:p>
                          <w:p w:rsidR="00394EBA" w:rsidRPr="001E31D3" w:rsidRDefault="00394EBA" w:rsidP="002D4694">
                            <w:pPr>
                              <w:pStyle w:val="BodyText"/>
                              <w:spacing w:line="288" w:lineRule="auto"/>
                              <w:rPr>
                                <w:rFonts w:cs="Arial"/>
                                <w:sz w:val="16"/>
                                <w:szCs w:val="16"/>
                              </w:rPr>
                            </w:pPr>
                          </w:p>
                        </w:txbxContent>
                      </wps:txbx>
                      <wps:bodyPr rot="0" vert="horz" wrap="square" lIns="274320" tIns="274320" rIns="274320" bIns="274320" anchor="ctr" anchorCtr="0">
                        <a:noAutofit/>
                      </wps:bodyPr>
                    </wps:wsp>
                  </a:graphicData>
                </a:graphic>
              </wp:inline>
            </w:drawing>
          </mc:Choice>
          <mc:Fallback>
            <w:pict>
              <v:rect w14:anchorId="752CDAC5" id="_x0000_s1044" style="width:439.35pt;height:447.0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" fillcolor="#d8d8d8 [2732]" strokecolor="gray [1629]" strokeweight="1.5pt">
                <v:shadow on="t" type="perspective" color="black" opacity="26214f" origin="-.5,-.5" offset=".74836mm,.74836mm" matrix="65864f,,,65864f"/>
                <v:textbox inset="21.6pt,21.6pt,21.6pt,21.6pt">
                  <w:txbxContent>
                    <w:p w:rsidR="00394EBA" w:rsidRPr="002D4694" w:rsidRDefault="00394EBA" w:rsidP="002D4694">
                      <w:pPr>
                        <w:pStyle w:val="Heading3"/>
                        <w:shd w:val="clear" w:color="auto" w:fill="D9D9D9" w:themeFill="background1" w:themeFillShade="D9"/>
                        <w:spacing w:before="0" w:after="120" w:line="288" w:lineRule="auto"/>
                        <w:jc w:val="center"/>
                        <w:rPr>
                          <w:szCs w:val="20"/>
                          <w:shd w:val="clear" w:color="auto" w:fill="D9D9D9" w:themeFill="background1" w:themeFillShade="D9"/>
                        </w:rPr>
                      </w:pPr>
                      <w:bookmarkStart w:id="152" w:name="_Toc435620169"/>
                      <w:bookmarkStart w:id="153" w:name="_Toc435802090"/>
                      <w:r>
                        <w:rPr>
                          <w:szCs w:val="20"/>
                          <w:shd w:val="clear" w:color="auto" w:fill="D9D9D9" w:themeFill="background1" w:themeFillShade="D9"/>
                        </w:rPr>
                        <w:t>Theoretical model: competence production function</w:t>
                      </w:r>
                      <w:bookmarkEnd w:id="152"/>
                      <w:bookmarkEnd w:id="153"/>
                    </w:p>
                    <w:p w:rsidR="00394EBA" w:rsidRPr="001E31D3" w:rsidRDefault="00394EBA" w:rsidP="002D4694">
                      <w:pPr>
                        <w:pStyle w:val="BodyText"/>
                        <w:spacing w:line="288" w:lineRule="auto"/>
                      </w:pPr>
                      <w:r w:rsidRPr="001E31D3">
                        <w:t>This study uses a competence production function to model the relationship between educational attainment and competences in theory. The model is based in the literature on educational production functions which relate inputs to education (e.g. individual characteristics, schools, teacher and curricular characteristics) to outputs of the educational process (e.g. individual attainment, individual cognitive achievement, competences) (Hanushek 2008). Some of these inputs can be controlled by policy makers (e.g. school inputs, teacher quality, teaching content), while other inputs are non-controllable, such as individual ability, friends and family (Hanushek 2008: 3). Modelling this function is relatively straightforward and specified by Hanushek et al (2015) as follows:</w:t>
                      </w:r>
                    </w:p>
                    <w:p w:rsidR="00394EBA" w:rsidRPr="001E31D3" w:rsidRDefault="00394EBA" w:rsidP="00F90C88">
                      <w:pPr>
                        <w:pStyle w:val="ListParagraph"/>
                        <w:numPr>
                          <w:ilvl w:val="0"/>
                          <w:numId w:val="33"/>
                        </w:numPr>
                        <w:autoSpaceDE w:val="0"/>
                        <w:autoSpaceDN w:val="0"/>
                        <w:adjustRightInd w:val="0"/>
                        <w:spacing w:after="120" w:line="288" w:lineRule="auto"/>
                        <w:contextualSpacing/>
                        <w:jc w:val="center"/>
                        <w:rPr>
                          <w:rFonts w:ascii="Cambria Math" w:hAnsi="Cambria Math" w:cs="Cambria Math"/>
                          <w:sz w:val="16"/>
                          <w:szCs w:val="16"/>
                        </w:rPr>
                      </w:pPr>
                      <w:r w:rsidRPr="001E31D3">
                        <w:rPr>
                          <w:rFonts w:ascii="Cambria Math" w:hAnsi="Cambria Math" w:cs="Cambria Math"/>
                        </w:rPr>
                        <w:t>ln⁡(𝐻</w:t>
                      </w:r>
                      <w:r w:rsidRPr="001E31D3">
                        <w:rPr>
                          <w:rFonts w:ascii="Cambria Math" w:hAnsi="Cambria Math" w:cs="Cambria Math"/>
                          <w:sz w:val="16"/>
                          <w:szCs w:val="16"/>
                        </w:rPr>
                        <w:t>𝑖</w:t>
                      </w:r>
                      <w:r w:rsidRPr="001E31D3">
                        <w:rPr>
                          <w:rFonts w:ascii="Cambria Math" w:hAnsi="Cambria Math" w:cs="Cambria Math"/>
                        </w:rPr>
                        <w:t>)=𝛼𝑄(𝑠</w:t>
                      </w:r>
                      <w:r w:rsidRPr="001E31D3">
                        <w:rPr>
                          <w:rFonts w:ascii="Cambria Math" w:hAnsi="Cambria Math" w:cs="Cambria Math"/>
                          <w:sz w:val="16"/>
                          <w:szCs w:val="16"/>
                        </w:rPr>
                        <w:t>𝑖</w:t>
                      </w:r>
                      <w:r w:rsidRPr="001E31D3">
                        <w:rPr>
                          <w:rFonts w:ascii="Cambria Math" w:hAnsi="Cambria Math" w:cs="Cambria Math"/>
                        </w:rPr>
                        <w:t>)+𝛾𝐹</w:t>
                      </w:r>
                      <w:r w:rsidRPr="001E31D3">
                        <w:rPr>
                          <w:rFonts w:ascii="Cambria Math" w:hAnsi="Cambria Math" w:cs="Cambria Math"/>
                          <w:sz w:val="16"/>
                          <w:szCs w:val="16"/>
                        </w:rPr>
                        <w:t>𝑖</w:t>
                      </w:r>
                      <w:r w:rsidRPr="001E31D3">
                        <w:rPr>
                          <w:rFonts w:ascii="Cambria Math" w:hAnsi="Cambria Math" w:cs="Cambria Math"/>
                        </w:rPr>
                        <w:t>+𝛿𝐴</w:t>
                      </w:r>
                      <w:r w:rsidRPr="001E31D3">
                        <w:rPr>
                          <w:rFonts w:ascii="Cambria Math" w:hAnsi="Cambria Math" w:cs="Cambria Math"/>
                          <w:sz w:val="16"/>
                          <w:szCs w:val="16"/>
                        </w:rPr>
                        <w:t>𝑖</w:t>
                      </w:r>
                      <w:r w:rsidRPr="001E31D3">
                        <w:rPr>
                          <w:rFonts w:ascii="Cambria Math" w:hAnsi="Cambria Math" w:cs="Cambria Math"/>
                        </w:rPr>
                        <w:t>+𝜑𝑋</w:t>
                      </w:r>
                      <w:r w:rsidRPr="001E31D3">
                        <w:rPr>
                          <w:rFonts w:ascii="Cambria Math" w:hAnsi="Cambria Math" w:cs="Cambria Math"/>
                          <w:sz w:val="16"/>
                          <w:szCs w:val="16"/>
                        </w:rPr>
                        <w:t>𝑖</w:t>
                      </w:r>
                      <w:r w:rsidRPr="001E31D3">
                        <w:rPr>
                          <w:rFonts w:ascii="Cambria Math" w:hAnsi="Cambria Math" w:cs="Cambria Math"/>
                        </w:rPr>
                        <w:t>+𝑣</w:t>
                      </w:r>
                      <w:r w:rsidRPr="001E31D3">
                        <w:rPr>
                          <w:rFonts w:ascii="Cambria Math" w:hAnsi="Cambria Math" w:cs="Cambria Math"/>
                          <w:sz w:val="16"/>
                          <w:szCs w:val="16"/>
                        </w:rPr>
                        <w:t>𝑖</w:t>
                      </w:r>
                    </w:p>
                    <w:p w:rsidR="00394EBA" w:rsidRPr="001E31D3" w:rsidRDefault="00394EBA" w:rsidP="002D4694">
                      <w:pPr>
                        <w:pStyle w:val="BodyText"/>
                        <w:spacing w:line="288" w:lineRule="auto"/>
                      </w:pPr>
                      <w:r w:rsidRPr="001E31D3">
                        <w:t xml:space="preserve">Specified in this way, </w:t>
                      </w:r>
                      <w:r w:rsidRPr="001E31D3">
                        <w:rPr>
                          <w:rFonts w:ascii="Cambria Math" w:hAnsi="Cambria Math" w:cs="Cambria Math"/>
                        </w:rPr>
                        <w:t>𝐻𝑖</w:t>
                      </w:r>
                      <w:r w:rsidRPr="001E31D3">
                        <w:t xml:space="preserve"> are the competences of an individual i, Q(</w:t>
                      </w:r>
                      <w:r w:rsidRPr="001E31D3">
                        <w:rPr>
                          <w:rFonts w:ascii="Cambria Math" w:hAnsi="Cambria Math" w:cs="Cambria Math"/>
                        </w:rPr>
                        <w:t>𝑆𝑖</w:t>
                      </w:r>
                      <w:r w:rsidRPr="001E31D3">
                        <w:t xml:space="preserve">) is a function of school inputs and </w:t>
                      </w:r>
                      <w:r w:rsidRPr="001E31D3">
                        <w:rPr>
                          <w:rFonts w:ascii="Cambria Math" w:hAnsi="Cambria Math" w:cs="Cambria Math"/>
                        </w:rPr>
                        <w:t>𝑆𝑖</w:t>
                      </w:r>
                      <w:r w:rsidRPr="001E31D3">
                        <w:t xml:space="preserve"> is individual educational attainment, </w:t>
                      </w:r>
                      <w:r w:rsidRPr="001E31D3">
                        <w:rPr>
                          <w:rFonts w:ascii="Cambria Math" w:hAnsi="Cambria Math" w:cs="Cambria Math"/>
                        </w:rPr>
                        <w:t>𝐹𝑖</w:t>
                      </w:r>
                      <w:r w:rsidRPr="001E31D3">
                        <w:t xml:space="preserve"> are family and other socio-demographic inputs, </w:t>
                      </w:r>
                      <w:r w:rsidRPr="001E31D3">
                        <w:rPr>
                          <w:rFonts w:ascii="Cambria Math" w:hAnsi="Cambria Math" w:cs="Cambria Math"/>
                        </w:rPr>
                        <w:t>𝐴𝑖</w:t>
                      </w:r>
                      <w:r w:rsidRPr="001E31D3">
                        <w:t xml:space="preserve"> is individual ability,</w:t>
                      </w:r>
                      <w:r w:rsidRPr="001E31D3">
                        <w:rPr>
                          <w:rFonts w:ascii="Cambria Math" w:hAnsi="Cambria Math" w:cs="Cambria Math"/>
                        </w:rPr>
                        <w:t xml:space="preserve">⁡𝑋𝑖 </w:t>
                      </w:r>
                      <w:r w:rsidRPr="001E31D3">
                        <w:t xml:space="preserve">are other inputs such as labour market experience, while </w:t>
                      </w:r>
                      <w:r w:rsidRPr="001E31D3">
                        <w:rPr>
                          <w:rFonts w:ascii="Cambria Math" w:hAnsi="Cambria Math" w:cs="Cambria Math"/>
                        </w:rPr>
                        <w:t>𝑣𝑖</w:t>
                      </w:r>
                      <w:r w:rsidRPr="001E31D3">
                        <w:t xml:space="preserve"> is a stochastic term. It is assumed to be uncorrelated with </w:t>
                      </w:r>
                      <w:r w:rsidRPr="001E31D3">
                        <w:rPr>
                          <w:rFonts w:ascii="Cambria Math" w:hAnsi="Cambria Math" w:cs="Cambria Math"/>
                        </w:rPr>
                        <w:t>𝐻𝑖</w:t>
                      </w:r>
                      <w:r w:rsidRPr="001E31D3">
                        <w:t>. Being modelled as a production function, it is assumed that each of these factors makes a positive contribution to the individual’s competence level and that the educational inputs are cumulative – past inputs affect current competence levels. It should be noted that there are likely to be interaction effects between the independent variables; for example educational attainment is likely to interact with individual ability (OECD 2013b: 118). This could be included in a more comprehensive model deviating from this educational production function. Figure 5.3 below presents this model graphically.</w:t>
                      </w:r>
                    </w:p>
                    <w:p w:rsidR="00394EBA" w:rsidRPr="001E31D3" w:rsidRDefault="00394EBA" w:rsidP="002D4694">
                      <w:pPr>
                        <w:pStyle w:val="BodyText"/>
                        <w:spacing w:line="288" w:lineRule="auto"/>
                        <w:rPr>
                          <w:rFonts w:cs="Arial"/>
                          <w:sz w:val="16"/>
                          <w:szCs w:val="16"/>
                        </w:rPr>
                      </w:pPr>
                    </w:p>
                  </w:txbxContent>
                </v:textbox>
                <w10:anchorlock/>
              </v:rect>
            </w:pict>
          </mc:Fallback>
        </mc:AlternateContent>
      </w:r>
    </w:p>
    <w:p w:rsidR="002D4694" w:rsidRDefault="002D4694" w:rsidP="00EA2714">
      <w:pPr>
        <w:pStyle w:val="BodyText"/>
        <w:spacing w:line="288" w:lineRule="auto"/>
      </w:pPr>
      <w:r w:rsidRPr="00DA3A94">
        <w:rPr>
          <w:noProof/>
          <w:szCs w:val="20"/>
          <w:lang w:val="en-US" w:eastAsia="en-US"/>
        </w:rPr>
        <mc:AlternateContent>
          <mc:Choice Requires="wps">
            <w:drawing>
              <wp:inline distT="0" distB="0" distL="0" distR="0" wp14:anchorId="0B6CFEC9" wp14:editId="6F772827">
                <wp:extent cx="5580000" cy="8087096"/>
                <wp:effectExtent l="38100" t="38100" r="135255" b="161925"/>
                <wp:docPr id="291"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8087096"/>
                        </a:xfrm>
                        <a:prstGeom prst="rect">
                          <a:avLst/>
                        </a:prstGeom>
                        <a:solidFill>
                          <a:schemeClr val="bg1">
                            <a:lumMod val="85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2D4694" w:rsidRDefault="00394EBA" w:rsidP="002D4694">
                            <w:pPr>
                              <w:pStyle w:val="Heading3"/>
                              <w:shd w:val="clear" w:color="auto" w:fill="D9D9D9" w:themeFill="background1" w:themeFillShade="D9"/>
                              <w:spacing w:before="0" w:after="120" w:line="288" w:lineRule="auto"/>
                              <w:jc w:val="center"/>
                              <w:rPr>
                                <w:i/>
                                <w:szCs w:val="20"/>
                                <w:shd w:val="clear" w:color="auto" w:fill="D9D9D9" w:themeFill="background1" w:themeFillShade="D9"/>
                              </w:rPr>
                            </w:pPr>
                            <w:bookmarkStart w:id="135" w:name="_Toc435620170"/>
                            <w:bookmarkStart w:id="136" w:name="_Toc435802091"/>
                            <w:r>
                              <w:rPr>
                                <w:szCs w:val="20"/>
                                <w:shd w:val="clear" w:color="auto" w:fill="D9D9D9" w:themeFill="background1" w:themeFillShade="D9"/>
                              </w:rPr>
                              <w:t xml:space="preserve">Theoretical model – competence production function </w:t>
                            </w:r>
                            <w:r w:rsidRPr="002D4694">
                              <w:rPr>
                                <w:i/>
                                <w:szCs w:val="20"/>
                                <w:shd w:val="clear" w:color="auto" w:fill="D9D9D9" w:themeFill="background1" w:themeFillShade="D9"/>
                              </w:rPr>
                              <w:t>(continued)</w:t>
                            </w:r>
                            <w:bookmarkEnd w:id="135"/>
                            <w:bookmarkEnd w:id="136"/>
                          </w:p>
                          <w:p w:rsidR="00394EBA" w:rsidRPr="00DA2387" w:rsidRDefault="00394EBA" w:rsidP="002D4694">
                            <w:pPr>
                              <w:pStyle w:val="Caption"/>
                              <w:jc w:val="left"/>
                              <w:rPr>
                                <w:rFonts w:ascii="Verdana" w:hAnsi="Verdana"/>
                                <w:b w:val="0"/>
                                <w:color w:val="1F497D" w:themeColor="text2"/>
                                <w:sz w:val="20"/>
                              </w:rPr>
                            </w:pPr>
                            <w:r w:rsidRPr="00DA2387">
                              <w:rPr>
                                <w:rFonts w:ascii="Verdana" w:hAnsi="Verdana"/>
                                <w:b w:val="0"/>
                                <w:color w:val="1F497D" w:themeColor="text2"/>
                                <w:sz w:val="20"/>
                              </w:rPr>
                              <w:t xml:space="preserve">Figure </w:t>
                            </w:r>
                            <w:r>
                              <w:rPr>
                                <w:rFonts w:ascii="Verdana" w:hAnsi="Verdana"/>
                                <w:b w:val="0"/>
                                <w:color w:val="1F497D" w:themeColor="text2"/>
                                <w:sz w:val="20"/>
                              </w:rPr>
                              <w:t>5.3 – Graphical presentation of equation one</w:t>
                            </w:r>
                          </w:p>
                          <w:p w:rsidR="00394EBA" w:rsidRDefault="00394EBA" w:rsidP="002D4694">
                            <w:pPr>
                              <w:jc w:val="center"/>
                            </w:pPr>
                            <w:r>
                              <w:object w:dxaOrig="7596" w:dyaOrig="2540">
                                <v:shape id="_x0000_i1027" type="#_x0000_t75" style="width:379.4pt;height:127.5pt">
                                  <v:imagedata r:id="rId40" o:title=""/>
                                </v:shape>
                                <o:OLEObject Type="Embed" ProgID="Visio.Drawing.11" ShapeID="_x0000_i1027" DrawAspect="Content" ObjectID="_1802864922" r:id="rId41"/>
                              </w:object>
                            </w:r>
                          </w:p>
                          <w:p w:rsidR="00394EBA" w:rsidRDefault="00394EBA" w:rsidP="002D4694">
                            <w:pPr>
                              <w:pStyle w:val="BodyText"/>
                              <w:spacing w:line="288" w:lineRule="auto"/>
                            </w:pPr>
                          </w:p>
                          <w:p w:rsidR="00394EBA" w:rsidRPr="0049007F" w:rsidRDefault="00394EBA" w:rsidP="002D4694">
                            <w:pPr>
                              <w:keepNext/>
                              <w:spacing w:after="120" w:line="288" w:lineRule="auto"/>
                              <w:rPr>
                                <w:rFonts w:cs="Arial"/>
                                <w:i/>
                                <w:sz w:val="16"/>
                                <w:szCs w:val="16"/>
                              </w:rPr>
                            </w:pPr>
                            <w:r w:rsidRPr="0049007F">
                              <w:rPr>
                                <w:rFonts w:cs="Arial"/>
                                <w:i/>
                                <w:sz w:val="16"/>
                                <w:szCs w:val="16"/>
                              </w:rPr>
                              <w:t>Notes: own illustration</w:t>
                            </w:r>
                          </w:p>
                          <w:p w:rsidR="00394EBA" w:rsidRPr="001E31D3" w:rsidRDefault="00394EBA" w:rsidP="002D4694">
                            <w:pPr>
                              <w:pStyle w:val="BodyText"/>
                              <w:spacing w:line="288" w:lineRule="auto"/>
                            </w:pPr>
                            <w:r w:rsidRPr="001E31D3">
                              <w:t>Additionally, this study hypothesises that the strength of the relationship between formal educational attainment and competences varies across countries based on a number of country level characteristics, implying effects at two levels:</w:t>
                            </w:r>
                          </w:p>
                          <w:p w:rsidR="00394EBA" w:rsidRPr="001E31D3" w:rsidRDefault="00394EBA" w:rsidP="00FA0136">
                            <w:pPr>
                              <w:pStyle w:val="ListParagraph"/>
                              <w:numPr>
                                <w:ilvl w:val="0"/>
                                <w:numId w:val="29"/>
                              </w:numPr>
                              <w:autoSpaceDE w:val="0"/>
                              <w:autoSpaceDN w:val="0"/>
                              <w:adjustRightInd w:val="0"/>
                              <w:spacing w:after="120" w:line="288" w:lineRule="auto"/>
                              <w:contextualSpacing/>
                              <w:jc w:val="center"/>
                              <w:rPr>
                                <w:rFonts w:ascii="Cambria Math" w:hAnsi="Cambria Math" w:cs="Cambria Math"/>
                                <w:sz w:val="16"/>
                                <w:szCs w:val="16"/>
                              </w:rPr>
                            </w:pPr>
                            <w:r w:rsidRPr="001E31D3">
                              <w:rPr>
                                <w:rFonts w:ascii="Cambria Math" w:hAnsi="Cambria Math" w:cs="Cambria Math"/>
                              </w:rPr>
                              <w:t>ln⁡(𝐻</w:t>
                            </w:r>
                            <w:r w:rsidRPr="001E31D3">
                              <w:rPr>
                                <w:rFonts w:ascii="Cambria Math" w:hAnsi="Cambria Math" w:cs="Cambria Math"/>
                                <w:sz w:val="16"/>
                                <w:szCs w:val="16"/>
                              </w:rPr>
                              <w:t>𝑖,𝑗</w:t>
                            </w:r>
                            <w:r w:rsidRPr="001E31D3">
                              <w:rPr>
                                <w:rFonts w:ascii="Cambria Math" w:hAnsi="Cambria Math" w:cs="Cambria Math"/>
                              </w:rPr>
                              <w:t>)=𝛼𝑄(𝑠</w:t>
                            </w:r>
                            <w:r w:rsidRPr="001E31D3">
                              <w:rPr>
                                <w:rFonts w:ascii="Cambria Math" w:hAnsi="Cambria Math" w:cs="Cambria Math"/>
                                <w:sz w:val="16"/>
                                <w:szCs w:val="16"/>
                              </w:rPr>
                              <w:t>𝑖,𝑗</w:t>
                            </w:r>
                            <w:r w:rsidRPr="001E31D3">
                              <w:rPr>
                                <w:rFonts w:ascii="Cambria Math" w:hAnsi="Cambria Math" w:cs="Cambria Math"/>
                              </w:rPr>
                              <w:t>)+𝛾𝐹</w:t>
                            </w:r>
                            <w:r w:rsidRPr="001E31D3">
                              <w:rPr>
                                <w:rFonts w:ascii="Cambria Math" w:hAnsi="Cambria Math" w:cs="Cambria Math"/>
                                <w:sz w:val="16"/>
                                <w:szCs w:val="16"/>
                              </w:rPr>
                              <w:t>𝑖,𝑗</w:t>
                            </w:r>
                            <w:r w:rsidRPr="001E31D3">
                              <w:rPr>
                                <w:rFonts w:ascii="Cambria Math" w:hAnsi="Cambria Math" w:cs="Cambria Math"/>
                              </w:rPr>
                              <w:t>+𝛿𝐴</w:t>
                            </w:r>
                            <w:r w:rsidRPr="001E31D3">
                              <w:rPr>
                                <w:rFonts w:ascii="Cambria Math" w:hAnsi="Cambria Math" w:cs="Cambria Math"/>
                                <w:sz w:val="16"/>
                                <w:szCs w:val="16"/>
                              </w:rPr>
                              <w:t>𝑖,𝑗</w:t>
                            </w:r>
                            <w:r w:rsidRPr="001E31D3">
                              <w:rPr>
                                <w:rFonts w:ascii="Cambria Math" w:hAnsi="Cambria Math" w:cs="Cambria Math"/>
                              </w:rPr>
                              <w:t>+𝜑𝑋</w:t>
                            </w:r>
                            <w:r w:rsidRPr="001E31D3">
                              <w:rPr>
                                <w:rFonts w:ascii="Cambria Math" w:hAnsi="Cambria Math" w:cs="Cambria Math"/>
                                <w:sz w:val="16"/>
                                <w:szCs w:val="16"/>
                              </w:rPr>
                              <w:t>𝑖,𝑗</w:t>
                            </w:r>
                            <w:r w:rsidRPr="001E31D3">
                              <w:rPr>
                                <w:rFonts w:ascii="Cambria Math" w:hAnsi="Cambria Math" w:cs="Cambria Math"/>
                              </w:rPr>
                              <w:t>+𝐶</w:t>
                            </w:r>
                            <w:r w:rsidRPr="001E31D3">
                              <w:rPr>
                                <w:rFonts w:ascii="Cambria Math" w:hAnsi="Cambria Math" w:cs="Cambria Math"/>
                                <w:sz w:val="16"/>
                                <w:szCs w:val="16"/>
                              </w:rPr>
                              <w:t>𝑗</w:t>
                            </w:r>
                            <w:r w:rsidRPr="001E31D3">
                              <w:rPr>
                                <w:rFonts w:ascii="Cambria Math" w:hAnsi="Cambria Math" w:cs="Cambria Math"/>
                              </w:rPr>
                              <w:t>+𝑣</w:t>
                            </w:r>
                            <w:r w:rsidRPr="001E31D3">
                              <w:rPr>
                                <w:rFonts w:ascii="Cambria Math" w:hAnsi="Cambria Math" w:cs="Cambria Math"/>
                                <w:sz w:val="16"/>
                                <w:szCs w:val="16"/>
                              </w:rPr>
                              <w:t>𝑖,𝑗</w:t>
                            </w:r>
                          </w:p>
                          <w:p w:rsidR="00394EBA" w:rsidRPr="001E31D3" w:rsidRDefault="00394EBA" w:rsidP="002D4694">
                            <w:pPr>
                              <w:spacing w:after="120" w:line="288" w:lineRule="auto"/>
                            </w:pPr>
                            <w:r w:rsidRPr="001E31D3">
                              <w:t>Here, the competences of an individual i in country j are determined by the factors as specified above and additionally by a set of country-level factors Cj, which are fixed across individuals in country j. Figure 5.4 below illustrates this model graphically.</w:t>
                            </w:r>
                          </w:p>
                          <w:p w:rsidR="00394EBA" w:rsidRPr="00DA2387" w:rsidRDefault="00394EBA" w:rsidP="002D4694">
                            <w:pPr>
                              <w:pStyle w:val="Caption"/>
                              <w:jc w:val="left"/>
                              <w:rPr>
                                <w:rFonts w:ascii="Verdana" w:hAnsi="Verdana"/>
                                <w:b w:val="0"/>
                                <w:color w:val="1F497D" w:themeColor="text2"/>
                                <w:sz w:val="20"/>
                              </w:rPr>
                            </w:pPr>
                            <w:r w:rsidRPr="00DA2387">
                              <w:rPr>
                                <w:rFonts w:ascii="Verdana" w:hAnsi="Verdana"/>
                                <w:b w:val="0"/>
                                <w:color w:val="1F497D" w:themeColor="text2"/>
                                <w:sz w:val="20"/>
                              </w:rPr>
                              <w:t xml:space="preserve">Figure </w:t>
                            </w:r>
                            <w:r>
                              <w:rPr>
                                <w:rFonts w:ascii="Verdana" w:hAnsi="Verdana"/>
                                <w:b w:val="0"/>
                                <w:color w:val="1F497D" w:themeColor="text2"/>
                                <w:sz w:val="20"/>
                              </w:rPr>
                              <w:t>5.4 – Graphical presentation of equation two</w:t>
                            </w:r>
                          </w:p>
                          <w:p w:rsidR="00394EBA" w:rsidRPr="001F4369" w:rsidRDefault="00394EBA" w:rsidP="002D4694">
                            <w:pPr>
                              <w:autoSpaceDE w:val="0"/>
                              <w:autoSpaceDN w:val="0"/>
                              <w:adjustRightInd w:val="0"/>
                              <w:spacing w:line="288" w:lineRule="auto"/>
                              <w:rPr>
                                <w:rFonts w:ascii="Calibri" w:eastAsiaTheme="minorEastAsia" w:hAnsi="Calibri" w:cs="Calibri"/>
                                <w:color w:val="000000"/>
                                <w:sz w:val="16"/>
                                <w:szCs w:val="16"/>
                              </w:rPr>
                            </w:pPr>
                          </w:p>
                          <w:p w:rsidR="00394EBA" w:rsidRDefault="00394EBA" w:rsidP="002D4694">
                            <w:pPr>
                              <w:spacing w:after="120" w:line="288" w:lineRule="auto"/>
                            </w:pPr>
                            <w:r>
                              <w:object w:dxaOrig="9155" w:dyaOrig="2540">
                                <v:shape id="_x0000_i1029" type="#_x0000_t75" style="width:438.5pt;height:127.15pt">
                                  <v:imagedata r:id="rId42" o:title=""/>
                                </v:shape>
                                <o:OLEObject Type="Embed" ProgID="Visio.Drawing.11" ShapeID="_x0000_i1029" DrawAspect="Content" ObjectID="_1802864923" r:id="rId43"/>
                              </w:object>
                            </w:r>
                          </w:p>
                          <w:p w:rsidR="00394EBA" w:rsidRPr="0049007F" w:rsidRDefault="00394EBA" w:rsidP="002D4694">
                            <w:pPr>
                              <w:keepNext/>
                              <w:spacing w:after="120" w:line="288" w:lineRule="auto"/>
                              <w:rPr>
                                <w:rFonts w:cs="Arial"/>
                                <w:i/>
                                <w:sz w:val="16"/>
                                <w:szCs w:val="16"/>
                              </w:rPr>
                            </w:pPr>
                            <w:r w:rsidRPr="0049007F">
                              <w:rPr>
                                <w:rFonts w:cs="Arial"/>
                                <w:i/>
                                <w:sz w:val="16"/>
                                <w:szCs w:val="16"/>
                              </w:rPr>
                              <w:t>Notes: own illustration</w:t>
                            </w:r>
                          </w:p>
                          <w:p w:rsidR="00394EBA" w:rsidRPr="00533615" w:rsidRDefault="00394EBA" w:rsidP="00533615">
                            <w:pPr>
                              <w:pStyle w:val="Heading3"/>
                            </w:pPr>
                            <w:bookmarkStart w:id="137" w:name="_Toc432873769"/>
                            <w:bookmarkStart w:id="138" w:name="_Toc435620171"/>
                            <w:bookmarkStart w:id="139" w:name="_Toc435802092"/>
                            <w:r w:rsidRPr="001E31D3">
                              <w:rPr>
                                <w:b w:val="0"/>
                                <w:color w:val="333333"/>
                              </w:rPr>
                              <w:t>In both models, we are interested in the</w:t>
                            </w:r>
                            <w:r w:rsidRPr="001E31D3">
                              <w:rPr>
                                <w:color w:val="333333"/>
                              </w:rPr>
                              <w:t xml:space="preserve"> </w:t>
                            </w:r>
                            <w:r w:rsidRPr="00DA2387">
                              <w:rPr>
                                <w:color w:val="1F497D" w:themeColor="text2"/>
                              </w:rPr>
                              <w:t xml:space="preserve">coefficient </w:t>
                            </w:r>
                            <w:r w:rsidRPr="00DA2387">
                              <w:rPr>
                                <w:rFonts w:ascii="Cambria Math" w:hAnsi="Cambria Math"/>
                                <w:color w:val="1F497D" w:themeColor="text2"/>
                              </w:rPr>
                              <w:t>𝛼</w:t>
                            </w:r>
                            <w:r>
                              <w:rPr>
                                <w:color w:val="1F497D" w:themeColor="text2"/>
                              </w:rPr>
                              <w:t xml:space="preserve"> – the ‘</w:t>
                            </w:r>
                            <w:r w:rsidRPr="00DA2387">
                              <w:rPr>
                                <w:color w:val="1F497D" w:themeColor="text2"/>
                              </w:rPr>
                              <w:t xml:space="preserve">competence </w:t>
                            </w:r>
                            <w:r>
                              <w:rPr>
                                <w:color w:val="1F497D" w:themeColor="text2"/>
                              </w:rPr>
                              <w:t>difference</w:t>
                            </w:r>
                            <w:r w:rsidRPr="00DA2387">
                              <w:rPr>
                                <w:color w:val="1F497D" w:themeColor="text2"/>
                              </w:rPr>
                              <w:t xml:space="preserve"> b</w:t>
                            </w:r>
                            <w:r>
                              <w:rPr>
                                <w:color w:val="1F497D" w:themeColor="text2"/>
                              </w:rPr>
                              <w:t>etween qualification levels’</w:t>
                            </w:r>
                            <w:r w:rsidRPr="00DA2387">
                              <w:rPr>
                                <w:color w:val="1F497D" w:themeColor="text2"/>
                              </w:rPr>
                              <w:t>.</w:t>
                            </w:r>
                            <w:bookmarkEnd w:id="137"/>
                            <w:bookmarkEnd w:id="138"/>
                            <w:bookmarkEnd w:id="139"/>
                          </w:p>
                        </w:txbxContent>
                      </wps:txbx>
                      <wps:bodyPr rot="0" vert="horz" wrap="square" lIns="274320" tIns="274320" rIns="274320" bIns="274320" anchor="ctr" anchorCtr="0">
                        <a:noAutofit/>
                      </wps:bodyPr>
                    </wps:wsp>
                  </a:graphicData>
                </a:graphic>
              </wp:inline>
            </w:drawing>
          </mc:Choice>
          <mc:Fallback>
            <w:pict>
              <v:rect w14:anchorId="0B6CFEC9" id="_x0000_s1045" style="width:439.35pt;height:636.8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" fillcolor="#d8d8d8 [2732]" strokecolor="gray [1629]" strokeweight="1.5pt">
                <v:shadow on="t" type="perspective" color="black" opacity="26214f" origin="-.5,-.5" offset=".74836mm,.74836mm" matrix="65864f,,,65864f"/>
                <v:textbox inset="21.6pt,21.6pt,21.6pt,21.6pt">
                  <w:txbxContent>
                    <w:p w:rsidR="00394EBA" w:rsidRPr="002D4694" w:rsidRDefault="00394EBA" w:rsidP="002D4694">
                      <w:pPr>
                        <w:pStyle w:val="Heading3"/>
                        <w:shd w:val="clear" w:color="auto" w:fill="D9D9D9" w:themeFill="background1" w:themeFillShade="D9"/>
                        <w:spacing w:before="0" w:after="120" w:line="288" w:lineRule="auto"/>
                        <w:jc w:val="center"/>
                        <w:rPr>
                          <w:i/>
                          <w:szCs w:val="20"/>
                          <w:shd w:val="clear" w:color="auto" w:fill="D9D9D9" w:themeFill="background1" w:themeFillShade="D9"/>
                        </w:rPr>
                      </w:pPr>
                      <w:bookmarkStart w:id="159" w:name="_Toc435620170"/>
                      <w:bookmarkStart w:id="160" w:name="_Toc435802091"/>
                      <w:r>
                        <w:rPr>
                          <w:szCs w:val="20"/>
                          <w:shd w:val="clear" w:color="auto" w:fill="D9D9D9" w:themeFill="background1" w:themeFillShade="D9"/>
                        </w:rPr>
                        <w:t xml:space="preserve">Theoretical model – competence production function </w:t>
                      </w:r>
                      <w:r w:rsidRPr="002D4694">
                        <w:rPr>
                          <w:i/>
                          <w:szCs w:val="20"/>
                          <w:shd w:val="clear" w:color="auto" w:fill="D9D9D9" w:themeFill="background1" w:themeFillShade="D9"/>
                        </w:rPr>
                        <w:t>(continued)</w:t>
                      </w:r>
                      <w:bookmarkEnd w:id="159"/>
                      <w:bookmarkEnd w:id="160"/>
                    </w:p>
                    <w:p w:rsidR="00394EBA" w:rsidRPr="00DA2387" w:rsidRDefault="00394EBA" w:rsidP="002D4694">
                      <w:pPr>
                        <w:pStyle w:val="Caption"/>
                        <w:jc w:val="left"/>
                        <w:rPr>
                          <w:rFonts w:ascii="Verdana" w:hAnsi="Verdana"/>
                          <w:b w:val="0"/>
                          <w:color w:val="1F497D" w:themeColor="text2"/>
                          <w:sz w:val="20"/>
                        </w:rPr>
                      </w:pPr>
                      <w:r w:rsidRPr="00DA2387">
                        <w:rPr>
                          <w:rFonts w:ascii="Verdana" w:hAnsi="Verdana"/>
                          <w:b w:val="0"/>
                          <w:color w:val="1F497D" w:themeColor="text2"/>
                          <w:sz w:val="20"/>
                        </w:rPr>
                        <w:t xml:space="preserve">Figure </w:t>
                      </w:r>
                      <w:r>
                        <w:rPr>
                          <w:rFonts w:ascii="Verdana" w:hAnsi="Verdana"/>
                          <w:b w:val="0"/>
                          <w:color w:val="1F497D" w:themeColor="text2"/>
                          <w:sz w:val="20"/>
                        </w:rPr>
                        <w:t>5.3 – Graphical presentation of equation one</w:t>
                      </w:r>
                    </w:p>
                    <w:p w:rsidR="00394EBA" w:rsidRDefault="00394EBA" w:rsidP="002D4694">
                      <w:pPr>
                        <w:jc w:val="center"/>
                      </w:pPr>
                      <w:r>
                        <w:object w:dxaOrig="7596" w:dyaOrig="2540">
                          <v:shape id="_x0000_i1030" type="#_x0000_t75" style="width:379.4pt;height:127.5pt" o:ole="">
                            <v:imagedata r:id="rId44" o:title=""/>
                          </v:shape>
                          <o:OLEObject Type="Embed" ProgID="Visio.Drawing.11" ShapeID="_x0000_i1030" DrawAspect="Content" ObjectID="_1512197303" r:id="rId45"/>
                        </w:object>
                      </w:r>
                    </w:p>
                    <w:p w:rsidR="00394EBA" w:rsidRDefault="00394EBA" w:rsidP="002D4694">
                      <w:pPr>
                        <w:pStyle w:val="BodyText"/>
                        <w:spacing w:line="288" w:lineRule="auto"/>
                      </w:pPr>
                    </w:p>
                    <w:p w:rsidR="00394EBA" w:rsidRPr="0049007F" w:rsidRDefault="00394EBA" w:rsidP="002D4694">
                      <w:pPr>
                        <w:keepNext/>
                        <w:spacing w:after="120" w:line="288" w:lineRule="auto"/>
                        <w:rPr>
                          <w:rFonts w:cs="Arial"/>
                          <w:i/>
                          <w:sz w:val="16"/>
                          <w:szCs w:val="16"/>
                        </w:rPr>
                      </w:pPr>
                      <w:r w:rsidRPr="0049007F">
                        <w:rPr>
                          <w:rFonts w:cs="Arial"/>
                          <w:i/>
                          <w:sz w:val="16"/>
                          <w:szCs w:val="16"/>
                        </w:rPr>
                        <w:t>Notes: own illustration</w:t>
                      </w:r>
                    </w:p>
                    <w:p w:rsidR="00394EBA" w:rsidRPr="001E31D3" w:rsidRDefault="00394EBA" w:rsidP="002D4694">
                      <w:pPr>
                        <w:pStyle w:val="BodyText"/>
                        <w:spacing w:line="288" w:lineRule="auto"/>
                      </w:pPr>
                      <w:r w:rsidRPr="001E31D3">
                        <w:t>Additionally, this study hypothesises that the strength of the relationship between formal educational attainment and competences varies across countries based on a number of country level characteristics, implying effects at two levels:</w:t>
                      </w:r>
                    </w:p>
                    <w:p w:rsidR="00394EBA" w:rsidRPr="001E31D3" w:rsidRDefault="00394EBA" w:rsidP="00FA0136">
                      <w:pPr>
                        <w:pStyle w:val="ListParagraph"/>
                        <w:numPr>
                          <w:ilvl w:val="0"/>
                          <w:numId w:val="29"/>
                        </w:numPr>
                        <w:autoSpaceDE w:val="0"/>
                        <w:autoSpaceDN w:val="0"/>
                        <w:adjustRightInd w:val="0"/>
                        <w:spacing w:after="120" w:line="288" w:lineRule="auto"/>
                        <w:contextualSpacing/>
                        <w:jc w:val="center"/>
                        <w:rPr>
                          <w:rFonts w:ascii="Cambria Math" w:hAnsi="Cambria Math" w:cs="Cambria Math"/>
                          <w:sz w:val="16"/>
                          <w:szCs w:val="16"/>
                        </w:rPr>
                      </w:pPr>
                      <w:r w:rsidRPr="001E31D3">
                        <w:rPr>
                          <w:rFonts w:ascii="Cambria Math" w:hAnsi="Cambria Math" w:cs="Cambria Math"/>
                        </w:rPr>
                        <w:t>ln⁡(𝐻</w:t>
                      </w:r>
                      <w:r w:rsidRPr="001E31D3">
                        <w:rPr>
                          <w:rFonts w:ascii="Cambria Math" w:hAnsi="Cambria Math" w:cs="Cambria Math"/>
                          <w:sz w:val="16"/>
                          <w:szCs w:val="16"/>
                        </w:rPr>
                        <w:t>𝑖,𝑗</w:t>
                      </w:r>
                      <w:r w:rsidRPr="001E31D3">
                        <w:rPr>
                          <w:rFonts w:ascii="Cambria Math" w:hAnsi="Cambria Math" w:cs="Cambria Math"/>
                        </w:rPr>
                        <w:t>)=𝛼𝑄(𝑠</w:t>
                      </w:r>
                      <w:r w:rsidRPr="001E31D3">
                        <w:rPr>
                          <w:rFonts w:ascii="Cambria Math" w:hAnsi="Cambria Math" w:cs="Cambria Math"/>
                          <w:sz w:val="16"/>
                          <w:szCs w:val="16"/>
                        </w:rPr>
                        <w:t>𝑖,𝑗</w:t>
                      </w:r>
                      <w:r w:rsidRPr="001E31D3">
                        <w:rPr>
                          <w:rFonts w:ascii="Cambria Math" w:hAnsi="Cambria Math" w:cs="Cambria Math"/>
                        </w:rPr>
                        <w:t>)+𝛾𝐹</w:t>
                      </w:r>
                      <w:r w:rsidRPr="001E31D3">
                        <w:rPr>
                          <w:rFonts w:ascii="Cambria Math" w:hAnsi="Cambria Math" w:cs="Cambria Math"/>
                          <w:sz w:val="16"/>
                          <w:szCs w:val="16"/>
                        </w:rPr>
                        <w:t>𝑖,𝑗</w:t>
                      </w:r>
                      <w:r w:rsidRPr="001E31D3">
                        <w:rPr>
                          <w:rFonts w:ascii="Cambria Math" w:hAnsi="Cambria Math" w:cs="Cambria Math"/>
                        </w:rPr>
                        <w:t>+𝛿𝐴</w:t>
                      </w:r>
                      <w:r w:rsidRPr="001E31D3">
                        <w:rPr>
                          <w:rFonts w:ascii="Cambria Math" w:hAnsi="Cambria Math" w:cs="Cambria Math"/>
                          <w:sz w:val="16"/>
                          <w:szCs w:val="16"/>
                        </w:rPr>
                        <w:t>𝑖,𝑗</w:t>
                      </w:r>
                      <w:r w:rsidRPr="001E31D3">
                        <w:rPr>
                          <w:rFonts w:ascii="Cambria Math" w:hAnsi="Cambria Math" w:cs="Cambria Math"/>
                        </w:rPr>
                        <w:t>+𝜑𝑋</w:t>
                      </w:r>
                      <w:r w:rsidRPr="001E31D3">
                        <w:rPr>
                          <w:rFonts w:ascii="Cambria Math" w:hAnsi="Cambria Math" w:cs="Cambria Math"/>
                          <w:sz w:val="16"/>
                          <w:szCs w:val="16"/>
                        </w:rPr>
                        <w:t>𝑖,𝑗</w:t>
                      </w:r>
                      <w:r w:rsidRPr="001E31D3">
                        <w:rPr>
                          <w:rFonts w:ascii="Cambria Math" w:hAnsi="Cambria Math" w:cs="Cambria Math"/>
                        </w:rPr>
                        <w:t>+𝐶</w:t>
                      </w:r>
                      <w:r w:rsidRPr="001E31D3">
                        <w:rPr>
                          <w:rFonts w:ascii="Cambria Math" w:hAnsi="Cambria Math" w:cs="Cambria Math"/>
                          <w:sz w:val="16"/>
                          <w:szCs w:val="16"/>
                        </w:rPr>
                        <w:t>𝑗</w:t>
                      </w:r>
                      <w:r w:rsidRPr="001E31D3">
                        <w:rPr>
                          <w:rFonts w:ascii="Cambria Math" w:hAnsi="Cambria Math" w:cs="Cambria Math"/>
                        </w:rPr>
                        <w:t>+𝑣</w:t>
                      </w:r>
                      <w:r w:rsidRPr="001E31D3">
                        <w:rPr>
                          <w:rFonts w:ascii="Cambria Math" w:hAnsi="Cambria Math" w:cs="Cambria Math"/>
                          <w:sz w:val="16"/>
                          <w:szCs w:val="16"/>
                        </w:rPr>
                        <w:t>𝑖,𝑗</w:t>
                      </w:r>
                    </w:p>
                    <w:p w:rsidR="00394EBA" w:rsidRPr="001E31D3" w:rsidRDefault="00394EBA" w:rsidP="002D4694">
                      <w:pPr>
                        <w:spacing w:after="120" w:line="288" w:lineRule="auto"/>
                      </w:pPr>
                      <w:r w:rsidRPr="001E31D3">
                        <w:t>Here, the competences of an individual i in country j are determined by the factors as specified above and additionally by a set of country-level factors Cj, which are fixed across individuals in country j. Figure 5.4 below illustrates this model graphically.</w:t>
                      </w:r>
                    </w:p>
                    <w:p w:rsidR="00394EBA" w:rsidRPr="00DA2387" w:rsidRDefault="00394EBA" w:rsidP="002D4694">
                      <w:pPr>
                        <w:pStyle w:val="Caption"/>
                        <w:jc w:val="left"/>
                        <w:rPr>
                          <w:rFonts w:ascii="Verdana" w:hAnsi="Verdana"/>
                          <w:b w:val="0"/>
                          <w:color w:val="1F497D" w:themeColor="text2"/>
                          <w:sz w:val="20"/>
                        </w:rPr>
                      </w:pPr>
                      <w:r w:rsidRPr="00DA2387">
                        <w:rPr>
                          <w:rFonts w:ascii="Verdana" w:hAnsi="Verdana"/>
                          <w:b w:val="0"/>
                          <w:color w:val="1F497D" w:themeColor="text2"/>
                          <w:sz w:val="20"/>
                        </w:rPr>
                        <w:t xml:space="preserve">Figure </w:t>
                      </w:r>
                      <w:r>
                        <w:rPr>
                          <w:rFonts w:ascii="Verdana" w:hAnsi="Verdana"/>
                          <w:b w:val="0"/>
                          <w:color w:val="1F497D" w:themeColor="text2"/>
                          <w:sz w:val="20"/>
                        </w:rPr>
                        <w:t>5.4 – Graphical presentation of equation two</w:t>
                      </w:r>
                    </w:p>
                    <w:p w:rsidR="00394EBA" w:rsidRPr="001F4369" w:rsidRDefault="00394EBA" w:rsidP="002D4694">
                      <w:pPr>
                        <w:autoSpaceDE w:val="0"/>
                        <w:autoSpaceDN w:val="0"/>
                        <w:adjustRightInd w:val="0"/>
                        <w:spacing w:line="288" w:lineRule="auto"/>
                        <w:rPr>
                          <w:rFonts w:ascii="Calibri" w:eastAsiaTheme="minorEastAsia" w:hAnsi="Calibri" w:cs="Calibri"/>
                          <w:color w:val="000000"/>
                          <w:sz w:val="16"/>
                          <w:szCs w:val="16"/>
                        </w:rPr>
                      </w:pPr>
                    </w:p>
                    <w:p w:rsidR="00394EBA" w:rsidRDefault="00394EBA" w:rsidP="002D4694">
                      <w:pPr>
                        <w:spacing w:after="120" w:line="288" w:lineRule="auto"/>
                      </w:pPr>
                      <w:r>
                        <w:object w:dxaOrig="9155" w:dyaOrig="2540">
                          <v:shape id="_x0000_i1031" type="#_x0000_t75" style="width:438.5pt;height:127.15pt" o:ole="">
                            <v:imagedata r:id="rId46" o:title=""/>
                          </v:shape>
                          <o:OLEObject Type="Embed" ProgID="Visio.Drawing.11" ShapeID="_x0000_i1031" DrawAspect="Content" ObjectID="_1512197304" r:id="rId47"/>
                        </w:object>
                      </w:r>
                    </w:p>
                    <w:p w:rsidR="00394EBA" w:rsidRPr="0049007F" w:rsidRDefault="00394EBA" w:rsidP="002D4694">
                      <w:pPr>
                        <w:keepNext/>
                        <w:spacing w:after="120" w:line="288" w:lineRule="auto"/>
                        <w:rPr>
                          <w:rFonts w:cs="Arial"/>
                          <w:i/>
                          <w:sz w:val="16"/>
                          <w:szCs w:val="16"/>
                        </w:rPr>
                      </w:pPr>
                      <w:r w:rsidRPr="0049007F">
                        <w:rPr>
                          <w:rFonts w:cs="Arial"/>
                          <w:i/>
                          <w:sz w:val="16"/>
                          <w:szCs w:val="16"/>
                        </w:rPr>
                        <w:t>Notes: own illustration</w:t>
                      </w:r>
                    </w:p>
                    <w:p w:rsidR="00394EBA" w:rsidRPr="00533615" w:rsidRDefault="00394EBA" w:rsidP="00533615">
                      <w:pPr>
                        <w:pStyle w:val="Heading3"/>
                      </w:pPr>
                      <w:bookmarkStart w:id="161" w:name="_Toc432873769"/>
                      <w:bookmarkStart w:id="162" w:name="_Toc435620171"/>
                      <w:bookmarkStart w:id="163" w:name="_Toc435802092"/>
                      <w:r w:rsidRPr="001E31D3">
                        <w:rPr>
                          <w:b w:val="0"/>
                          <w:color w:val="333333"/>
                        </w:rPr>
                        <w:t>In both models, we are interested in the</w:t>
                      </w:r>
                      <w:r w:rsidRPr="001E31D3">
                        <w:rPr>
                          <w:color w:val="333333"/>
                        </w:rPr>
                        <w:t xml:space="preserve"> </w:t>
                      </w:r>
                      <w:r w:rsidRPr="00DA2387">
                        <w:rPr>
                          <w:color w:val="1F497D" w:themeColor="text2"/>
                        </w:rPr>
                        <w:t xml:space="preserve">coefficient </w:t>
                      </w:r>
                      <w:r w:rsidRPr="00DA2387">
                        <w:rPr>
                          <w:rFonts w:ascii="Cambria Math" w:hAnsi="Cambria Math"/>
                          <w:color w:val="1F497D" w:themeColor="text2"/>
                        </w:rPr>
                        <w:t>𝛼</w:t>
                      </w:r>
                      <w:r>
                        <w:rPr>
                          <w:color w:val="1F497D" w:themeColor="text2"/>
                        </w:rPr>
                        <w:t xml:space="preserve"> – the ‘</w:t>
                      </w:r>
                      <w:r w:rsidRPr="00DA2387">
                        <w:rPr>
                          <w:color w:val="1F497D" w:themeColor="text2"/>
                        </w:rPr>
                        <w:t xml:space="preserve">competence </w:t>
                      </w:r>
                      <w:r>
                        <w:rPr>
                          <w:color w:val="1F497D" w:themeColor="text2"/>
                        </w:rPr>
                        <w:t>difference</w:t>
                      </w:r>
                      <w:r w:rsidRPr="00DA2387">
                        <w:rPr>
                          <w:color w:val="1F497D" w:themeColor="text2"/>
                        </w:rPr>
                        <w:t xml:space="preserve"> b</w:t>
                      </w:r>
                      <w:r>
                        <w:rPr>
                          <w:color w:val="1F497D" w:themeColor="text2"/>
                        </w:rPr>
                        <w:t>etween qualification levels’</w:t>
                      </w:r>
                      <w:r w:rsidRPr="00DA2387">
                        <w:rPr>
                          <w:color w:val="1F497D" w:themeColor="text2"/>
                        </w:rPr>
                        <w:t>.</w:t>
                      </w:r>
                      <w:bookmarkEnd w:id="161"/>
                      <w:bookmarkEnd w:id="162"/>
                      <w:bookmarkEnd w:id="163"/>
                    </w:p>
                  </w:txbxContent>
                </v:textbox>
                <w10:anchorlock/>
              </v:rect>
            </w:pict>
          </mc:Fallback>
        </mc:AlternateContent>
      </w:r>
    </w:p>
    <w:p w:rsidR="000E4E30" w:rsidRPr="005936AE" w:rsidRDefault="00673072" w:rsidP="00651009">
      <w:pPr>
        <w:pStyle w:val="Heading3"/>
      </w:pPr>
      <w:bookmarkStart w:id="140" w:name="_Toc427154768"/>
      <w:bookmarkStart w:id="141" w:name="_Toc427232495"/>
      <w:bookmarkStart w:id="142" w:name="_Toc432873770"/>
      <w:r>
        <w:br w:type="page"/>
      </w:r>
      <w:bookmarkStart w:id="143" w:name="_Toc435620172"/>
      <w:bookmarkStart w:id="144" w:name="_Toc435802093"/>
      <w:r w:rsidR="00B664E6">
        <w:t>5.3.2</w:t>
      </w:r>
      <w:r w:rsidR="002D4694">
        <w:t xml:space="preserve"> </w:t>
      </w:r>
      <w:bookmarkEnd w:id="140"/>
      <w:bookmarkEnd w:id="141"/>
      <w:bookmarkEnd w:id="142"/>
      <w:r w:rsidR="000A5580">
        <w:t>The empirical model</w:t>
      </w:r>
      <w:r>
        <w:t>s</w:t>
      </w:r>
      <w:bookmarkEnd w:id="143"/>
      <w:bookmarkEnd w:id="144"/>
    </w:p>
    <w:p w:rsidR="000E4E30" w:rsidRPr="001E31D3" w:rsidRDefault="00EA2714" w:rsidP="000E4E30">
      <w:pPr>
        <w:pStyle w:val="BodyText"/>
        <w:spacing w:line="288" w:lineRule="auto"/>
      </w:pPr>
      <w:r w:rsidRPr="001E31D3">
        <w:t>Following the theoretical model outlined in the box above, t</w:t>
      </w:r>
      <w:r w:rsidR="000E4E30" w:rsidRPr="001E31D3">
        <w:t>he development of the empirical model for the statistical analysis was based on a combinatio</w:t>
      </w:r>
      <w:r w:rsidR="00435A2D" w:rsidRPr="001E31D3">
        <w:t>n of theoretical considerations and</w:t>
      </w:r>
      <w:r w:rsidR="000E4E30" w:rsidRPr="001E31D3">
        <w:t xml:space="preserve"> practical consider</w:t>
      </w:r>
      <w:r w:rsidR="00435A2D" w:rsidRPr="001E31D3">
        <w:t>ations</w:t>
      </w:r>
      <w:r w:rsidR="000E4E30" w:rsidRPr="001E31D3">
        <w:t xml:space="preserve">. </w:t>
      </w:r>
      <w:r w:rsidR="000A5580" w:rsidRPr="001E31D3">
        <w:t>Variables</w:t>
      </w:r>
      <w:r w:rsidR="000E4E30" w:rsidRPr="001E31D3">
        <w:t xml:space="preserve"> included in the final model were selected based on their theoretical and empirical relevance, a limited number of missing values and an absence of conflict with other important variables of interest.</w:t>
      </w:r>
      <w:r w:rsidR="000A5580" w:rsidRPr="001E31D3">
        <w:t xml:space="preserve"> </w:t>
      </w:r>
      <w:r w:rsidR="003D6CAE" w:rsidRPr="001E31D3">
        <w:t xml:space="preserve">An overview of variables considered for the final empirical model </w:t>
      </w:r>
      <w:r w:rsidR="000A5580" w:rsidRPr="001E31D3">
        <w:t xml:space="preserve">can be found in </w:t>
      </w:r>
      <w:r w:rsidR="000A5580" w:rsidRPr="008E4735">
        <w:t>Annex</w:t>
      </w:r>
      <w:r w:rsidR="008E4735" w:rsidRPr="008E4735">
        <w:t xml:space="preserve"> V</w:t>
      </w:r>
      <w:r w:rsidR="003D6CAE" w:rsidRPr="008E4735">
        <w:t>.</w:t>
      </w:r>
    </w:p>
    <w:p w:rsidR="000E4E30" w:rsidRPr="001E31D3" w:rsidRDefault="003D6CAE" w:rsidP="000E4E30">
      <w:pPr>
        <w:autoSpaceDE w:val="0"/>
        <w:autoSpaceDN w:val="0"/>
        <w:adjustRightInd w:val="0"/>
        <w:spacing w:after="120" w:line="288" w:lineRule="auto"/>
        <w:rPr>
          <w:rFonts w:cs="Arial"/>
          <w:szCs w:val="20"/>
        </w:rPr>
      </w:pPr>
      <w:r w:rsidRPr="001E31D3">
        <w:rPr>
          <w:rFonts w:cs="Arial"/>
          <w:szCs w:val="20"/>
        </w:rPr>
        <w:t>T</w:t>
      </w:r>
      <w:r w:rsidR="000E4E30" w:rsidRPr="001E31D3">
        <w:rPr>
          <w:rFonts w:cs="Arial"/>
          <w:szCs w:val="20"/>
        </w:rPr>
        <w:t>he final empirical model for this analysis specifies the relationship between competences and qualification as the following equation:</w:t>
      </w:r>
    </w:p>
    <w:p w:rsidR="003D6CAE" w:rsidRPr="001E31D3" w:rsidRDefault="000E4E30" w:rsidP="00F90C88">
      <w:pPr>
        <w:pStyle w:val="ListParagraph"/>
        <w:numPr>
          <w:ilvl w:val="0"/>
          <w:numId w:val="40"/>
        </w:numPr>
        <w:autoSpaceDE w:val="0"/>
        <w:autoSpaceDN w:val="0"/>
        <w:adjustRightInd w:val="0"/>
        <w:spacing w:after="120" w:line="288" w:lineRule="auto"/>
        <w:contextualSpacing/>
        <w:jc w:val="center"/>
        <w:rPr>
          <w:rFonts w:ascii="Cambria Math" w:hAnsi="Cambria Math" w:cs="Cambria Math"/>
          <w:sz w:val="16"/>
          <w:szCs w:val="16"/>
        </w:rPr>
      </w:pPr>
      <w:r w:rsidRPr="001E31D3">
        <w:rPr>
          <w:rFonts w:ascii="Cambria Math" w:hAnsi="Cambria Math" w:cs="Cambria Math"/>
        </w:rPr>
        <w:t>ln(ℎ</w:t>
      </w:r>
      <w:r w:rsidRPr="001E31D3">
        <w:rPr>
          <w:rFonts w:ascii="Cambria Math" w:hAnsi="Cambria Math" w:cs="Cambria Math"/>
          <w:sz w:val="16"/>
          <w:szCs w:val="16"/>
        </w:rPr>
        <w:t>𝑖,𝑗</w:t>
      </w:r>
      <w:r w:rsidRPr="001E31D3">
        <w:rPr>
          <w:rFonts w:ascii="Cambria Math" w:hAnsi="Cambria Math" w:cs="Cambria Math"/>
        </w:rPr>
        <w:t>)=𝛽</w:t>
      </w:r>
      <w:r w:rsidRPr="001E31D3">
        <w:rPr>
          <w:rFonts w:ascii="Cambria Math" w:hAnsi="Cambria Math" w:cs="Cambria Math"/>
          <w:sz w:val="16"/>
          <w:szCs w:val="16"/>
        </w:rPr>
        <w:t>0</w:t>
      </w:r>
      <w:r w:rsidRPr="001E31D3">
        <w:rPr>
          <w:rFonts w:ascii="Cambria Math" w:hAnsi="Cambria Math" w:cs="Cambria Math"/>
        </w:rPr>
        <w:t>+ß</w:t>
      </w:r>
      <w:r w:rsidRPr="001E31D3">
        <w:rPr>
          <w:rFonts w:ascii="Cambria Math" w:hAnsi="Cambria Math" w:cs="Cambria Math"/>
          <w:sz w:val="16"/>
          <w:szCs w:val="16"/>
        </w:rPr>
        <w:t>1</w:t>
      </w:r>
      <w:r w:rsidRPr="001E31D3">
        <w:rPr>
          <w:rFonts w:ascii="Cambria Math" w:hAnsi="Cambria Math" w:cs="Cambria Math"/>
        </w:rPr>
        <w:t>𝑞</w:t>
      </w:r>
      <w:r w:rsidRPr="001E31D3">
        <w:rPr>
          <w:rFonts w:ascii="Cambria Math" w:hAnsi="Cambria Math" w:cs="Cambria Math"/>
          <w:sz w:val="16"/>
          <w:szCs w:val="16"/>
        </w:rPr>
        <w:t>𝑖,𝑗</w:t>
      </w:r>
      <w:r w:rsidRPr="001E31D3">
        <w:rPr>
          <w:rFonts w:ascii="Cambria Math" w:hAnsi="Cambria Math" w:cs="Cambria Math"/>
        </w:rPr>
        <w:t>+ 𝛽</w:t>
      </w:r>
      <w:r w:rsidRPr="001E31D3">
        <w:rPr>
          <w:rFonts w:ascii="Cambria Math" w:hAnsi="Cambria Math" w:cs="Cambria Math"/>
          <w:sz w:val="16"/>
          <w:szCs w:val="16"/>
        </w:rPr>
        <w:t>2</w:t>
      </w:r>
      <w:r w:rsidRPr="001E31D3">
        <w:rPr>
          <w:rFonts w:ascii="Cambria Math" w:hAnsi="Cambria Math" w:cs="Cambria Math"/>
        </w:rPr>
        <w:t>ce</w:t>
      </w:r>
      <w:r w:rsidRPr="001E31D3">
        <w:rPr>
          <w:rFonts w:ascii="Cambria Math" w:hAnsi="Cambria Math" w:cs="Cambria Math"/>
          <w:sz w:val="16"/>
          <w:szCs w:val="16"/>
        </w:rPr>
        <w:t>𝑖,𝑗</w:t>
      </w:r>
      <w:r w:rsidRPr="001E31D3">
        <w:rPr>
          <w:rFonts w:ascii="Cambria Math" w:hAnsi="Cambria Math" w:cs="Cambria Math"/>
        </w:rPr>
        <w:t>+𝛽</w:t>
      </w:r>
      <w:r w:rsidRPr="001E31D3">
        <w:rPr>
          <w:rFonts w:ascii="Cambria Math" w:hAnsi="Cambria Math" w:cs="Cambria Math"/>
          <w:sz w:val="16"/>
          <w:szCs w:val="16"/>
        </w:rPr>
        <w:t>3</w:t>
      </w:r>
      <w:r w:rsidRPr="001E31D3">
        <w:rPr>
          <w:rFonts w:ascii="Cambria Math" w:hAnsi="Cambria Math" w:cs="Cambria Math"/>
        </w:rPr>
        <w:t>p</w:t>
      </w:r>
      <w:r w:rsidRPr="001E31D3">
        <w:rPr>
          <w:rFonts w:ascii="Cambria Math" w:hAnsi="Cambria Math" w:cs="Cambria Math"/>
          <w:sz w:val="16"/>
          <w:szCs w:val="16"/>
        </w:rPr>
        <w:t>𝑖,𝑗</w:t>
      </w:r>
      <w:r w:rsidRPr="001E31D3">
        <w:rPr>
          <w:rFonts w:ascii="Cambria Math" w:hAnsi="Cambria Math" w:cs="Cambria Math"/>
        </w:rPr>
        <w:t>+ 𝛽</w:t>
      </w:r>
      <w:r w:rsidRPr="001E31D3">
        <w:rPr>
          <w:rFonts w:ascii="Cambria Math" w:hAnsi="Cambria Math" w:cs="Cambria Math"/>
          <w:sz w:val="16"/>
          <w:szCs w:val="16"/>
        </w:rPr>
        <w:t>4</w:t>
      </w:r>
      <w:r w:rsidRPr="001E31D3">
        <w:rPr>
          <w:rFonts w:ascii="Cambria Math" w:hAnsi="Cambria Math" w:cs="Cambria Math"/>
        </w:rPr>
        <w:t>tl</w:t>
      </w:r>
      <w:r w:rsidRPr="001E31D3">
        <w:rPr>
          <w:rFonts w:ascii="Cambria Math" w:hAnsi="Cambria Math" w:cs="Cambria Math"/>
          <w:sz w:val="16"/>
          <w:szCs w:val="16"/>
        </w:rPr>
        <w:t>𝑖,𝑗</w:t>
      </w:r>
      <w:r w:rsidRPr="001E31D3">
        <w:rPr>
          <w:rFonts w:ascii="Cambria Math" w:hAnsi="Cambria Math" w:cs="Cambria Math"/>
        </w:rPr>
        <w:t xml:space="preserve"> + 𝛽</w:t>
      </w:r>
      <w:r w:rsidRPr="001E31D3">
        <w:rPr>
          <w:rFonts w:ascii="Cambria Math" w:hAnsi="Cambria Math" w:cs="Cambria Math"/>
          <w:sz w:val="16"/>
          <w:szCs w:val="16"/>
        </w:rPr>
        <w:t>5</w:t>
      </w:r>
      <w:r w:rsidRPr="001E31D3">
        <w:rPr>
          <w:rFonts w:ascii="Cambria Math" w:hAnsi="Cambria Math" w:cs="Cambria Math"/>
        </w:rPr>
        <w:t>m</w:t>
      </w:r>
      <w:r w:rsidRPr="001E31D3">
        <w:rPr>
          <w:rFonts w:ascii="Cambria Math" w:hAnsi="Cambria Math" w:cs="Cambria Math"/>
          <w:sz w:val="16"/>
          <w:szCs w:val="16"/>
        </w:rPr>
        <w:t>𝑖,𝑗</w:t>
      </w:r>
      <w:r w:rsidRPr="001E31D3">
        <w:rPr>
          <w:rFonts w:ascii="Cambria Math" w:hAnsi="Cambria Math" w:cs="Cambria Math"/>
        </w:rPr>
        <w:t xml:space="preserve"> +ß</w:t>
      </w:r>
      <w:r w:rsidRPr="001E31D3">
        <w:rPr>
          <w:rFonts w:ascii="Cambria Math" w:hAnsi="Cambria Math" w:cs="Cambria Math"/>
          <w:sz w:val="16"/>
          <w:szCs w:val="16"/>
        </w:rPr>
        <w:t>6</w:t>
      </w:r>
      <w:r w:rsidRPr="001E31D3">
        <w:rPr>
          <w:rFonts w:ascii="Cambria Math" w:hAnsi="Cambria Math" w:cs="Cambria Math"/>
        </w:rPr>
        <w:t>𝑎</w:t>
      </w:r>
      <w:r w:rsidRPr="001E31D3">
        <w:rPr>
          <w:rFonts w:ascii="Cambria Math" w:hAnsi="Cambria Math" w:cs="Cambria Math"/>
          <w:sz w:val="16"/>
          <w:szCs w:val="16"/>
        </w:rPr>
        <w:t>𝑖,𝑗</w:t>
      </w:r>
      <w:r w:rsidRPr="001E31D3">
        <w:rPr>
          <w:rFonts w:ascii="Cambria Math" w:hAnsi="Cambria Math" w:cs="Cambria Math"/>
        </w:rPr>
        <w:t>+ß</w:t>
      </w:r>
      <w:r w:rsidRPr="001E31D3">
        <w:rPr>
          <w:rFonts w:ascii="Cambria Math" w:hAnsi="Cambria Math" w:cs="Cambria Math"/>
          <w:sz w:val="16"/>
          <w:szCs w:val="16"/>
        </w:rPr>
        <w:t>7</w:t>
      </w:r>
      <w:r w:rsidRPr="001E31D3">
        <w:rPr>
          <w:rFonts w:ascii="Cambria Math" w:hAnsi="Cambria Math" w:cs="Cambria Math"/>
        </w:rPr>
        <w:t>𝑔</w:t>
      </w:r>
      <w:r w:rsidRPr="001E31D3">
        <w:rPr>
          <w:rFonts w:ascii="Cambria Math" w:hAnsi="Cambria Math" w:cs="Cambria Math"/>
          <w:sz w:val="16"/>
          <w:szCs w:val="16"/>
        </w:rPr>
        <w:t>𝑖,𝑗</w:t>
      </w:r>
      <w:r w:rsidRPr="001E31D3">
        <w:rPr>
          <w:rFonts w:ascii="Cambria Math" w:hAnsi="Cambria Math" w:cs="Cambria Math"/>
        </w:rPr>
        <w:t>+ 𝛽</w:t>
      </w:r>
      <w:r w:rsidRPr="001E31D3">
        <w:rPr>
          <w:rFonts w:ascii="Cambria Math" w:hAnsi="Cambria Math" w:cs="Cambria Math"/>
          <w:sz w:val="16"/>
          <w:szCs w:val="16"/>
        </w:rPr>
        <w:t>8</w:t>
      </w:r>
      <w:r w:rsidRPr="001E31D3">
        <w:rPr>
          <w:rFonts w:ascii="Cambria Math" w:hAnsi="Cambria Math" w:cs="Cambria Math"/>
        </w:rPr>
        <w:t>hth</w:t>
      </w:r>
      <w:r w:rsidRPr="001E31D3">
        <w:rPr>
          <w:rFonts w:ascii="Cambria Math" w:hAnsi="Cambria Math" w:cs="Cambria Math"/>
          <w:sz w:val="16"/>
          <w:szCs w:val="16"/>
        </w:rPr>
        <w:t>𝑖,𝑗</w:t>
      </w:r>
      <w:r w:rsidR="00F0171A" w:rsidRPr="001E31D3">
        <w:rPr>
          <w:rFonts w:ascii="Cambria Math" w:hAnsi="Cambria Math" w:cs="Cambria Math"/>
          <w:sz w:val="16"/>
          <w:szCs w:val="16"/>
        </w:rPr>
        <w:t xml:space="preserve"> +</w:t>
      </w:r>
      <w:r w:rsidRPr="001E31D3">
        <w:rPr>
          <w:rFonts w:ascii="Cambria Math" w:hAnsi="Cambria Math" w:cs="Cambria Math"/>
        </w:rPr>
        <w:t xml:space="preserve"> 𝛽</w:t>
      </w:r>
      <w:r w:rsidRPr="001E31D3">
        <w:rPr>
          <w:rFonts w:ascii="Cambria Math" w:hAnsi="Cambria Math" w:cs="Cambria Math"/>
          <w:sz w:val="16"/>
          <w:szCs w:val="16"/>
        </w:rPr>
        <w:t>9</w:t>
      </w:r>
      <w:r w:rsidRPr="001E31D3">
        <w:rPr>
          <w:rFonts w:ascii="Cambria Math" w:hAnsi="Cambria Math" w:cs="Cambria Math"/>
        </w:rPr>
        <w:t>𝑤</w:t>
      </w:r>
      <w:r w:rsidRPr="001E31D3">
        <w:rPr>
          <w:rFonts w:ascii="Cambria Math" w:hAnsi="Cambria Math" w:cs="Cambria Math"/>
          <w:sz w:val="16"/>
          <w:szCs w:val="16"/>
        </w:rPr>
        <w:t>𝑖,𝑗</w:t>
      </w:r>
      <w:r w:rsidRPr="001E31D3">
        <w:rPr>
          <w:rFonts w:ascii="Cambria Math" w:hAnsi="Cambria Math" w:cs="Cambria Math"/>
        </w:rPr>
        <w:t>+ 𝛽</w:t>
      </w:r>
      <w:r w:rsidRPr="001E31D3">
        <w:rPr>
          <w:rFonts w:ascii="Cambria Math" w:hAnsi="Cambria Math" w:cs="Cambria Math"/>
          <w:sz w:val="16"/>
          <w:szCs w:val="16"/>
        </w:rPr>
        <w:t>10</w:t>
      </w:r>
      <w:r w:rsidRPr="001E31D3">
        <w:rPr>
          <w:rFonts w:ascii="Cambria Math" w:hAnsi="Cambria Math" w:cs="Cambria Math"/>
        </w:rPr>
        <w:t>oc</w:t>
      </w:r>
      <w:r w:rsidRPr="001E31D3">
        <w:rPr>
          <w:rFonts w:ascii="Cambria Math" w:hAnsi="Cambria Math" w:cs="Cambria Math"/>
          <w:sz w:val="16"/>
          <w:szCs w:val="16"/>
        </w:rPr>
        <w:t>𝑖,𝑗</w:t>
      </w:r>
      <w:r w:rsidRPr="001E31D3">
        <w:rPr>
          <w:rFonts w:ascii="Cambria Math" w:hAnsi="Cambria Math" w:cs="Cambria Math"/>
        </w:rPr>
        <w:t xml:space="preserve"> + +𝑐</w:t>
      </w:r>
      <w:r w:rsidRPr="001E31D3">
        <w:rPr>
          <w:rFonts w:ascii="Cambria Math" w:hAnsi="Cambria Math" w:cs="Cambria Math"/>
          <w:sz w:val="16"/>
          <w:szCs w:val="16"/>
        </w:rPr>
        <w:t>𝑗</w:t>
      </w:r>
      <w:r w:rsidRPr="001E31D3">
        <w:rPr>
          <w:rFonts w:ascii="Cambria Math" w:hAnsi="Cambria Math" w:cs="Cambria Math"/>
        </w:rPr>
        <w:t>+𝜀</w:t>
      </w:r>
      <w:r w:rsidRPr="001E31D3">
        <w:rPr>
          <w:rFonts w:ascii="Cambria Math" w:hAnsi="Cambria Math" w:cs="Cambria Math"/>
          <w:sz w:val="16"/>
          <w:szCs w:val="16"/>
        </w:rPr>
        <w:t>𝑖,𝑗</w:t>
      </w:r>
    </w:p>
    <w:p w:rsidR="003D6CAE" w:rsidRPr="001E31D3" w:rsidRDefault="003D6CAE" w:rsidP="003D6CAE">
      <w:pPr>
        <w:jc w:val="left"/>
      </w:pPr>
    </w:p>
    <w:p w:rsidR="00673072" w:rsidRPr="001E31D3" w:rsidRDefault="00FB7644" w:rsidP="00673072">
      <w:pPr>
        <w:jc w:val="left"/>
      </w:pPr>
      <w:r w:rsidRPr="001E31D3">
        <w:t>Table 5.1 presents the empirical model in detail</w:t>
      </w:r>
      <w:r w:rsidR="001F4369" w:rsidRPr="001E31D3">
        <w:t>:</w:t>
      </w:r>
    </w:p>
    <w:p w:rsidR="00673072" w:rsidRPr="001E31D3" w:rsidRDefault="00673072">
      <w:pPr>
        <w:jc w:val="left"/>
        <w:rPr>
          <w:b/>
          <w:szCs w:val="20"/>
        </w:rPr>
      </w:pPr>
      <w:r w:rsidRPr="001E31D3">
        <w:rPr>
          <w:b/>
          <w:szCs w:val="20"/>
        </w:rPr>
        <w:br w:type="page"/>
      </w:r>
    </w:p>
    <w:p w:rsidR="00FB7644" w:rsidRPr="00810364" w:rsidRDefault="00FB7644" w:rsidP="00673072">
      <w:pPr>
        <w:jc w:val="left"/>
        <w:rPr>
          <w:color w:val="1F497D" w:themeColor="text2"/>
          <w:szCs w:val="20"/>
        </w:rPr>
      </w:pPr>
      <w:r w:rsidRPr="00810364">
        <w:rPr>
          <w:color w:val="1F497D" w:themeColor="text2"/>
          <w:szCs w:val="20"/>
        </w:rPr>
        <w:t xml:space="preserve">Table 5.1 </w:t>
      </w:r>
      <w:r w:rsidRPr="00810364">
        <w:rPr>
          <w:color w:val="1F497D" w:themeColor="text2"/>
        </w:rPr>
        <w:t>–</w:t>
      </w:r>
      <w:r w:rsidRPr="00810364">
        <w:rPr>
          <w:color w:val="1F497D" w:themeColor="text2"/>
          <w:szCs w:val="20"/>
        </w:rPr>
        <w:t xml:space="preserve"> </w:t>
      </w:r>
      <w:r w:rsidRPr="00810364">
        <w:rPr>
          <w:color w:val="1F497D" w:themeColor="text2"/>
        </w:rPr>
        <w:t>Variables included in the empirical model</w:t>
      </w:r>
    </w:p>
    <w:tbl>
      <w:tblPr>
        <w:tblStyle w:val="TableGrid"/>
        <w:tblW w:w="0" w:type="auto"/>
        <w:tblInd w:w="108" w:type="dxa"/>
        <w:tblLook w:val="04A0" w:firstRow="1" w:lastRow="0" w:firstColumn="1" w:lastColumn="0" w:noHBand="0" w:noVBand="1"/>
      </w:tblPr>
      <w:tblGrid>
        <w:gridCol w:w="1894"/>
        <w:gridCol w:w="1145"/>
        <w:gridCol w:w="5630"/>
      </w:tblGrid>
      <w:tr w:rsidR="00642211" w:rsidRPr="00651009" w:rsidTr="00E005E5">
        <w:trPr>
          <w:trHeight w:val="765"/>
        </w:trPr>
        <w:tc>
          <w:tcPr>
            <w:tcW w:w="1894" w:type="dxa"/>
            <w:shd w:val="clear" w:color="auto" w:fill="17365D" w:themeFill="text2" w:themeFillShade="BF"/>
            <w:vAlign w:val="center"/>
            <w:hideMark/>
          </w:tcPr>
          <w:p w:rsidR="00642211" w:rsidRPr="00651009" w:rsidRDefault="00642211" w:rsidP="00673072">
            <w:pPr>
              <w:keepNext/>
              <w:spacing w:after="120"/>
              <w:rPr>
                <w:rFonts w:cs="Arial"/>
                <w:b/>
                <w:color w:val="FFFFFF" w:themeColor="background1"/>
                <w:sz w:val="18"/>
                <w:szCs w:val="18"/>
              </w:rPr>
            </w:pPr>
            <w:r w:rsidRPr="00651009">
              <w:rPr>
                <w:rFonts w:cs="Arial"/>
                <w:b/>
                <w:color w:val="FFFFFF" w:themeColor="background1"/>
                <w:sz w:val="18"/>
                <w:szCs w:val="18"/>
              </w:rPr>
              <w:t>Dimension</w:t>
            </w:r>
          </w:p>
        </w:tc>
        <w:tc>
          <w:tcPr>
            <w:tcW w:w="1145" w:type="dxa"/>
            <w:shd w:val="clear" w:color="auto" w:fill="17365D" w:themeFill="text2" w:themeFillShade="BF"/>
            <w:vAlign w:val="center"/>
            <w:hideMark/>
          </w:tcPr>
          <w:p w:rsidR="00642211" w:rsidRPr="00651009" w:rsidRDefault="00642211" w:rsidP="00673072">
            <w:pPr>
              <w:keepNext/>
              <w:spacing w:after="120"/>
              <w:rPr>
                <w:rFonts w:cs="Arial"/>
                <w:b/>
                <w:color w:val="FFFFFF" w:themeColor="background1"/>
                <w:sz w:val="18"/>
                <w:szCs w:val="18"/>
              </w:rPr>
            </w:pPr>
            <w:r w:rsidRPr="00651009">
              <w:rPr>
                <w:rFonts w:cs="Arial"/>
                <w:b/>
                <w:color w:val="FFFFFF" w:themeColor="background1"/>
                <w:sz w:val="18"/>
                <w:szCs w:val="18"/>
              </w:rPr>
              <w:t>Variable name</w:t>
            </w:r>
          </w:p>
        </w:tc>
        <w:tc>
          <w:tcPr>
            <w:tcW w:w="6423" w:type="dxa"/>
            <w:shd w:val="clear" w:color="auto" w:fill="17365D" w:themeFill="text2" w:themeFillShade="BF"/>
            <w:vAlign w:val="center"/>
          </w:tcPr>
          <w:p w:rsidR="00642211" w:rsidRPr="00651009" w:rsidRDefault="00642211" w:rsidP="00673072">
            <w:pPr>
              <w:keepNext/>
              <w:spacing w:after="120"/>
              <w:rPr>
                <w:rFonts w:cs="Arial"/>
                <w:b/>
                <w:color w:val="FFFFFF" w:themeColor="background1"/>
                <w:sz w:val="18"/>
                <w:szCs w:val="18"/>
              </w:rPr>
            </w:pPr>
            <w:r w:rsidRPr="00651009">
              <w:rPr>
                <w:rFonts w:cs="Arial"/>
                <w:b/>
                <w:color w:val="FFFFFF" w:themeColor="background1"/>
                <w:sz w:val="18"/>
                <w:szCs w:val="18"/>
              </w:rPr>
              <w:t>Description</w:t>
            </w:r>
          </w:p>
        </w:tc>
      </w:tr>
      <w:tr w:rsidR="00642211" w:rsidRPr="00651009" w:rsidTr="00E005E5">
        <w:trPr>
          <w:trHeight w:val="255"/>
        </w:trPr>
        <w:tc>
          <w:tcPr>
            <w:tcW w:w="1894" w:type="dxa"/>
            <w:shd w:val="clear" w:color="auto" w:fill="auto"/>
            <w:noWrap/>
            <w:vAlign w:val="center"/>
          </w:tcPr>
          <w:p w:rsidR="00642211" w:rsidRPr="00651009" w:rsidRDefault="00642211" w:rsidP="00673072">
            <w:pPr>
              <w:keepNext/>
              <w:spacing w:after="120"/>
              <w:rPr>
                <w:rFonts w:cs="Arial"/>
                <w:b/>
                <w:sz w:val="18"/>
                <w:szCs w:val="18"/>
              </w:rPr>
            </w:pPr>
            <w:r w:rsidRPr="00651009">
              <w:rPr>
                <w:rFonts w:cs="Arial"/>
                <w:b/>
                <w:sz w:val="18"/>
                <w:szCs w:val="18"/>
              </w:rPr>
              <w:t>Competences</w:t>
            </w:r>
          </w:p>
        </w:tc>
        <w:tc>
          <w:tcPr>
            <w:tcW w:w="1145" w:type="dxa"/>
            <w:shd w:val="clear" w:color="auto" w:fill="B8CCE4" w:themeFill="accent1" w:themeFillTint="66"/>
            <w:noWrap/>
          </w:tcPr>
          <w:p w:rsidR="00642211" w:rsidRPr="00651009" w:rsidRDefault="00642211" w:rsidP="00673072">
            <w:pPr>
              <w:spacing w:after="120"/>
              <w:jc w:val="left"/>
              <w:rPr>
                <w:sz w:val="18"/>
                <w:szCs w:val="18"/>
              </w:rPr>
            </w:pPr>
          </w:p>
          <w:p w:rsidR="00642211" w:rsidRPr="00651009" w:rsidRDefault="00642211" w:rsidP="00673072">
            <w:pPr>
              <w:pStyle w:val="BodyText"/>
              <w:rPr>
                <w:rFonts w:cs="Arial"/>
                <w:color w:val="000000" w:themeColor="text1"/>
                <w:sz w:val="18"/>
                <w:szCs w:val="18"/>
              </w:rPr>
            </w:pPr>
            <w:r w:rsidRPr="00651009">
              <w:rPr>
                <w:rFonts w:cs="Cambria Math"/>
                <w:color w:val="000000"/>
                <w:sz w:val="18"/>
                <w:szCs w:val="18"/>
              </w:rPr>
              <w:t>ln(</w:t>
            </w:r>
            <w:r w:rsidRPr="00651009">
              <w:rPr>
                <w:rFonts w:ascii="Cambria Math" w:hAnsi="Cambria Math" w:cs="Cambria Math"/>
                <w:color w:val="000000"/>
                <w:sz w:val="18"/>
                <w:szCs w:val="18"/>
              </w:rPr>
              <w:t>ℎ𝑖</w:t>
            </w:r>
            <w:r w:rsidRPr="00651009">
              <w:rPr>
                <w:rFonts w:cs="Cambria Math"/>
                <w:color w:val="000000"/>
                <w:sz w:val="18"/>
                <w:szCs w:val="18"/>
              </w:rPr>
              <w:t>,</w:t>
            </w:r>
            <w:r w:rsidRPr="00651009">
              <w:rPr>
                <w:rFonts w:ascii="Cambria Math" w:hAnsi="Cambria Math" w:cs="Cambria Math"/>
                <w:color w:val="000000"/>
                <w:sz w:val="18"/>
                <w:szCs w:val="18"/>
              </w:rPr>
              <w:t>𝑗</w:t>
            </w:r>
            <w:r w:rsidRPr="00651009">
              <w:rPr>
                <w:rFonts w:cs="Cambria Math"/>
                <w:color w:val="000000"/>
                <w:sz w:val="18"/>
                <w:szCs w:val="18"/>
              </w:rPr>
              <w:t>)</w:t>
            </w:r>
          </w:p>
        </w:tc>
        <w:tc>
          <w:tcPr>
            <w:tcW w:w="6423" w:type="dxa"/>
            <w:shd w:val="clear" w:color="auto" w:fill="B8CCE4" w:themeFill="accent1" w:themeFillTint="66"/>
          </w:tcPr>
          <w:p w:rsidR="00642211" w:rsidRPr="00651009" w:rsidRDefault="00642211" w:rsidP="00673072">
            <w:pPr>
              <w:pStyle w:val="BodyText"/>
              <w:rPr>
                <w:sz w:val="18"/>
                <w:szCs w:val="18"/>
              </w:rPr>
            </w:pPr>
            <w:r w:rsidRPr="00651009">
              <w:rPr>
                <w:b/>
                <w:color w:val="1F497D" w:themeColor="text2"/>
                <w:sz w:val="18"/>
                <w:szCs w:val="18"/>
              </w:rPr>
              <w:t>Competences</w:t>
            </w:r>
            <w:r w:rsidRPr="00651009">
              <w:rPr>
                <w:color w:val="1F497D" w:themeColor="text2"/>
                <w:sz w:val="18"/>
                <w:szCs w:val="18"/>
              </w:rPr>
              <w:t xml:space="preserve"> </w:t>
            </w:r>
            <w:r w:rsidRPr="00651009">
              <w:rPr>
                <w:sz w:val="18"/>
                <w:szCs w:val="18"/>
              </w:rPr>
              <w:t xml:space="preserve">are assessed through PIAAC for individual i in country j (in natural logarithms). </w:t>
            </w:r>
          </w:p>
        </w:tc>
      </w:tr>
      <w:tr w:rsidR="00642211" w:rsidRPr="00651009" w:rsidTr="00E005E5">
        <w:trPr>
          <w:trHeight w:val="255"/>
        </w:trPr>
        <w:tc>
          <w:tcPr>
            <w:tcW w:w="1894" w:type="dxa"/>
            <w:vMerge w:val="restart"/>
            <w:shd w:val="clear" w:color="auto" w:fill="auto"/>
            <w:noWrap/>
            <w:vAlign w:val="center"/>
          </w:tcPr>
          <w:p w:rsidR="00642211" w:rsidRPr="00651009" w:rsidRDefault="00642211" w:rsidP="00673072">
            <w:pPr>
              <w:keepNext/>
              <w:spacing w:after="120"/>
              <w:rPr>
                <w:rFonts w:cs="Arial"/>
                <w:b/>
                <w:sz w:val="18"/>
                <w:szCs w:val="18"/>
              </w:rPr>
            </w:pPr>
            <w:r w:rsidRPr="00651009">
              <w:rPr>
                <w:rFonts w:cs="Arial"/>
                <w:b/>
                <w:sz w:val="18"/>
                <w:szCs w:val="18"/>
              </w:rPr>
              <w:t xml:space="preserve">School inputs </w:t>
            </w:r>
          </w:p>
        </w:tc>
        <w:tc>
          <w:tcPr>
            <w:tcW w:w="1145" w:type="dxa"/>
            <w:shd w:val="clear" w:color="auto" w:fill="B8CCE4" w:themeFill="accent1" w:themeFillTint="66"/>
            <w:noWrap/>
          </w:tcPr>
          <w:p w:rsidR="00642211" w:rsidRPr="00651009" w:rsidRDefault="00642211" w:rsidP="00673072">
            <w:pPr>
              <w:keepNext/>
              <w:spacing w:after="120"/>
              <w:rPr>
                <w:rFonts w:cs="Arial"/>
                <w:sz w:val="18"/>
                <w:szCs w:val="18"/>
              </w:rPr>
            </w:pPr>
            <w:r w:rsidRPr="00651009">
              <w:rPr>
                <w:rFonts w:ascii="Cambria Math" w:hAnsi="Cambria Math" w:cs="Cambria Math"/>
                <w:sz w:val="18"/>
                <w:szCs w:val="18"/>
              </w:rPr>
              <w:t>𝑞𝑖</w:t>
            </w:r>
            <w:r w:rsidRPr="00651009">
              <w:rPr>
                <w:sz w:val="18"/>
                <w:szCs w:val="18"/>
              </w:rPr>
              <w:t>,</w:t>
            </w:r>
            <w:r w:rsidRPr="00651009">
              <w:rPr>
                <w:rFonts w:ascii="Cambria Math" w:hAnsi="Cambria Math" w:cs="Cambria Math"/>
                <w:sz w:val="18"/>
                <w:szCs w:val="18"/>
              </w:rPr>
              <w:t>𝑗</w:t>
            </w:r>
          </w:p>
        </w:tc>
        <w:tc>
          <w:tcPr>
            <w:tcW w:w="6423" w:type="dxa"/>
            <w:shd w:val="clear" w:color="auto" w:fill="B8CCE4" w:themeFill="accent1" w:themeFillTint="66"/>
          </w:tcPr>
          <w:p w:rsidR="00642211" w:rsidRPr="00651009" w:rsidRDefault="00642211" w:rsidP="00673072">
            <w:pPr>
              <w:keepNext/>
              <w:spacing w:after="120"/>
              <w:rPr>
                <w:rFonts w:cs="Arial"/>
                <w:sz w:val="18"/>
                <w:szCs w:val="18"/>
              </w:rPr>
            </w:pPr>
            <w:r w:rsidRPr="00651009">
              <w:rPr>
                <w:b/>
                <w:color w:val="1F497D" w:themeColor="text2"/>
                <w:sz w:val="18"/>
                <w:szCs w:val="18"/>
              </w:rPr>
              <w:t>Highest qualification level obtained</w:t>
            </w:r>
            <w:r w:rsidRPr="00651009">
              <w:rPr>
                <w:color w:val="1F497D" w:themeColor="text2"/>
                <w:sz w:val="18"/>
                <w:szCs w:val="18"/>
              </w:rPr>
              <w:t xml:space="preserve"> </w:t>
            </w:r>
            <w:r w:rsidR="00F0171A" w:rsidRPr="00651009">
              <w:rPr>
                <w:sz w:val="18"/>
                <w:szCs w:val="18"/>
              </w:rPr>
              <w:t>is implemented</w:t>
            </w:r>
            <w:r w:rsidRPr="00651009">
              <w:rPr>
                <w:sz w:val="18"/>
                <w:szCs w:val="18"/>
              </w:rPr>
              <w:t xml:space="preserve"> through 3 dummies for three different qualification levels: low (from ISCED1 or less to ISCED 3C short), medium (from ISCED3A to ISCED 4A-B-C) and </w:t>
            </w:r>
            <w:r w:rsidR="00F0171A" w:rsidRPr="00651009">
              <w:rPr>
                <w:sz w:val="18"/>
                <w:szCs w:val="18"/>
              </w:rPr>
              <w:t>h</w:t>
            </w:r>
            <w:r w:rsidRPr="00651009">
              <w:rPr>
                <w:sz w:val="18"/>
                <w:szCs w:val="18"/>
              </w:rPr>
              <w:t xml:space="preserve">igh (ISCED 5A-B or higher). </w:t>
            </w:r>
          </w:p>
        </w:tc>
      </w:tr>
      <w:tr w:rsidR="00642211" w:rsidRPr="00651009" w:rsidTr="00E005E5">
        <w:trPr>
          <w:trHeight w:val="255"/>
        </w:trPr>
        <w:tc>
          <w:tcPr>
            <w:tcW w:w="1894" w:type="dxa"/>
            <w:vMerge/>
            <w:shd w:val="clear" w:color="auto" w:fill="auto"/>
            <w:noWrap/>
            <w:vAlign w:val="center"/>
          </w:tcPr>
          <w:p w:rsidR="00642211" w:rsidRPr="00651009" w:rsidRDefault="00642211" w:rsidP="00673072">
            <w:pPr>
              <w:keepNext/>
              <w:spacing w:after="120"/>
              <w:rPr>
                <w:rFonts w:cs="Arial"/>
                <w:sz w:val="18"/>
                <w:szCs w:val="18"/>
              </w:rPr>
            </w:pPr>
          </w:p>
        </w:tc>
        <w:tc>
          <w:tcPr>
            <w:tcW w:w="1145" w:type="dxa"/>
            <w:shd w:val="clear" w:color="auto" w:fill="B8CCE4" w:themeFill="accent1" w:themeFillTint="66"/>
            <w:noWrap/>
          </w:tcPr>
          <w:p w:rsidR="00642211" w:rsidRPr="00651009" w:rsidRDefault="00642211" w:rsidP="00673072">
            <w:pPr>
              <w:keepNext/>
              <w:spacing w:after="120"/>
              <w:rPr>
                <w:rFonts w:cs="Arial"/>
                <w:sz w:val="18"/>
                <w:szCs w:val="18"/>
              </w:rPr>
            </w:pPr>
            <w:r w:rsidRPr="00651009">
              <w:rPr>
                <w:rFonts w:cs="Cambria Math"/>
                <w:color w:val="000000"/>
                <w:sz w:val="18"/>
                <w:szCs w:val="18"/>
              </w:rPr>
              <w:t>ce</w:t>
            </w:r>
            <w:r w:rsidRPr="00651009">
              <w:rPr>
                <w:rFonts w:ascii="Cambria Math" w:hAnsi="Cambria Math" w:cs="Cambria Math"/>
                <w:color w:val="000000"/>
                <w:sz w:val="18"/>
                <w:szCs w:val="18"/>
              </w:rPr>
              <w:t>𝑖</w:t>
            </w:r>
            <w:r w:rsidRPr="00651009">
              <w:rPr>
                <w:rFonts w:cs="Cambria Math"/>
                <w:color w:val="000000"/>
                <w:sz w:val="18"/>
                <w:szCs w:val="18"/>
              </w:rPr>
              <w:t>,</w:t>
            </w:r>
            <w:r w:rsidRPr="00651009">
              <w:rPr>
                <w:rFonts w:ascii="Cambria Math" w:hAnsi="Cambria Math" w:cs="Cambria Math"/>
                <w:color w:val="000000"/>
                <w:sz w:val="18"/>
                <w:szCs w:val="18"/>
              </w:rPr>
              <w:t>𝑗</w:t>
            </w:r>
          </w:p>
        </w:tc>
        <w:tc>
          <w:tcPr>
            <w:tcW w:w="6423" w:type="dxa"/>
            <w:shd w:val="clear" w:color="auto" w:fill="B8CCE4" w:themeFill="accent1" w:themeFillTint="66"/>
          </w:tcPr>
          <w:p w:rsidR="00642211" w:rsidRPr="00651009" w:rsidRDefault="00642211" w:rsidP="00673072">
            <w:pPr>
              <w:pStyle w:val="BodyText"/>
              <w:rPr>
                <w:rFonts w:cs="Arial"/>
                <w:sz w:val="18"/>
                <w:szCs w:val="18"/>
              </w:rPr>
            </w:pPr>
            <w:r w:rsidRPr="00651009">
              <w:rPr>
                <w:b/>
                <w:color w:val="1F497D" w:themeColor="text2"/>
                <w:sz w:val="18"/>
                <w:szCs w:val="18"/>
              </w:rPr>
              <w:t>Currently in education</w:t>
            </w:r>
            <w:r w:rsidRPr="00651009">
              <w:rPr>
                <w:color w:val="1F497D" w:themeColor="text2"/>
                <w:sz w:val="18"/>
                <w:szCs w:val="18"/>
              </w:rPr>
              <w:t xml:space="preserve"> </w:t>
            </w:r>
            <w:r w:rsidRPr="00651009">
              <w:rPr>
                <w:sz w:val="18"/>
                <w:szCs w:val="18"/>
              </w:rPr>
              <w:t>(including in combination with work), to control for being in the process of acquiring a higher qualification and hence further competences, is implemented as a dummy variable.</w:t>
            </w:r>
          </w:p>
        </w:tc>
      </w:tr>
      <w:tr w:rsidR="004C79E3" w:rsidRPr="00651009" w:rsidTr="00E005E5">
        <w:trPr>
          <w:trHeight w:val="255"/>
        </w:trPr>
        <w:tc>
          <w:tcPr>
            <w:tcW w:w="1894" w:type="dxa"/>
            <w:vMerge w:val="restart"/>
            <w:shd w:val="clear" w:color="auto" w:fill="auto"/>
            <w:noWrap/>
            <w:vAlign w:val="center"/>
          </w:tcPr>
          <w:p w:rsidR="004C79E3" w:rsidRPr="00651009" w:rsidRDefault="004C79E3" w:rsidP="00673072">
            <w:pPr>
              <w:keepNext/>
              <w:spacing w:after="120"/>
              <w:rPr>
                <w:rFonts w:cs="Arial"/>
                <w:sz w:val="18"/>
                <w:szCs w:val="18"/>
              </w:rPr>
            </w:pPr>
            <w:r w:rsidRPr="00651009">
              <w:rPr>
                <w:rFonts w:cs="Arial"/>
                <w:b/>
                <w:sz w:val="18"/>
                <w:szCs w:val="18"/>
              </w:rPr>
              <w:t xml:space="preserve">Family/ Socio-Demographic Characteristics </w:t>
            </w:r>
          </w:p>
          <w:p w:rsidR="004C79E3" w:rsidRPr="00651009" w:rsidRDefault="004C79E3" w:rsidP="00673072">
            <w:pPr>
              <w:keepNext/>
              <w:spacing w:after="120"/>
              <w:rPr>
                <w:rFonts w:cs="Arial"/>
                <w:sz w:val="18"/>
                <w:szCs w:val="18"/>
              </w:rPr>
            </w:pPr>
            <w:r w:rsidRPr="00651009">
              <w:rPr>
                <w:rFonts w:cs="Arial"/>
                <w:b/>
                <w:sz w:val="18"/>
                <w:szCs w:val="18"/>
              </w:rPr>
              <w:t xml:space="preserve"> </w:t>
            </w:r>
          </w:p>
          <w:p w:rsidR="004C79E3" w:rsidRPr="00651009" w:rsidRDefault="004C79E3" w:rsidP="00673072">
            <w:pPr>
              <w:keepNext/>
              <w:spacing w:after="120"/>
              <w:rPr>
                <w:rFonts w:cs="Arial"/>
                <w:sz w:val="18"/>
                <w:szCs w:val="18"/>
              </w:rPr>
            </w:pPr>
            <w:r w:rsidRPr="00651009">
              <w:rPr>
                <w:rFonts w:cs="Arial"/>
                <w:b/>
                <w:sz w:val="18"/>
                <w:szCs w:val="18"/>
              </w:rPr>
              <w:t xml:space="preserve"> </w:t>
            </w:r>
          </w:p>
        </w:tc>
        <w:tc>
          <w:tcPr>
            <w:tcW w:w="1145" w:type="dxa"/>
            <w:shd w:val="clear" w:color="auto" w:fill="B8CCE4" w:themeFill="accent1" w:themeFillTint="66"/>
            <w:noWrap/>
          </w:tcPr>
          <w:p w:rsidR="004C79E3" w:rsidRPr="00651009" w:rsidRDefault="004C79E3" w:rsidP="00673072">
            <w:pPr>
              <w:keepNext/>
              <w:spacing w:after="120"/>
              <w:rPr>
                <w:rFonts w:cs="Arial"/>
                <w:sz w:val="18"/>
                <w:szCs w:val="18"/>
              </w:rPr>
            </w:pPr>
            <w:r w:rsidRPr="00651009">
              <w:rPr>
                <w:rFonts w:cs="Cambria Math"/>
                <w:color w:val="000000"/>
                <w:sz w:val="18"/>
                <w:szCs w:val="18"/>
              </w:rPr>
              <w:t>p</w:t>
            </w:r>
            <w:r w:rsidRPr="00651009">
              <w:rPr>
                <w:rFonts w:ascii="Cambria Math" w:hAnsi="Cambria Math" w:cs="Cambria Math"/>
                <w:color w:val="000000"/>
                <w:sz w:val="18"/>
                <w:szCs w:val="18"/>
              </w:rPr>
              <w:t>𝑖</w:t>
            </w:r>
            <w:r w:rsidRPr="00651009">
              <w:rPr>
                <w:rFonts w:cs="Cambria Math"/>
                <w:color w:val="000000"/>
                <w:sz w:val="18"/>
                <w:szCs w:val="18"/>
              </w:rPr>
              <w:t>,</w:t>
            </w:r>
            <w:r w:rsidRPr="00651009">
              <w:rPr>
                <w:rFonts w:ascii="Cambria Math" w:hAnsi="Cambria Math" w:cs="Cambria Math"/>
                <w:color w:val="000000"/>
                <w:sz w:val="18"/>
                <w:szCs w:val="18"/>
              </w:rPr>
              <w:t>𝑗</w:t>
            </w:r>
          </w:p>
        </w:tc>
        <w:tc>
          <w:tcPr>
            <w:tcW w:w="6423" w:type="dxa"/>
            <w:shd w:val="clear" w:color="auto" w:fill="B8CCE4" w:themeFill="accent1" w:themeFillTint="66"/>
          </w:tcPr>
          <w:p w:rsidR="004C79E3" w:rsidRPr="00651009" w:rsidRDefault="004C79E3" w:rsidP="00673072">
            <w:pPr>
              <w:keepNext/>
              <w:spacing w:after="120"/>
              <w:rPr>
                <w:rFonts w:cs="Arial"/>
                <w:sz w:val="18"/>
                <w:szCs w:val="18"/>
              </w:rPr>
            </w:pPr>
            <w:r w:rsidRPr="00651009">
              <w:rPr>
                <w:b/>
                <w:color w:val="1F497D" w:themeColor="text2"/>
                <w:sz w:val="18"/>
                <w:szCs w:val="18"/>
              </w:rPr>
              <w:t>Educational background of the parents</w:t>
            </w:r>
            <w:r w:rsidRPr="00651009">
              <w:rPr>
                <w:color w:val="1F497D" w:themeColor="text2"/>
                <w:sz w:val="18"/>
                <w:szCs w:val="18"/>
              </w:rPr>
              <w:t xml:space="preserve"> </w:t>
            </w:r>
            <w:r w:rsidRPr="00651009">
              <w:rPr>
                <w:sz w:val="18"/>
                <w:szCs w:val="18"/>
              </w:rPr>
              <w:t>is implemented through 3 dummies: low - neither parent has attained upper secondary level; medium - at least one parent has attained a secondary and post-secondary non-tertiary qualification, and; high – at least one parent has a tertiary qualification.</w:t>
            </w:r>
          </w:p>
        </w:tc>
      </w:tr>
      <w:tr w:rsidR="004C79E3" w:rsidRPr="00651009" w:rsidTr="00E005E5">
        <w:trPr>
          <w:trHeight w:val="255"/>
        </w:trPr>
        <w:tc>
          <w:tcPr>
            <w:tcW w:w="1894" w:type="dxa"/>
            <w:vMerge/>
            <w:shd w:val="clear" w:color="auto" w:fill="auto"/>
            <w:noWrap/>
            <w:vAlign w:val="center"/>
          </w:tcPr>
          <w:p w:rsidR="004C79E3" w:rsidRPr="00651009" w:rsidRDefault="004C79E3" w:rsidP="00673072">
            <w:pPr>
              <w:keepNext/>
              <w:spacing w:after="120"/>
              <w:rPr>
                <w:rFonts w:cs="Arial"/>
                <w:sz w:val="18"/>
                <w:szCs w:val="18"/>
              </w:rPr>
            </w:pPr>
          </w:p>
        </w:tc>
        <w:tc>
          <w:tcPr>
            <w:tcW w:w="1145" w:type="dxa"/>
            <w:shd w:val="clear" w:color="auto" w:fill="B8CCE4" w:themeFill="accent1" w:themeFillTint="66"/>
            <w:noWrap/>
          </w:tcPr>
          <w:p w:rsidR="004C79E3" w:rsidRPr="00651009" w:rsidRDefault="004C79E3" w:rsidP="00673072">
            <w:pPr>
              <w:keepNext/>
              <w:spacing w:after="120"/>
              <w:rPr>
                <w:rFonts w:cs="Arial"/>
                <w:sz w:val="18"/>
                <w:szCs w:val="18"/>
              </w:rPr>
            </w:pPr>
            <w:r w:rsidRPr="00651009">
              <w:rPr>
                <w:rFonts w:cs="Cambria Math"/>
                <w:sz w:val="18"/>
                <w:szCs w:val="18"/>
              </w:rPr>
              <w:t>tl</w:t>
            </w:r>
            <w:r w:rsidRPr="00651009">
              <w:rPr>
                <w:rFonts w:ascii="Cambria Math" w:hAnsi="Cambria Math" w:cs="Cambria Math"/>
                <w:sz w:val="18"/>
                <w:szCs w:val="18"/>
              </w:rPr>
              <w:t>𝑖</w:t>
            </w:r>
            <w:r w:rsidRPr="00651009">
              <w:rPr>
                <w:rFonts w:cs="Cambria Math"/>
                <w:sz w:val="18"/>
                <w:szCs w:val="18"/>
              </w:rPr>
              <w:t>,</w:t>
            </w:r>
            <w:r w:rsidRPr="00651009">
              <w:rPr>
                <w:rFonts w:ascii="Cambria Math" w:hAnsi="Cambria Math" w:cs="Cambria Math"/>
                <w:sz w:val="18"/>
                <w:szCs w:val="18"/>
              </w:rPr>
              <w:t>𝑗</w:t>
            </w:r>
          </w:p>
        </w:tc>
        <w:tc>
          <w:tcPr>
            <w:tcW w:w="6423" w:type="dxa"/>
            <w:shd w:val="clear" w:color="auto" w:fill="B8CCE4" w:themeFill="accent1" w:themeFillTint="66"/>
          </w:tcPr>
          <w:p w:rsidR="004C79E3" w:rsidRPr="00651009" w:rsidRDefault="004C79E3" w:rsidP="00673072">
            <w:pPr>
              <w:keepNext/>
              <w:spacing w:after="120"/>
              <w:rPr>
                <w:sz w:val="18"/>
                <w:szCs w:val="18"/>
              </w:rPr>
            </w:pPr>
            <w:r w:rsidRPr="00651009">
              <w:rPr>
                <w:b/>
                <w:color w:val="1F497D" w:themeColor="text2"/>
                <w:sz w:val="18"/>
                <w:szCs w:val="18"/>
              </w:rPr>
              <w:t>Linguistic background of respondent</w:t>
            </w:r>
            <w:r w:rsidRPr="00651009">
              <w:rPr>
                <w:sz w:val="18"/>
                <w:szCs w:val="18"/>
              </w:rPr>
              <w:t>: test language is the same as the language spoken at home; implemented as a dummy variable.</w:t>
            </w:r>
          </w:p>
        </w:tc>
      </w:tr>
      <w:tr w:rsidR="004C79E3" w:rsidRPr="00651009" w:rsidTr="00E005E5">
        <w:trPr>
          <w:trHeight w:val="255"/>
        </w:trPr>
        <w:tc>
          <w:tcPr>
            <w:tcW w:w="1894" w:type="dxa"/>
            <w:vMerge/>
            <w:shd w:val="clear" w:color="auto" w:fill="auto"/>
            <w:noWrap/>
            <w:vAlign w:val="center"/>
          </w:tcPr>
          <w:p w:rsidR="004C79E3" w:rsidRPr="00651009" w:rsidRDefault="004C79E3" w:rsidP="00673072">
            <w:pPr>
              <w:keepNext/>
              <w:spacing w:after="120"/>
              <w:rPr>
                <w:rFonts w:cs="Arial"/>
                <w:sz w:val="18"/>
                <w:szCs w:val="18"/>
              </w:rPr>
            </w:pPr>
          </w:p>
        </w:tc>
        <w:tc>
          <w:tcPr>
            <w:tcW w:w="1145" w:type="dxa"/>
            <w:shd w:val="clear" w:color="auto" w:fill="B8CCE4" w:themeFill="accent1" w:themeFillTint="66"/>
            <w:noWrap/>
          </w:tcPr>
          <w:p w:rsidR="004C79E3" w:rsidRPr="00651009" w:rsidRDefault="004C79E3" w:rsidP="00673072">
            <w:pPr>
              <w:keepNext/>
              <w:spacing w:after="120"/>
              <w:rPr>
                <w:rFonts w:cs="Arial"/>
                <w:sz w:val="18"/>
                <w:szCs w:val="18"/>
              </w:rPr>
            </w:pPr>
            <w:r w:rsidRPr="00651009">
              <w:rPr>
                <w:rFonts w:cs="Cambria Math"/>
                <w:sz w:val="18"/>
                <w:szCs w:val="18"/>
              </w:rPr>
              <w:t>m</w:t>
            </w:r>
            <w:r w:rsidRPr="00651009">
              <w:rPr>
                <w:rFonts w:ascii="Cambria Math" w:hAnsi="Cambria Math" w:cs="Cambria Math"/>
                <w:sz w:val="18"/>
                <w:szCs w:val="18"/>
              </w:rPr>
              <w:t>𝑖</w:t>
            </w:r>
            <w:r w:rsidRPr="00651009">
              <w:rPr>
                <w:rFonts w:cs="Cambria Math"/>
                <w:sz w:val="18"/>
                <w:szCs w:val="18"/>
              </w:rPr>
              <w:t>,</w:t>
            </w:r>
            <w:r w:rsidRPr="00651009">
              <w:rPr>
                <w:rFonts w:ascii="Cambria Math" w:hAnsi="Cambria Math" w:cs="Cambria Math"/>
                <w:sz w:val="18"/>
                <w:szCs w:val="18"/>
              </w:rPr>
              <w:t>𝑗</w:t>
            </w:r>
          </w:p>
        </w:tc>
        <w:tc>
          <w:tcPr>
            <w:tcW w:w="6423" w:type="dxa"/>
            <w:shd w:val="clear" w:color="auto" w:fill="B8CCE4" w:themeFill="accent1" w:themeFillTint="66"/>
          </w:tcPr>
          <w:p w:rsidR="004C79E3" w:rsidRPr="00651009" w:rsidRDefault="004C79E3" w:rsidP="00673072">
            <w:pPr>
              <w:keepNext/>
              <w:spacing w:after="120"/>
              <w:rPr>
                <w:rFonts w:cs="Arial"/>
                <w:color w:val="000000" w:themeColor="text1"/>
                <w:sz w:val="18"/>
                <w:szCs w:val="18"/>
              </w:rPr>
            </w:pPr>
            <w:r w:rsidRPr="00651009">
              <w:rPr>
                <w:rFonts w:cs="Arial"/>
                <w:b/>
                <w:color w:val="1F497D" w:themeColor="text2"/>
                <w:sz w:val="18"/>
                <w:szCs w:val="18"/>
              </w:rPr>
              <w:t xml:space="preserve">Respondent is first or second generation immigrant </w:t>
            </w:r>
            <w:r w:rsidRPr="00651009">
              <w:rPr>
                <w:rFonts w:cs="Arial"/>
                <w:color w:val="000000" w:themeColor="text1"/>
                <w:sz w:val="18"/>
                <w:szCs w:val="18"/>
              </w:rPr>
              <w:t>is implemented through dummy variables.</w:t>
            </w:r>
          </w:p>
        </w:tc>
      </w:tr>
      <w:tr w:rsidR="004C79E3" w:rsidRPr="00651009" w:rsidTr="00E005E5">
        <w:trPr>
          <w:trHeight w:val="255"/>
        </w:trPr>
        <w:tc>
          <w:tcPr>
            <w:tcW w:w="1894" w:type="dxa"/>
            <w:vMerge/>
            <w:shd w:val="clear" w:color="auto" w:fill="auto"/>
            <w:noWrap/>
            <w:vAlign w:val="center"/>
          </w:tcPr>
          <w:p w:rsidR="004C79E3" w:rsidRPr="00651009" w:rsidRDefault="004C79E3" w:rsidP="00673072">
            <w:pPr>
              <w:keepNext/>
              <w:spacing w:after="120"/>
              <w:rPr>
                <w:rFonts w:cs="Arial"/>
                <w:sz w:val="18"/>
                <w:szCs w:val="18"/>
              </w:rPr>
            </w:pPr>
          </w:p>
        </w:tc>
        <w:tc>
          <w:tcPr>
            <w:tcW w:w="1145" w:type="dxa"/>
            <w:shd w:val="clear" w:color="auto" w:fill="B8CCE4" w:themeFill="accent1" w:themeFillTint="66"/>
            <w:noWrap/>
          </w:tcPr>
          <w:p w:rsidR="004C79E3" w:rsidRPr="00651009" w:rsidRDefault="004C79E3" w:rsidP="00673072">
            <w:pPr>
              <w:keepNext/>
              <w:spacing w:after="120"/>
              <w:rPr>
                <w:rFonts w:cs="Arial"/>
                <w:color w:val="000000" w:themeColor="text1"/>
                <w:sz w:val="18"/>
                <w:szCs w:val="18"/>
              </w:rPr>
            </w:pPr>
            <w:r w:rsidRPr="00651009">
              <w:rPr>
                <w:rFonts w:ascii="Cambria Math" w:hAnsi="Cambria Math" w:cs="Cambria Math"/>
                <w:sz w:val="18"/>
                <w:szCs w:val="18"/>
              </w:rPr>
              <w:t>𝑎𝑖</w:t>
            </w:r>
            <w:r w:rsidRPr="00651009">
              <w:rPr>
                <w:sz w:val="18"/>
                <w:szCs w:val="18"/>
              </w:rPr>
              <w:t>,</w:t>
            </w:r>
            <w:r w:rsidRPr="00651009">
              <w:rPr>
                <w:rFonts w:ascii="Cambria Math" w:hAnsi="Cambria Math" w:cs="Cambria Math"/>
                <w:sz w:val="18"/>
                <w:szCs w:val="18"/>
              </w:rPr>
              <w:t>𝑗</w:t>
            </w:r>
          </w:p>
        </w:tc>
        <w:tc>
          <w:tcPr>
            <w:tcW w:w="6423" w:type="dxa"/>
            <w:shd w:val="clear" w:color="auto" w:fill="B8CCE4" w:themeFill="accent1" w:themeFillTint="66"/>
          </w:tcPr>
          <w:p w:rsidR="004C79E3" w:rsidRPr="00651009" w:rsidRDefault="004C79E3" w:rsidP="00673072">
            <w:pPr>
              <w:keepNext/>
              <w:spacing w:after="120"/>
              <w:rPr>
                <w:rFonts w:cs="Arial"/>
                <w:color w:val="000000" w:themeColor="text1"/>
                <w:sz w:val="18"/>
                <w:szCs w:val="18"/>
              </w:rPr>
            </w:pPr>
            <w:r w:rsidRPr="00651009">
              <w:rPr>
                <w:b/>
                <w:color w:val="1F497D" w:themeColor="text2"/>
                <w:sz w:val="18"/>
                <w:szCs w:val="18"/>
              </w:rPr>
              <w:t>Age</w:t>
            </w:r>
            <w:r w:rsidRPr="00651009">
              <w:rPr>
                <w:sz w:val="18"/>
                <w:szCs w:val="18"/>
              </w:rPr>
              <w:t xml:space="preserve"> is implemented through dummies for 5-year age groups (20-24, 25-29, 30-34).</w:t>
            </w:r>
          </w:p>
        </w:tc>
      </w:tr>
      <w:tr w:rsidR="004C79E3" w:rsidRPr="00651009" w:rsidTr="00E005E5">
        <w:trPr>
          <w:trHeight w:val="255"/>
        </w:trPr>
        <w:tc>
          <w:tcPr>
            <w:tcW w:w="1894" w:type="dxa"/>
            <w:vMerge/>
            <w:shd w:val="clear" w:color="auto" w:fill="auto"/>
            <w:noWrap/>
            <w:vAlign w:val="center"/>
          </w:tcPr>
          <w:p w:rsidR="004C79E3" w:rsidRPr="00651009" w:rsidRDefault="004C79E3" w:rsidP="00673072">
            <w:pPr>
              <w:keepNext/>
              <w:spacing w:after="120"/>
              <w:rPr>
                <w:rFonts w:cs="Arial"/>
                <w:sz w:val="18"/>
                <w:szCs w:val="18"/>
              </w:rPr>
            </w:pPr>
          </w:p>
        </w:tc>
        <w:tc>
          <w:tcPr>
            <w:tcW w:w="1145" w:type="dxa"/>
            <w:shd w:val="clear" w:color="auto" w:fill="B8CCE4" w:themeFill="accent1" w:themeFillTint="66"/>
            <w:noWrap/>
          </w:tcPr>
          <w:p w:rsidR="004C79E3" w:rsidRPr="00651009" w:rsidRDefault="004C79E3" w:rsidP="00673072">
            <w:pPr>
              <w:keepNext/>
              <w:spacing w:after="120"/>
              <w:rPr>
                <w:rFonts w:cs="Arial"/>
                <w:sz w:val="18"/>
                <w:szCs w:val="18"/>
              </w:rPr>
            </w:pPr>
            <w:r w:rsidRPr="00651009">
              <w:rPr>
                <w:rFonts w:ascii="Cambria Math" w:hAnsi="Cambria Math" w:cs="Cambria Math"/>
                <w:sz w:val="18"/>
                <w:szCs w:val="18"/>
              </w:rPr>
              <w:t>𝑔𝑖</w:t>
            </w:r>
            <w:r w:rsidRPr="00651009">
              <w:rPr>
                <w:sz w:val="18"/>
                <w:szCs w:val="18"/>
              </w:rPr>
              <w:t>,</w:t>
            </w:r>
            <w:r w:rsidRPr="00651009">
              <w:rPr>
                <w:rFonts w:ascii="Cambria Math" w:hAnsi="Cambria Math" w:cs="Cambria Math"/>
                <w:sz w:val="18"/>
                <w:szCs w:val="18"/>
              </w:rPr>
              <w:t>𝑗</w:t>
            </w:r>
          </w:p>
        </w:tc>
        <w:tc>
          <w:tcPr>
            <w:tcW w:w="6423" w:type="dxa"/>
            <w:shd w:val="clear" w:color="auto" w:fill="B8CCE4" w:themeFill="accent1" w:themeFillTint="66"/>
          </w:tcPr>
          <w:p w:rsidR="004C79E3" w:rsidRPr="00651009" w:rsidRDefault="004C79E3" w:rsidP="00673072">
            <w:pPr>
              <w:keepNext/>
              <w:spacing w:after="120"/>
              <w:rPr>
                <w:rFonts w:cs="Arial"/>
                <w:sz w:val="18"/>
                <w:szCs w:val="18"/>
              </w:rPr>
            </w:pPr>
            <w:r w:rsidRPr="00651009">
              <w:rPr>
                <w:rFonts w:cs="Arial"/>
                <w:b/>
                <w:color w:val="1F497D" w:themeColor="text2"/>
                <w:sz w:val="18"/>
                <w:szCs w:val="18"/>
              </w:rPr>
              <w:t xml:space="preserve">Gender </w:t>
            </w:r>
            <w:r w:rsidRPr="00651009">
              <w:rPr>
                <w:rFonts w:cs="Arial"/>
                <w:color w:val="000000" w:themeColor="text1"/>
                <w:sz w:val="18"/>
                <w:szCs w:val="18"/>
              </w:rPr>
              <w:t>is implemented through a</w:t>
            </w:r>
            <w:r w:rsidRPr="00651009">
              <w:rPr>
                <w:rFonts w:cs="Arial"/>
                <w:sz w:val="18"/>
                <w:szCs w:val="18"/>
              </w:rPr>
              <w:t xml:space="preserve"> dummy variable</w:t>
            </w:r>
          </w:p>
        </w:tc>
      </w:tr>
      <w:tr w:rsidR="004C79E3" w:rsidRPr="00651009" w:rsidTr="00E005E5">
        <w:trPr>
          <w:trHeight w:val="255"/>
        </w:trPr>
        <w:tc>
          <w:tcPr>
            <w:tcW w:w="1894" w:type="dxa"/>
            <w:vMerge/>
            <w:shd w:val="clear" w:color="auto" w:fill="auto"/>
            <w:noWrap/>
            <w:vAlign w:val="center"/>
          </w:tcPr>
          <w:p w:rsidR="004C79E3" w:rsidRPr="00651009" w:rsidRDefault="004C79E3" w:rsidP="00673072">
            <w:pPr>
              <w:keepNext/>
              <w:spacing w:after="120"/>
              <w:rPr>
                <w:rFonts w:cs="Arial"/>
                <w:sz w:val="18"/>
                <w:szCs w:val="18"/>
              </w:rPr>
            </w:pPr>
          </w:p>
        </w:tc>
        <w:tc>
          <w:tcPr>
            <w:tcW w:w="1145" w:type="dxa"/>
            <w:shd w:val="clear" w:color="auto" w:fill="B8CCE4" w:themeFill="accent1" w:themeFillTint="66"/>
            <w:noWrap/>
          </w:tcPr>
          <w:p w:rsidR="004C79E3" w:rsidRPr="00651009" w:rsidRDefault="004C79E3" w:rsidP="00673072">
            <w:pPr>
              <w:keepNext/>
              <w:spacing w:after="120"/>
              <w:rPr>
                <w:rFonts w:cs="Arial"/>
                <w:i/>
                <w:sz w:val="18"/>
                <w:szCs w:val="18"/>
              </w:rPr>
            </w:pPr>
            <w:r w:rsidRPr="00651009">
              <w:rPr>
                <w:rFonts w:cs="Cambria Math"/>
                <w:i/>
                <w:color w:val="000000"/>
                <w:sz w:val="18"/>
                <w:szCs w:val="18"/>
              </w:rPr>
              <w:t>hth</w:t>
            </w:r>
            <w:r w:rsidRPr="00651009">
              <w:rPr>
                <w:rFonts w:ascii="Cambria Math" w:hAnsi="Cambria Math" w:cs="Cambria Math"/>
                <w:i/>
                <w:color w:val="000000"/>
                <w:sz w:val="18"/>
                <w:szCs w:val="18"/>
              </w:rPr>
              <w:t>𝑖</w:t>
            </w:r>
            <w:r w:rsidRPr="00651009">
              <w:rPr>
                <w:rFonts w:cs="Cambria Math"/>
                <w:i/>
                <w:color w:val="000000"/>
                <w:sz w:val="18"/>
                <w:szCs w:val="18"/>
              </w:rPr>
              <w:t>,</w:t>
            </w:r>
            <w:r w:rsidRPr="00651009">
              <w:rPr>
                <w:rFonts w:ascii="Cambria Math" w:hAnsi="Cambria Math" w:cs="Cambria Math"/>
                <w:i/>
                <w:color w:val="000000"/>
                <w:sz w:val="18"/>
                <w:szCs w:val="18"/>
              </w:rPr>
              <w:t>𝑗</w:t>
            </w:r>
          </w:p>
        </w:tc>
        <w:tc>
          <w:tcPr>
            <w:tcW w:w="6423" w:type="dxa"/>
            <w:shd w:val="clear" w:color="auto" w:fill="B8CCE4" w:themeFill="accent1" w:themeFillTint="66"/>
          </w:tcPr>
          <w:p w:rsidR="004C79E3" w:rsidRPr="00651009" w:rsidRDefault="004C79E3" w:rsidP="00673072">
            <w:pPr>
              <w:keepNext/>
              <w:spacing w:after="120"/>
              <w:rPr>
                <w:rFonts w:cs="Arial"/>
                <w:sz w:val="18"/>
                <w:szCs w:val="18"/>
              </w:rPr>
            </w:pPr>
            <w:r w:rsidRPr="00651009">
              <w:rPr>
                <w:rFonts w:cs="Arial"/>
                <w:b/>
                <w:color w:val="1F497D" w:themeColor="text2"/>
                <w:sz w:val="18"/>
                <w:szCs w:val="18"/>
              </w:rPr>
              <w:t>Self-reported health status</w:t>
            </w:r>
            <w:r w:rsidRPr="00651009">
              <w:rPr>
                <w:rFonts w:cs="Arial"/>
                <w:color w:val="1F497D" w:themeColor="text2"/>
                <w:sz w:val="18"/>
                <w:szCs w:val="18"/>
              </w:rPr>
              <w:t xml:space="preserve"> </w:t>
            </w:r>
            <w:r w:rsidRPr="00651009">
              <w:rPr>
                <w:rFonts w:cs="Arial"/>
                <w:color w:val="000000" w:themeColor="text1"/>
                <w:sz w:val="18"/>
                <w:szCs w:val="18"/>
              </w:rPr>
              <w:t>is implemented through an ordinal variable with five categories: excellent, very good, good, fair, poor.</w:t>
            </w:r>
          </w:p>
        </w:tc>
      </w:tr>
      <w:tr w:rsidR="00673072" w:rsidRPr="00651009" w:rsidTr="00E005E5">
        <w:trPr>
          <w:trHeight w:val="255"/>
        </w:trPr>
        <w:tc>
          <w:tcPr>
            <w:tcW w:w="1894" w:type="dxa"/>
            <w:vMerge w:val="restart"/>
            <w:shd w:val="clear" w:color="auto" w:fill="auto"/>
            <w:noWrap/>
            <w:vAlign w:val="center"/>
          </w:tcPr>
          <w:p w:rsidR="00673072" w:rsidRPr="00651009" w:rsidRDefault="00673072" w:rsidP="00673072">
            <w:pPr>
              <w:keepNext/>
              <w:spacing w:after="120"/>
              <w:rPr>
                <w:rFonts w:cs="Arial"/>
                <w:b/>
                <w:sz w:val="18"/>
                <w:szCs w:val="18"/>
              </w:rPr>
            </w:pPr>
            <w:r w:rsidRPr="00651009">
              <w:rPr>
                <w:rFonts w:cs="Arial"/>
                <w:b/>
                <w:sz w:val="18"/>
                <w:szCs w:val="18"/>
              </w:rPr>
              <w:t>Other</w:t>
            </w:r>
          </w:p>
          <w:p w:rsidR="00673072" w:rsidRPr="00651009" w:rsidRDefault="00673072" w:rsidP="00673072">
            <w:pPr>
              <w:keepNext/>
              <w:spacing w:after="120"/>
              <w:rPr>
                <w:rFonts w:cs="Arial"/>
                <w:sz w:val="18"/>
                <w:szCs w:val="18"/>
              </w:rPr>
            </w:pPr>
          </w:p>
        </w:tc>
        <w:tc>
          <w:tcPr>
            <w:tcW w:w="1145" w:type="dxa"/>
            <w:shd w:val="clear" w:color="auto" w:fill="B8CCE4" w:themeFill="accent1" w:themeFillTint="66"/>
            <w:noWrap/>
          </w:tcPr>
          <w:p w:rsidR="00673072" w:rsidRPr="00651009" w:rsidRDefault="00673072" w:rsidP="00673072">
            <w:pPr>
              <w:keepNext/>
              <w:spacing w:after="120"/>
              <w:rPr>
                <w:rFonts w:cs="Arial"/>
                <w:sz w:val="18"/>
                <w:szCs w:val="18"/>
              </w:rPr>
            </w:pPr>
            <w:r w:rsidRPr="00651009">
              <w:rPr>
                <w:rFonts w:ascii="Cambria Math" w:hAnsi="Cambria Math" w:cs="Cambria Math"/>
                <w:sz w:val="18"/>
                <w:szCs w:val="18"/>
              </w:rPr>
              <w:t>𝑤𝑖</w:t>
            </w:r>
            <w:r w:rsidRPr="00651009">
              <w:rPr>
                <w:sz w:val="18"/>
                <w:szCs w:val="18"/>
              </w:rPr>
              <w:t>,</w:t>
            </w:r>
            <w:r w:rsidRPr="00651009">
              <w:rPr>
                <w:rFonts w:ascii="Cambria Math" w:hAnsi="Cambria Math" w:cs="Cambria Math"/>
                <w:sz w:val="18"/>
                <w:szCs w:val="18"/>
              </w:rPr>
              <w:t>𝑗</w:t>
            </w:r>
          </w:p>
        </w:tc>
        <w:tc>
          <w:tcPr>
            <w:tcW w:w="6423" w:type="dxa"/>
            <w:shd w:val="clear" w:color="auto" w:fill="B8CCE4" w:themeFill="accent1" w:themeFillTint="66"/>
          </w:tcPr>
          <w:p w:rsidR="00673072" w:rsidRPr="00651009" w:rsidRDefault="00673072" w:rsidP="00673072">
            <w:pPr>
              <w:keepNext/>
              <w:spacing w:after="120"/>
              <w:rPr>
                <w:rFonts w:cs="Arial"/>
                <w:sz w:val="18"/>
                <w:szCs w:val="18"/>
              </w:rPr>
            </w:pPr>
            <w:r w:rsidRPr="00651009">
              <w:rPr>
                <w:b/>
                <w:color w:val="1F497D" w:themeColor="text2"/>
                <w:sz w:val="18"/>
                <w:szCs w:val="18"/>
              </w:rPr>
              <w:t>Number of years of paid work</w:t>
            </w:r>
            <w:r w:rsidRPr="00651009">
              <w:rPr>
                <w:color w:val="1F497D" w:themeColor="text2"/>
                <w:sz w:val="18"/>
                <w:szCs w:val="18"/>
              </w:rPr>
              <w:t xml:space="preserve"> </w:t>
            </w:r>
            <w:r w:rsidRPr="00651009">
              <w:rPr>
                <w:sz w:val="18"/>
                <w:szCs w:val="18"/>
              </w:rPr>
              <w:t>during the life-time.</w:t>
            </w:r>
          </w:p>
        </w:tc>
      </w:tr>
      <w:tr w:rsidR="00673072" w:rsidRPr="00651009" w:rsidTr="00E005E5">
        <w:trPr>
          <w:trHeight w:val="255"/>
        </w:trPr>
        <w:tc>
          <w:tcPr>
            <w:tcW w:w="1894" w:type="dxa"/>
            <w:vMerge/>
            <w:shd w:val="clear" w:color="auto" w:fill="auto"/>
            <w:noWrap/>
            <w:vAlign w:val="center"/>
          </w:tcPr>
          <w:p w:rsidR="00673072" w:rsidRPr="00651009" w:rsidRDefault="00673072" w:rsidP="00673072">
            <w:pPr>
              <w:keepNext/>
              <w:spacing w:after="120"/>
              <w:rPr>
                <w:rFonts w:cs="Arial"/>
                <w:sz w:val="18"/>
                <w:szCs w:val="18"/>
              </w:rPr>
            </w:pPr>
          </w:p>
        </w:tc>
        <w:tc>
          <w:tcPr>
            <w:tcW w:w="1145" w:type="dxa"/>
            <w:shd w:val="clear" w:color="auto" w:fill="B8CCE4" w:themeFill="accent1" w:themeFillTint="66"/>
            <w:noWrap/>
          </w:tcPr>
          <w:p w:rsidR="00673072" w:rsidRPr="00651009" w:rsidRDefault="00673072" w:rsidP="00673072">
            <w:pPr>
              <w:keepNext/>
              <w:spacing w:after="120"/>
              <w:rPr>
                <w:rFonts w:cs="Arial"/>
                <w:sz w:val="18"/>
                <w:szCs w:val="18"/>
              </w:rPr>
            </w:pPr>
            <w:r w:rsidRPr="00651009">
              <w:rPr>
                <w:sz w:val="18"/>
                <w:szCs w:val="18"/>
              </w:rPr>
              <w:t>oc</w:t>
            </w:r>
            <w:r w:rsidRPr="00651009">
              <w:rPr>
                <w:rFonts w:ascii="Cambria Math" w:hAnsi="Cambria Math" w:cs="Cambria Math"/>
                <w:sz w:val="18"/>
                <w:szCs w:val="18"/>
              </w:rPr>
              <w:t>𝑖</w:t>
            </w:r>
            <w:r w:rsidRPr="00651009">
              <w:rPr>
                <w:sz w:val="18"/>
                <w:szCs w:val="18"/>
              </w:rPr>
              <w:t>,</w:t>
            </w:r>
            <w:r w:rsidRPr="00651009">
              <w:rPr>
                <w:rFonts w:ascii="Cambria Math" w:hAnsi="Cambria Math" w:cs="Cambria Math"/>
                <w:sz w:val="18"/>
                <w:szCs w:val="18"/>
              </w:rPr>
              <w:t>𝑗</w:t>
            </w:r>
          </w:p>
        </w:tc>
        <w:tc>
          <w:tcPr>
            <w:tcW w:w="6423" w:type="dxa"/>
            <w:shd w:val="clear" w:color="auto" w:fill="B8CCE4" w:themeFill="accent1" w:themeFillTint="66"/>
          </w:tcPr>
          <w:p w:rsidR="00673072" w:rsidRPr="00651009" w:rsidRDefault="00673072" w:rsidP="00673072">
            <w:pPr>
              <w:pStyle w:val="BodyText"/>
              <w:rPr>
                <w:rFonts w:cs="Arial"/>
                <w:sz w:val="18"/>
                <w:szCs w:val="18"/>
              </w:rPr>
            </w:pPr>
            <w:r w:rsidRPr="00651009">
              <w:rPr>
                <w:b/>
                <w:color w:val="1F497D" w:themeColor="text2"/>
                <w:sz w:val="18"/>
                <w:szCs w:val="18"/>
              </w:rPr>
              <w:t>Skill demand of the occupation or the workplace of the respondent</w:t>
            </w:r>
            <w:r w:rsidRPr="00651009">
              <w:rPr>
                <w:sz w:val="18"/>
                <w:szCs w:val="18"/>
              </w:rPr>
              <w:t xml:space="preserve"> to control for variation in skill use and development at the work-place. This is implemented through 4 categories: skilled occupations, semi-skilled white-collar occupations, semi-skilled blue-collar occupations and elementary occupations.</w:t>
            </w:r>
            <w:r w:rsidR="000B25F0" w:rsidRPr="00651009">
              <w:rPr>
                <w:rStyle w:val="FootnoteReference"/>
                <w:sz w:val="18"/>
                <w:szCs w:val="18"/>
              </w:rPr>
              <w:footnoteReference w:id="18"/>
            </w:r>
          </w:p>
        </w:tc>
      </w:tr>
    </w:tbl>
    <w:p w:rsidR="00FB7644" w:rsidRDefault="00FB7644" w:rsidP="003D6CAE">
      <w:pPr>
        <w:jc w:val="left"/>
      </w:pPr>
    </w:p>
    <w:p w:rsidR="00642211" w:rsidRPr="001E31D3" w:rsidRDefault="00642211" w:rsidP="00B664E6">
      <w:pPr>
        <w:pStyle w:val="BodyText"/>
        <w:spacing w:line="288" w:lineRule="auto"/>
      </w:pPr>
      <w:r w:rsidRPr="001E31D3">
        <w:t>Our primary interest is the coefficient ß1, which expresses the strength and nature of the relationship between competences and educational attainment. In fact, the coefficients obtained for the different qualification dummies expr</w:t>
      </w:r>
      <w:r w:rsidR="004C79E3" w:rsidRPr="001E31D3">
        <w:t>ess the average competence difference</w:t>
      </w:r>
      <w:r w:rsidRPr="001E31D3">
        <w:t xml:space="preserve"> between one level of education and another (e.g. between tertiary and upper secondary education).</w:t>
      </w:r>
    </w:p>
    <w:p w:rsidR="00673072" w:rsidRPr="00651009" w:rsidRDefault="00673072" w:rsidP="00673072">
      <w:pPr>
        <w:pStyle w:val="BodyText"/>
        <w:spacing w:line="288" w:lineRule="auto"/>
        <w:rPr>
          <w:color w:val="000000" w:themeColor="text1"/>
        </w:rPr>
      </w:pPr>
      <w:r w:rsidRPr="00651009">
        <w:rPr>
          <w:color w:val="000000" w:themeColor="text1"/>
        </w:rPr>
        <w:t>Individual ability specified as Ai,j in the theoretical model is unobserved.</w:t>
      </w:r>
    </w:p>
    <w:bookmarkStart w:id="145" w:name="_Toc435620173"/>
    <w:bookmarkStart w:id="146" w:name="_Toc435802094"/>
    <w:bookmarkStart w:id="147" w:name="_Toc427154769"/>
    <w:bookmarkStart w:id="148" w:name="_Toc427232496"/>
    <w:bookmarkStart w:id="149" w:name="_Toc432873771"/>
    <w:p w:rsidR="00FB7644" w:rsidRDefault="00B664E6" w:rsidP="00B664E6">
      <w:pPr>
        <w:pStyle w:val="Heading3"/>
      </w:pPr>
      <w:r w:rsidRPr="00B664E6">
        <w:rPr>
          <w:b w:val="0"/>
          <w:noProof/>
          <w:color w:val="1F497D" w:themeColor="text2"/>
          <w:lang w:val="en-US" w:eastAsia="en-US"/>
        </w:rPr>
        <mc:AlternateContent>
          <mc:Choice Requires="wps">
            <w:drawing>
              <wp:inline distT="0" distB="0" distL="0" distR="0" wp14:anchorId="494C56C7" wp14:editId="10A9FED1">
                <wp:extent cx="5580000" cy="6469039"/>
                <wp:effectExtent l="38100" t="38100" r="135255" b="141605"/>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6469039"/>
                        </a:xfrm>
                        <a:prstGeom prst="rect">
                          <a:avLst/>
                        </a:prstGeom>
                        <a:solidFill>
                          <a:schemeClr val="bg1">
                            <a:lumMod val="85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B664E6">
                            <w:pPr>
                              <w:pStyle w:val="BodyText"/>
                              <w:shd w:val="clear" w:color="auto" w:fill="D9D9D9" w:themeFill="background1" w:themeFillShade="D9"/>
                              <w:spacing w:line="288" w:lineRule="auto"/>
                              <w:jc w:val="center"/>
                              <w:rPr>
                                <w:b/>
                                <w:color w:val="1F497D" w:themeColor="text2"/>
                              </w:rPr>
                            </w:pPr>
                            <w:r>
                              <w:rPr>
                                <w:b/>
                                <w:color w:val="1F497D" w:themeColor="text2"/>
                              </w:rPr>
                              <w:t>The unobserved ability bias</w:t>
                            </w:r>
                          </w:p>
                          <w:p w:rsidR="00394EBA" w:rsidRDefault="00394EBA" w:rsidP="00B664E6">
                            <w:pPr>
                              <w:pStyle w:val="BodyText"/>
                              <w:shd w:val="clear" w:color="auto" w:fill="D9D9D9" w:themeFill="background1" w:themeFillShade="D9"/>
                              <w:spacing w:line="288" w:lineRule="auto"/>
                            </w:pPr>
                            <w:r w:rsidRPr="005936AE">
                              <w:rPr>
                                <w:b/>
                                <w:color w:val="1F497D" w:themeColor="text2"/>
                              </w:rPr>
                              <w:t>Individual ability specified as Ai,j in the theoretical model is unobserved</w:t>
                            </w:r>
                            <w:r w:rsidRPr="005936AE">
                              <w:t xml:space="preserve">. This makes it highly likely that there is some endogeneity in the model, as both skills hi,j and qualifications qi,j can be expected to be correlated with this unobserved individual ability. This leads to upward biased estimates of ß1, i.e. we </w:t>
                            </w:r>
                            <w:r>
                              <w:t>are likely to</w:t>
                            </w:r>
                            <w:r w:rsidRPr="005936AE">
                              <w:t xml:space="preserve"> overestimate the effect of educational attainment on competences. Estimates </w:t>
                            </w:r>
                            <w:r>
                              <w:t>are</w:t>
                            </w:r>
                            <w:r w:rsidRPr="005936AE">
                              <w:t xml:space="preserve"> also</w:t>
                            </w:r>
                            <w:r>
                              <w:t xml:space="preserve"> likely to</w:t>
                            </w:r>
                            <w:r w:rsidRPr="005936AE">
                              <w:t xml:space="preserve"> be inconsistent.  This omitted variable problem is frequently discussed in the econometric literature and referred to as ability bias (see e.g. Angrist/Krueger 1991, and Card 2001).</w:t>
                            </w:r>
                          </w:p>
                          <w:p w:rsidR="00394EBA" w:rsidRPr="005936AE" w:rsidRDefault="00394EBA" w:rsidP="00B664E6">
                            <w:pPr>
                              <w:pStyle w:val="BodyText"/>
                              <w:shd w:val="clear" w:color="auto" w:fill="D9D9D9" w:themeFill="background1" w:themeFillShade="D9"/>
                              <w:spacing w:line="288" w:lineRule="auto"/>
                            </w:pPr>
                            <w:r w:rsidRPr="005936AE">
                              <w:rPr>
                                <w:b/>
                                <w:color w:val="1F497D" w:themeColor="text2"/>
                              </w:rPr>
                              <w:t>Instrumental variables</w:t>
                            </w:r>
                            <w:r>
                              <w:rPr>
                                <w:b/>
                                <w:color w:val="1F497D" w:themeColor="text2"/>
                              </w:rPr>
                              <w:t xml:space="preserve"> </w:t>
                            </w:r>
                            <w:r w:rsidRPr="005936AE">
                              <w:rPr>
                                <w:b/>
                                <w:color w:val="1F497D" w:themeColor="text2"/>
                              </w:rPr>
                              <w:t>(IVs)</w:t>
                            </w:r>
                            <w:r w:rsidRPr="005936AE">
                              <w:rPr>
                                <w:color w:val="1F497D" w:themeColor="text2"/>
                              </w:rPr>
                              <w:t xml:space="preserve"> </w:t>
                            </w:r>
                            <w:r w:rsidRPr="005936AE">
                              <w:t>could help address the omitted variable bias. In the particular setting discussed here, however, it is difficult to think of an instrument, which would fulfil the validity and relevance restrictions, as the instrument would have to influence qualification levels, but not directly affect skill levels. PIAAC itself in its pilot phases included a number of question items which were to function as IVs, however these were not included in the final questionnaire, due to their low expected efficacy (see Borghans et al 2008 and OECD 2009: p 32). Some have suggested that policy changes, such as in compulsory school leaving laws</w:t>
                            </w:r>
                            <w:r>
                              <w:t xml:space="preserve"> </w:t>
                            </w:r>
                            <w:r w:rsidRPr="005936AE">
                              <w:t>could be used as an instrument (see Angrist/Krueger 1997, Hanushek et al 2015). However, collecting such data is beyond the scope this study.</w:t>
                            </w:r>
                          </w:p>
                          <w:p w:rsidR="00394EBA" w:rsidRPr="005936AE" w:rsidRDefault="00394EBA" w:rsidP="00B664E6">
                            <w:pPr>
                              <w:pStyle w:val="BodyText"/>
                              <w:shd w:val="clear" w:color="auto" w:fill="D9D9D9" w:themeFill="background1" w:themeFillShade="D9"/>
                              <w:spacing w:line="288" w:lineRule="auto"/>
                            </w:pPr>
                            <w:r w:rsidRPr="005936AE">
                              <w:t xml:space="preserve">We suggest that the potential bias can be disregarded in the context of this study under the assumption that this endogeneity and the resulting bias are constant across countries. </w:t>
                            </w:r>
                            <w:r w:rsidRPr="005936AE">
                              <w:rPr>
                                <w:b/>
                                <w:color w:val="1F497D" w:themeColor="text2"/>
                              </w:rPr>
                              <w:t>As such, the likely endogeneity does not weaken the conclusions of this study</w:t>
                            </w:r>
                            <w:r w:rsidRPr="005936AE">
                              <w:t>.</w:t>
                            </w:r>
                            <w:r>
                              <w:t xml:space="preserve"> It should be noted however that this is a strong assumption.</w:t>
                            </w:r>
                          </w:p>
                          <w:p w:rsidR="00394EBA" w:rsidRDefault="00394EBA" w:rsidP="00B664E6">
                            <w:pPr>
                              <w:pStyle w:val="BodyText"/>
                              <w:shd w:val="clear" w:color="auto" w:fill="D9D9D9" w:themeFill="background1" w:themeFillShade="D9"/>
                              <w:spacing w:line="288" w:lineRule="auto"/>
                            </w:pPr>
                            <w:r w:rsidRPr="005936AE">
                              <w:t>In any case, the endogeneity problem implies that the empirical model needs to</w:t>
                            </w:r>
                            <w:r>
                              <w:t xml:space="preserve"> be </w:t>
                            </w:r>
                            <w:r w:rsidRPr="005936AE">
                              <w:t xml:space="preserve">interpreted with caution and </w:t>
                            </w:r>
                            <w:r w:rsidRPr="005936AE">
                              <w:rPr>
                                <w:b/>
                                <w:color w:val="1F497D" w:themeColor="text2"/>
                              </w:rPr>
                              <w:t>no causal interpretation</w:t>
                            </w:r>
                            <w:r w:rsidRPr="005936AE">
                              <w:rPr>
                                <w:color w:val="1F497D" w:themeColor="text2"/>
                              </w:rPr>
                              <w:t xml:space="preserve"> </w:t>
                            </w:r>
                            <w:r w:rsidRPr="005936AE">
                              <w:t>should be given to the coefficient of educational attainment, i.e. the levels of educational attainment cannot be interpreted as causal for competence levels.</w:t>
                            </w:r>
                          </w:p>
                          <w:p w:rsidR="00394EBA" w:rsidRDefault="00394EBA" w:rsidP="00B664E6">
                            <w:pPr>
                              <w:shd w:val="clear" w:color="auto" w:fill="D9D9D9" w:themeFill="background1" w:themeFillShade="D9"/>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494C56C7" id="_x0000_s1046" style="width:439.35pt;height:509.3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" fillcolor="#d8d8d8 [2732]" strokecolor="gray [1629]" strokeweight="1.5pt">
                <v:shadow on="t" type="perspective" color="black" opacity="26214f" origin="-.5,-.5" offset=".74836mm,.74836mm" matrix="65864f,,,65864f"/>
                <v:textbox inset="21.6pt,21.6pt,21.6pt,21.6pt">
                  <w:txbxContent>
                    <w:p w:rsidR="00394EBA" w:rsidRDefault="00394EBA" w:rsidP="00B664E6">
                      <w:pPr>
                        <w:pStyle w:val="BodyText"/>
                        <w:shd w:val="clear" w:color="auto" w:fill="D9D9D9" w:themeFill="background1" w:themeFillShade="D9"/>
                        <w:spacing w:line="288" w:lineRule="auto"/>
                        <w:jc w:val="center"/>
                        <w:rPr>
                          <w:b/>
                          <w:color w:val="1F497D" w:themeColor="text2"/>
                        </w:rPr>
                      </w:pPr>
                      <w:r>
                        <w:rPr>
                          <w:b/>
                          <w:color w:val="1F497D" w:themeColor="text2"/>
                        </w:rPr>
                        <w:t>The unobserved ability bias</w:t>
                      </w:r>
                    </w:p>
                    <w:p w:rsidR="00394EBA" w:rsidRDefault="00394EBA" w:rsidP="00B664E6">
                      <w:pPr>
                        <w:pStyle w:val="BodyText"/>
                        <w:shd w:val="clear" w:color="auto" w:fill="D9D9D9" w:themeFill="background1" w:themeFillShade="D9"/>
                        <w:spacing w:line="288" w:lineRule="auto"/>
                      </w:pPr>
                      <w:r w:rsidRPr="005936AE">
                        <w:rPr>
                          <w:b/>
                          <w:color w:val="1F497D" w:themeColor="text2"/>
                        </w:rPr>
                        <w:t>Individual ability specified as Ai,j in the theoretical model is unobserved</w:t>
                      </w:r>
                      <w:r w:rsidRPr="005936AE">
                        <w:t xml:space="preserve">. This makes it highly likely that there is some endogeneity in the model, as both skills hi,j and qualifications qi,j can be expected to be correlated with this unobserved individual ability. This leads to upward biased estimates of ß1, i.e. we </w:t>
                      </w:r>
                      <w:r>
                        <w:t>are likely to</w:t>
                      </w:r>
                      <w:r w:rsidRPr="005936AE">
                        <w:t xml:space="preserve"> overestimate the effect of educational attainment on competences. Estimates </w:t>
                      </w:r>
                      <w:r>
                        <w:t>are</w:t>
                      </w:r>
                      <w:r w:rsidRPr="005936AE">
                        <w:t xml:space="preserve"> also</w:t>
                      </w:r>
                      <w:r>
                        <w:t xml:space="preserve"> likely to</w:t>
                      </w:r>
                      <w:r w:rsidRPr="005936AE">
                        <w:t xml:space="preserve"> be inconsistent.  This omitted variable problem is frequently discussed in the econometric literature and referred to as ability bias (see e.g. Angrist/Krueger 1991, and Card 2001).</w:t>
                      </w:r>
                    </w:p>
                    <w:p w:rsidR="00394EBA" w:rsidRPr="005936AE" w:rsidRDefault="00394EBA" w:rsidP="00B664E6">
                      <w:pPr>
                        <w:pStyle w:val="BodyText"/>
                        <w:shd w:val="clear" w:color="auto" w:fill="D9D9D9" w:themeFill="background1" w:themeFillShade="D9"/>
                        <w:spacing w:line="288" w:lineRule="auto"/>
                      </w:pPr>
                      <w:r w:rsidRPr="005936AE">
                        <w:rPr>
                          <w:b/>
                          <w:color w:val="1F497D" w:themeColor="text2"/>
                        </w:rPr>
                        <w:t>Instrumental variables</w:t>
                      </w:r>
                      <w:r>
                        <w:rPr>
                          <w:b/>
                          <w:color w:val="1F497D" w:themeColor="text2"/>
                        </w:rPr>
                        <w:t xml:space="preserve"> </w:t>
                      </w:r>
                      <w:r w:rsidRPr="005936AE">
                        <w:rPr>
                          <w:b/>
                          <w:color w:val="1F497D" w:themeColor="text2"/>
                        </w:rPr>
                        <w:t>(IVs)</w:t>
                      </w:r>
                      <w:r w:rsidRPr="005936AE">
                        <w:rPr>
                          <w:color w:val="1F497D" w:themeColor="text2"/>
                        </w:rPr>
                        <w:t xml:space="preserve"> </w:t>
                      </w:r>
                      <w:r w:rsidRPr="005936AE">
                        <w:t>could help address the omitted variable bias. In the particular setting discussed here, however, it is difficult to think of an instrument, which would fulfil the validity and relevance restrictions, as the instrument would have to influence qualification levels, but not directly affect skill levels. PIAAC itself in its pilot phases included a number of question items which were to function as IVs, however these were not included in the final questionnaire, due to their low expected efficacy (see Borghans et al 2008 and OECD 2009: p 32). Some have suggested that policy changes, such as in compulsory school leaving laws</w:t>
                      </w:r>
                      <w:r>
                        <w:t xml:space="preserve"> </w:t>
                      </w:r>
                      <w:r w:rsidRPr="005936AE">
                        <w:t>could be used as an instrument (see Angrist/Krueger 1997, Hanushek et al 2015). However, collecting such data is beyond the scope this study.</w:t>
                      </w:r>
                    </w:p>
                    <w:p w:rsidR="00394EBA" w:rsidRPr="005936AE" w:rsidRDefault="00394EBA" w:rsidP="00B664E6">
                      <w:pPr>
                        <w:pStyle w:val="BodyText"/>
                        <w:shd w:val="clear" w:color="auto" w:fill="D9D9D9" w:themeFill="background1" w:themeFillShade="D9"/>
                        <w:spacing w:line="288" w:lineRule="auto"/>
                      </w:pPr>
                      <w:r w:rsidRPr="005936AE">
                        <w:t xml:space="preserve">We suggest that the potential bias can be disregarded in the context of this study under the assumption that this endogeneity and the resulting bias are constant across countries. </w:t>
                      </w:r>
                      <w:r w:rsidRPr="005936AE">
                        <w:rPr>
                          <w:b/>
                          <w:color w:val="1F497D" w:themeColor="text2"/>
                        </w:rPr>
                        <w:t>As such, the likely endogeneity does not weaken the conclusions of this study</w:t>
                      </w:r>
                      <w:r w:rsidRPr="005936AE">
                        <w:t>.</w:t>
                      </w:r>
                      <w:r>
                        <w:t xml:space="preserve"> It should be noted however that this is a strong assumption.</w:t>
                      </w:r>
                    </w:p>
                    <w:p w:rsidR="00394EBA" w:rsidRDefault="00394EBA" w:rsidP="00B664E6">
                      <w:pPr>
                        <w:pStyle w:val="BodyText"/>
                        <w:shd w:val="clear" w:color="auto" w:fill="D9D9D9" w:themeFill="background1" w:themeFillShade="D9"/>
                        <w:spacing w:line="288" w:lineRule="auto"/>
                      </w:pPr>
                      <w:r w:rsidRPr="005936AE">
                        <w:t>In any case, the endogeneity problem implies that the empirical model needs to</w:t>
                      </w:r>
                      <w:r>
                        <w:t xml:space="preserve"> be </w:t>
                      </w:r>
                      <w:r w:rsidRPr="005936AE">
                        <w:t xml:space="preserve">interpreted with caution and </w:t>
                      </w:r>
                      <w:r w:rsidRPr="005936AE">
                        <w:rPr>
                          <w:b/>
                          <w:color w:val="1F497D" w:themeColor="text2"/>
                        </w:rPr>
                        <w:t>no causal interpretation</w:t>
                      </w:r>
                      <w:r w:rsidRPr="005936AE">
                        <w:rPr>
                          <w:color w:val="1F497D" w:themeColor="text2"/>
                        </w:rPr>
                        <w:t xml:space="preserve"> </w:t>
                      </w:r>
                      <w:r w:rsidRPr="005936AE">
                        <w:t>should be given to the coefficient of educational attainment, i.e. the levels of educational attainment cannot be interpreted as causal for competence levels.</w:t>
                      </w:r>
                    </w:p>
                    <w:p w:rsidR="00394EBA" w:rsidRDefault="00394EBA" w:rsidP="00B664E6">
                      <w:pPr>
                        <w:shd w:val="clear" w:color="auto" w:fill="D9D9D9" w:themeFill="background1" w:themeFillShade="D9"/>
                        <w:rPr>
                          <w:color w:val="4F81BD" w:themeColor="accent1"/>
                          <w:szCs w:val="20"/>
                        </w:rPr>
                      </w:pPr>
                    </w:p>
                  </w:txbxContent>
                </v:textbox>
                <w10:anchorlock/>
              </v:rect>
            </w:pict>
          </mc:Fallback>
        </mc:AlternateContent>
      </w:r>
      <w:bookmarkEnd w:id="145"/>
      <w:bookmarkEnd w:id="146"/>
    </w:p>
    <w:p w:rsidR="00673072" w:rsidRPr="001E31D3" w:rsidRDefault="00673072" w:rsidP="00673072">
      <w:pPr>
        <w:autoSpaceDE w:val="0"/>
        <w:autoSpaceDN w:val="0"/>
        <w:adjustRightInd w:val="0"/>
        <w:spacing w:after="120" w:line="288" w:lineRule="auto"/>
      </w:pPr>
      <w:r w:rsidRPr="001E31D3">
        <w:t>The theoretical model suggests that effects of educational attainment on competences are country</w:t>
      </w:r>
      <w:r w:rsidR="0082356D" w:rsidRPr="001E31D3">
        <w:t>-</w:t>
      </w:r>
      <w:r w:rsidRPr="001E31D3">
        <w:t xml:space="preserve">specific, i.e. the size of the effect may differ between countries. PIAAC contains data on individuals nested within country contexts, i.e. clusters. The key challenge </w:t>
      </w:r>
      <w:r w:rsidR="0082356D" w:rsidRPr="001E31D3">
        <w:t>for</w:t>
      </w:r>
      <w:r w:rsidRPr="001E31D3">
        <w:t xml:space="preserve"> </w:t>
      </w:r>
      <w:r w:rsidR="0082356D" w:rsidRPr="001E31D3">
        <w:t xml:space="preserve">appropriately </w:t>
      </w:r>
      <w:r w:rsidRPr="001E31D3">
        <w:t>model</w:t>
      </w:r>
      <w:r w:rsidR="0082356D" w:rsidRPr="001E31D3">
        <w:t>ling</w:t>
      </w:r>
      <w:r w:rsidRPr="001E31D3">
        <w:t xml:space="preserve"> relationships in this setting revolves around how to model outcome differences between and within clusters (Bryan and Jenkins 2013:2). </w:t>
      </w:r>
    </w:p>
    <w:p w:rsidR="00673072" w:rsidRPr="001E31D3" w:rsidRDefault="00673072" w:rsidP="00673072">
      <w:pPr>
        <w:autoSpaceDE w:val="0"/>
        <w:autoSpaceDN w:val="0"/>
        <w:adjustRightInd w:val="0"/>
        <w:spacing w:after="120" w:line="288" w:lineRule="auto"/>
        <w:rPr>
          <w:rFonts w:cs="Arial"/>
          <w:szCs w:val="20"/>
        </w:rPr>
      </w:pPr>
      <w:r w:rsidRPr="001E31D3">
        <w:t>The following analysis tests a number of alternative specifications to model the relationship between competences and educational attainment. In particular, we model this relationship first as a pooled regression for level of qualifications (with and without country</w:t>
      </w:r>
      <w:r w:rsidR="0082356D" w:rsidRPr="001E31D3">
        <w:t>-</w:t>
      </w:r>
      <w:r w:rsidRPr="001E31D3">
        <w:t>specific fixed effects), then adding control variables at individual level to account for differences in the composition of young people between different countries. We then add country fixed effects and interaction terms to model the varying strength of the relationship between competences and educational attainment. Different estimation methods were tested for the purpose of sensitivity analysis and are annexed to this report</w:t>
      </w:r>
      <w:r w:rsidRPr="001E31D3">
        <w:rPr>
          <w:rFonts w:cs="Arial"/>
          <w:szCs w:val="20"/>
        </w:rPr>
        <w:t>.</w:t>
      </w:r>
    </w:p>
    <w:p w:rsidR="00673072" w:rsidRPr="001E31D3" w:rsidRDefault="00673072" w:rsidP="00673072">
      <w:pPr>
        <w:autoSpaceDE w:val="0"/>
        <w:autoSpaceDN w:val="0"/>
        <w:adjustRightInd w:val="0"/>
        <w:spacing w:after="120" w:line="288" w:lineRule="auto"/>
        <w:rPr>
          <w:rFonts w:cs="Arial"/>
          <w:szCs w:val="20"/>
        </w:rPr>
      </w:pPr>
      <w:r w:rsidRPr="001E31D3">
        <w:rPr>
          <w:rFonts w:cs="Arial"/>
          <w:szCs w:val="20"/>
        </w:rPr>
        <w:t>To investigate the extent and significance of the relationship between formal educational attainment and competences, we present results from four different specifications in this report:</w:t>
      </w:r>
    </w:p>
    <w:p w:rsidR="00673072" w:rsidRPr="001E31D3" w:rsidRDefault="00673072" w:rsidP="00A05A88">
      <w:pPr>
        <w:pStyle w:val="ListParagraph"/>
        <w:numPr>
          <w:ilvl w:val="0"/>
          <w:numId w:val="30"/>
        </w:numPr>
        <w:autoSpaceDE w:val="0"/>
        <w:autoSpaceDN w:val="0"/>
        <w:adjustRightInd w:val="0"/>
        <w:spacing w:after="120" w:line="288" w:lineRule="auto"/>
        <w:rPr>
          <w:rFonts w:cs="Arial"/>
          <w:szCs w:val="20"/>
        </w:rPr>
      </w:pPr>
      <w:r w:rsidRPr="001E31D3">
        <w:rPr>
          <w:rFonts w:cs="Arial"/>
          <w:b/>
          <w:color w:val="1F497D" w:themeColor="text2"/>
          <w:szCs w:val="20"/>
        </w:rPr>
        <w:t>M1 is the null-model of a linear regression of the pooled dataset</w:t>
      </w:r>
      <w:r w:rsidRPr="001E31D3">
        <w:rPr>
          <w:rFonts w:cs="Arial"/>
          <w:b/>
          <w:szCs w:val="20"/>
        </w:rPr>
        <w:t>.</w:t>
      </w:r>
      <w:r w:rsidRPr="001E31D3">
        <w:rPr>
          <w:rFonts w:cs="Arial"/>
          <w:szCs w:val="20"/>
        </w:rPr>
        <w:t xml:space="preserve"> This model estimates the partial effect of different qualification levels on competences, i.e. it estimates the effect without controlling for any individual background or country level variables. It ignores the fact that individuals are nested within countries.</w:t>
      </w:r>
    </w:p>
    <w:p w:rsidR="00673072" w:rsidRPr="001E31D3" w:rsidRDefault="00673072" w:rsidP="00A05A88">
      <w:pPr>
        <w:pStyle w:val="ListParagraph"/>
        <w:numPr>
          <w:ilvl w:val="0"/>
          <w:numId w:val="30"/>
        </w:numPr>
        <w:autoSpaceDE w:val="0"/>
        <w:autoSpaceDN w:val="0"/>
        <w:adjustRightInd w:val="0"/>
        <w:spacing w:after="120" w:line="288" w:lineRule="auto"/>
        <w:rPr>
          <w:rFonts w:cs="Arial"/>
          <w:szCs w:val="20"/>
        </w:rPr>
      </w:pPr>
      <w:r w:rsidRPr="001E31D3">
        <w:rPr>
          <w:rFonts w:cs="Arial"/>
          <w:b/>
          <w:color w:val="1F497D" w:themeColor="text2"/>
          <w:szCs w:val="20"/>
        </w:rPr>
        <w:t>M2 is the null-model including country-specific fixed-effects,</w:t>
      </w:r>
      <w:r w:rsidRPr="001E31D3">
        <w:rPr>
          <w:rFonts w:cs="Arial"/>
          <w:color w:val="1F497D" w:themeColor="text2"/>
          <w:szCs w:val="20"/>
        </w:rPr>
        <w:t xml:space="preserve"> </w:t>
      </w:r>
      <w:r w:rsidRPr="001E31D3">
        <w:rPr>
          <w:rFonts w:cs="Arial"/>
          <w:szCs w:val="20"/>
        </w:rPr>
        <w:t>to understand the relevance of the nested structure of the data for the analysis.</w:t>
      </w:r>
    </w:p>
    <w:p w:rsidR="00673072" w:rsidRPr="001E31D3" w:rsidRDefault="00673072" w:rsidP="00A05A88">
      <w:pPr>
        <w:pStyle w:val="ListParagraph"/>
        <w:numPr>
          <w:ilvl w:val="0"/>
          <w:numId w:val="30"/>
        </w:numPr>
        <w:autoSpaceDE w:val="0"/>
        <w:autoSpaceDN w:val="0"/>
        <w:adjustRightInd w:val="0"/>
        <w:spacing w:after="120" w:line="288" w:lineRule="auto"/>
        <w:rPr>
          <w:rFonts w:cs="Arial"/>
          <w:szCs w:val="20"/>
        </w:rPr>
      </w:pPr>
      <w:r w:rsidRPr="001E31D3">
        <w:rPr>
          <w:rFonts w:cs="Arial"/>
          <w:b/>
          <w:color w:val="1F497D" w:themeColor="text2"/>
          <w:szCs w:val="20"/>
        </w:rPr>
        <w:t>M3 introduces individual level control variables</w:t>
      </w:r>
      <w:r w:rsidRPr="001E31D3">
        <w:rPr>
          <w:rFonts w:cs="Arial"/>
          <w:szCs w:val="20"/>
        </w:rPr>
        <w:t>, e.g. gender and migration background to account for individual background factors which may have an influence on competence levels.</w:t>
      </w:r>
    </w:p>
    <w:p w:rsidR="00FB7644" w:rsidRPr="001E31D3" w:rsidRDefault="00673072" w:rsidP="00A05A88">
      <w:pPr>
        <w:pStyle w:val="ListParagraph"/>
        <w:numPr>
          <w:ilvl w:val="0"/>
          <w:numId w:val="30"/>
        </w:numPr>
        <w:autoSpaceDE w:val="0"/>
        <w:autoSpaceDN w:val="0"/>
        <w:adjustRightInd w:val="0"/>
        <w:spacing w:after="120" w:line="288" w:lineRule="auto"/>
        <w:rPr>
          <w:rFonts w:cs="Arial"/>
          <w:szCs w:val="20"/>
        </w:rPr>
      </w:pPr>
      <w:r w:rsidRPr="001E31D3">
        <w:rPr>
          <w:rFonts w:cs="Arial"/>
          <w:b/>
          <w:color w:val="1F497D" w:themeColor="text2"/>
          <w:szCs w:val="20"/>
        </w:rPr>
        <w:t>M4 adds country level fixed effects</w:t>
      </w:r>
      <w:r w:rsidRPr="001E31D3">
        <w:rPr>
          <w:rFonts w:cs="Arial"/>
          <w:color w:val="1F497D" w:themeColor="text2"/>
          <w:szCs w:val="20"/>
        </w:rPr>
        <w:t xml:space="preserve"> </w:t>
      </w:r>
      <w:r w:rsidRPr="001E31D3">
        <w:rPr>
          <w:rFonts w:cs="Arial"/>
          <w:szCs w:val="20"/>
        </w:rPr>
        <w:t>to control for the fact that individuals are nested within different country settings, which may have an effect on their competence levels (fixed effects model).</w:t>
      </w:r>
    </w:p>
    <w:p w:rsidR="000E4E30" w:rsidRPr="005936AE" w:rsidRDefault="003A6B85" w:rsidP="00B664E6">
      <w:pPr>
        <w:pStyle w:val="Heading3"/>
      </w:pPr>
      <w:bookmarkStart w:id="150" w:name="_Toc435620174"/>
      <w:bookmarkStart w:id="151" w:name="_Toc435802095"/>
      <w:r>
        <w:t>5.3</w:t>
      </w:r>
      <w:r w:rsidR="00B664E6" w:rsidRPr="00B664E6">
        <w:t xml:space="preserve">.3 </w:t>
      </w:r>
      <w:r w:rsidR="000E4E30" w:rsidRPr="005936AE">
        <w:t>Results</w:t>
      </w:r>
      <w:bookmarkEnd w:id="147"/>
      <w:bookmarkEnd w:id="148"/>
      <w:bookmarkEnd w:id="149"/>
      <w:bookmarkEnd w:id="150"/>
      <w:bookmarkEnd w:id="151"/>
    </w:p>
    <w:p w:rsidR="000E4E30" w:rsidRPr="001E31D3" w:rsidRDefault="000E4E30" w:rsidP="000E4E30">
      <w:pPr>
        <w:autoSpaceDE w:val="0"/>
        <w:autoSpaceDN w:val="0"/>
        <w:adjustRightInd w:val="0"/>
        <w:spacing w:after="120" w:line="288" w:lineRule="auto"/>
        <w:rPr>
          <w:rFonts w:cs="Arial"/>
          <w:szCs w:val="20"/>
        </w:rPr>
      </w:pPr>
      <w:r w:rsidRPr="001E31D3">
        <w:rPr>
          <w:rFonts w:cs="Arial"/>
          <w:szCs w:val="20"/>
        </w:rPr>
        <w:t>Results from all four models confirm that there is a strongly significant and positive relationship between educational attainment and competence levels – the higher the highest qualification obtained the higher the numeracy proficiency (see Table 5.2). The partial effect of educational attainment on competences is lower when individual level controls are introduced, as would be expected. This is because some of the effects of educational attainment are actually effects based on the different composition of the groups of people achieving different qualification levels.</w:t>
      </w:r>
    </w:p>
    <w:p w:rsidR="000E4E30" w:rsidRPr="001E31D3" w:rsidRDefault="000E4E30" w:rsidP="000E4E30">
      <w:pPr>
        <w:autoSpaceDE w:val="0"/>
        <w:autoSpaceDN w:val="0"/>
        <w:adjustRightInd w:val="0"/>
        <w:spacing w:after="120" w:line="288" w:lineRule="auto"/>
        <w:rPr>
          <w:rFonts w:cs="Arial"/>
          <w:szCs w:val="20"/>
        </w:rPr>
      </w:pPr>
      <w:r w:rsidRPr="001E31D3">
        <w:rPr>
          <w:rFonts w:cs="Arial"/>
          <w:szCs w:val="20"/>
        </w:rPr>
        <w:t xml:space="preserve">The coefficient on the qualification levels should be read as </w:t>
      </w:r>
      <w:r w:rsidR="00673072" w:rsidRPr="001E31D3">
        <w:rPr>
          <w:rFonts w:cs="Arial"/>
          <w:b/>
          <w:color w:val="1F497D" w:themeColor="text2"/>
          <w:szCs w:val="20"/>
        </w:rPr>
        <w:t>the competence difference</w:t>
      </w:r>
      <w:r w:rsidRPr="001E31D3">
        <w:rPr>
          <w:rFonts w:cs="Arial"/>
          <w:b/>
          <w:color w:val="1F497D" w:themeColor="text2"/>
          <w:szCs w:val="20"/>
        </w:rPr>
        <w:t xml:space="preserve"> </w:t>
      </w:r>
      <w:r w:rsidR="00BF6188" w:rsidRPr="001E31D3">
        <w:rPr>
          <w:rFonts w:cs="Arial"/>
          <w:b/>
          <w:color w:val="1F497D" w:themeColor="text2"/>
          <w:szCs w:val="20"/>
        </w:rPr>
        <w:t>(or ‘gain’</w:t>
      </w:r>
      <w:r w:rsidR="003C75D6" w:rsidRPr="001E31D3">
        <w:rPr>
          <w:rStyle w:val="FootnoteReference"/>
          <w:rFonts w:cs="Arial"/>
          <w:b/>
          <w:color w:val="1F497D" w:themeColor="text2"/>
          <w:szCs w:val="20"/>
        </w:rPr>
        <w:footnoteReference w:id="19"/>
      </w:r>
      <w:r w:rsidR="00BF6188" w:rsidRPr="001E31D3">
        <w:rPr>
          <w:rFonts w:cs="Arial"/>
          <w:b/>
          <w:color w:val="1F497D" w:themeColor="text2"/>
          <w:szCs w:val="20"/>
        </w:rPr>
        <w:t xml:space="preserve">) </w:t>
      </w:r>
      <w:r w:rsidRPr="001E31D3">
        <w:rPr>
          <w:rFonts w:cs="Arial"/>
          <w:b/>
          <w:color w:val="1F497D" w:themeColor="text2"/>
          <w:szCs w:val="20"/>
        </w:rPr>
        <w:t>compared to the baseline of upper secondary education</w:t>
      </w:r>
      <w:r w:rsidRPr="001E31D3">
        <w:rPr>
          <w:rFonts w:cs="Arial"/>
          <w:szCs w:val="20"/>
        </w:rPr>
        <w:t xml:space="preserve">, e.g. in the </w:t>
      </w:r>
      <w:r w:rsidR="00BF6188" w:rsidRPr="001E31D3">
        <w:rPr>
          <w:rFonts w:cs="Arial"/>
          <w:szCs w:val="20"/>
        </w:rPr>
        <w:t>‘</w:t>
      </w:r>
      <w:r w:rsidRPr="001E31D3">
        <w:rPr>
          <w:rFonts w:cs="Arial"/>
          <w:szCs w:val="20"/>
        </w:rPr>
        <w:t>full</w:t>
      </w:r>
      <w:r w:rsidR="00BF6188" w:rsidRPr="001E31D3">
        <w:rPr>
          <w:rFonts w:cs="Arial"/>
          <w:szCs w:val="20"/>
        </w:rPr>
        <w:t>’</w:t>
      </w:r>
      <w:r w:rsidRPr="001E31D3">
        <w:rPr>
          <w:rFonts w:cs="Arial"/>
          <w:szCs w:val="20"/>
        </w:rPr>
        <w:t xml:space="preserve"> model M4</w:t>
      </w:r>
      <w:r w:rsidR="00BF6188" w:rsidRPr="001E31D3">
        <w:rPr>
          <w:rFonts w:cs="Arial"/>
          <w:szCs w:val="20"/>
        </w:rPr>
        <w:t>,</w:t>
      </w:r>
      <w:r w:rsidRPr="001E31D3">
        <w:rPr>
          <w:rFonts w:cs="Arial"/>
          <w:szCs w:val="20"/>
        </w:rPr>
        <w:t xml:space="preserve"> those with tertiary education have approximately 6.5% higher competence scores on average than those with upper secondary education, when controlling for individual background characteristic</w:t>
      </w:r>
      <w:r w:rsidR="00BF6188" w:rsidRPr="001E31D3">
        <w:rPr>
          <w:rFonts w:cs="Arial"/>
          <w:szCs w:val="20"/>
        </w:rPr>
        <w:t>s</w:t>
      </w:r>
      <w:r w:rsidRPr="001E31D3">
        <w:rPr>
          <w:rFonts w:cs="Arial"/>
          <w:szCs w:val="20"/>
        </w:rPr>
        <w:t xml:space="preserve"> and the fact that they are nested in different countries. Those with upper secondary education have 10.4% higher competence scores on average than those with lower secondary education only. Both effects are statistically and economically significant. Table 5.2 below reports the results for all 4 models for numeracy. Results for literacy, which are in line with the findings for numeracy below, can be found in </w:t>
      </w:r>
      <w:r w:rsidR="00460088" w:rsidRPr="00460088">
        <w:rPr>
          <w:rFonts w:cs="Arial"/>
          <w:szCs w:val="20"/>
        </w:rPr>
        <w:t>Annex VI</w:t>
      </w:r>
      <w:r w:rsidRPr="00460088">
        <w:rPr>
          <w:rFonts w:cs="Arial"/>
          <w:szCs w:val="20"/>
        </w:rPr>
        <w:t>.</w:t>
      </w:r>
    </w:p>
    <w:p w:rsidR="000E4E30" w:rsidRPr="005936AE" w:rsidRDefault="000E4E30" w:rsidP="000E4E30">
      <w:pPr>
        <w:autoSpaceDE w:val="0"/>
        <w:autoSpaceDN w:val="0"/>
        <w:adjustRightInd w:val="0"/>
        <w:spacing w:after="120" w:line="288" w:lineRule="auto"/>
        <w:rPr>
          <w:rFonts w:cs="Arial"/>
          <w:color w:val="000000"/>
          <w:szCs w:val="20"/>
        </w:rPr>
        <w:sectPr w:rsidR="000E4E30" w:rsidRPr="005936AE" w:rsidSect="00651009">
          <w:headerReference w:type="even" r:id="rId48"/>
          <w:headerReference w:type="default" r:id="rId49"/>
          <w:footerReference w:type="even" r:id="rId50"/>
          <w:footerReference w:type="default" r:id="rId51"/>
          <w:pgSz w:w="11906" w:h="16838" w:code="9"/>
          <w:pgMar w:top="1985" w:right="1418" w:bottom="1418" w:left="1701" w:header="567" w:footer="567" w:gutter="0"/>
          <w:pgNumType w:start="1" w:chapStyle="1"/>
          <w:cols w:space="708"/>
          <w:docGrid w:linePitch="360"/>
        </w:sectPr>
      </w:pPr>
    </w:p>
    <w:p w:rsidR="000E4E30" w:rsidRPr="00B664E6" w:rsidRDefault="000E4E30" w:rsidP="000E4E30">
      <w:pPr>
        <w:pStyle w:val="Caption"/>
        <w:spacing w:before="0" w:after="120" w:line="288" w:lineRule="auto"/>
        <w:rPr>
          <w:rFonts w:ascii="Verdana" w:hAnsi="Verdana"/>
          <w:b w:val="0"/>
          <w:color w:val="1F497D" w:themeColor="text2"/>
          <w:sz w:val="20"/>
        </w:rPr>
      </w:pPr>
      <w:r w:rsidRPr="00B664E6">
        <w:rPr>
          <w:rFonts w:ascii="Verdana" w:hAnsi="Verdana"/>
          <w:b w:val="0"/>
          <w:color w:val="1F497D" w:themeColor="text2"/>
          <w:sz w:val="20"/>
        </w:rPr>
        <w:t xml:space="preserve">Table </w:t>
      </w:r>
      <w:r w:rsidR="00673072">
        <w:rPr>
          <w:rFonts w:ascii="Verdana" w:hAnsi="Verdana"/>
          <w:b w:val="0"/>
          <w:color w:val="1F497D" w:themeColor="text2"/>
          <w:sz w:val="20"/>
        </w:rPr>
        <w:t>5.2</w:t>
      </w:r>
      <w:r w:rsidRPr="00B664E6">
        <w:rPr>
          <w:rFonts w:ascii="Verdana" w:hAnsi="Verdana"/>
          <w:b w:val="0"/>
          <w:color w:val="1F497D" w:themeColor="text2"/>
          <w:sz w:val="20"/>
        </w:rPr>
        <w:t xml:space="preserve"> Null model, null model with fixed-effects, individual background factor model and country fixed effects model, dependent variable: Log numeracy skill score</w:t>
      </w:r>
    </w:p>
    <w:tbl>
      <w:tblPr>
        <w:tblW w:w="9371" w:type="dxa"/>
        <w:tblLayout w:type="fixed"/>
        <w:tblCellMar>
          <w:left w:w="0" w:type="dxa"/>
          <w:right w:w="0" w:type="dxa"/>
        </w:tblCellMar>
        <w:tblLook w:val="04A0" w:firstRow="1" w:lastRow="0" w:firstColumn="1" w:lastColumn="0" w:noHBand="0" w:noVBand="1"/>
      </w:tblPr>
      <w:tblGrid>
        <w:gridCol w:w="4410"/>
        <w:gridCol w:w="1240"/>
        <w:gridCol w:w="1240"/>
        <w:gridCol w:w="1240"/>
        <w:gridCol w:w="1241"/>
      </w:tblGrid>
      <w:tr w:rsidR="000E4E30" w:rsidRPr="001E31D3" w:rsidTr="0040285C">
        <w:trPr>
          <w:trHeight w:val="377"/>
        </w:trPr>
        <w:tc>
          <w:tcPr>
            <w:tcW w:w="441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rsidR="000E4E30" w:rsidRPr="001E31D3" w:rsidRDefault="000E4E30" w:rsidP="00B664E6">
            <w:pPr>
              <w:spacing w:line="288" w:lineRule="auto"/>
              <w:jc w:val="center"/>
              <w:rPr>
                <w:szCs w:val="20"/>
              </w:rPr>
            </w:pPr>
            <w:r w:rsidRPr="001E31D3">
              <w:rPr>
                <w:szCs w:val="20"/>
              </w:rPr>
              <w:t> </w:t>
            </w:r>
          </w:p>
        </w:tc>
        <w:tc>
          <w:tcPr>
            <w:tcW w:w="124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rsidR="000E4E30" w:rsidRPr="001E31D3" w:rsidRDefault="000E4E30" w:rsidP="00B664E6">
            <w:pPr>
              <w:spacing w:line="288" w:lineRule="auto"/>
              <w:jc w:val="center"/>
              <w:rPr>
                <w:szCs w:val="20"/>
              </w:rPr>
            </w:pPr>
            <w:r w:rsidRPr="001E31D3">
              <w:rPr>
                <w:szCs w:val="20"/>
              </w:rPr>
              <w:t>M1</w:t>
            </w:r>
          </w:p>
        </w:tc>
        <w:tc>
          <w:tcPr>
            <w:tcW w:w="124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rsidR="000E4E30" w:rsidRPr="001E31D3" w:rsidRDefault="000E4E30" w:rsidP="00B664E6">
            <w:pPr>
              <w:spacing w:line="288" w:lineRule="auto"/>
              <w:jc w:val="center"/>
              <w:rPr>
                <w:szCs w:val="20"/>
              </w:rPr>
            </w:pPr>
            <w:r w:rsidRPr="001E31D3">
              <w:rPr>
                <w:szCs w:val="20"/>
              </w:rPr>
              <w:t>M2</w:t>
            </w:r>
          </w:p>
        </w:tc>
        <w:tc>
          <w:tcPr>
            <w:tcW w:w="124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rsidR="000E4E30" w:rsidRPr="001E31D3" w:rsidRDefault="000E4E30" w:rsidP="00B664E6">
            <w:pPr>
              <w:spacing w:line="288" w:lineRule="auto"/>
              <w:jc w:val="center"/>
              <w:rPr>
                <w:szCs w:val="20"/>
              </w:rPr>
            </w:pPr>
            <w:r w:rsidRPr="001E31D3">
              <w:rPr>
                <w:szCs w:val="20"/>
              </w:rPr>
              <w:t>M3</w:t>
            </w:r>
          </w:p>
        </w:tc>
        <w:tc>
          <w:tcPr>
            <w:tcW w:w="1241"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rsidR="000E4E30" w:rsidRPr="001E31D3" w:rsidRDefault="000E4E30" w:rsidP="00B664E6">
            <w:pPr>
              <w:spacing w:line="288" w:lineRule="auto"/>
              <w:jc w:val="center"/>
              <w:rPr>
                <w:szCs w:val="20"/>
              </w:rPr>
            </w:pPr>
            <w:r w:rsidRPr="001E31D3">
              <w:rPr>
                <w:szCs w:val="20"/>
              </w:rPr>
              <w:t>M4</w:t>
            </w:r>
          </w:p>
        </w:tc>
      </w:tr>
      <w:tr w:rsidR="000E4E30" w:rsidRPr="001E31D3" w:rsidTr="0040285C">
        <w:trPr>
          <w:trHeight w:val="300"/>
        </w:trPr>
        <w:tc>
          <w:tcPr>
            <w:tcW w:w="4410" w:type="dxa"/>
            <w:tcBorders>
              <w:top w:val="nil"/>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b/>
                <w:szCs w:val="20"/>
              </w:rPr>
            </w:pPr>
            <w:r w:rsidRPr="001E31D3">
              <w:rPr>
                <w:b/>
                <w:szCs w:val="20"/>
              </w:rPr>
              <w:t>School/Education effects</w:t>
            </w:r>
          </w:p>
        </w:tc>
        <w:tc>
          <w:tcPr>
            <w:tcW w:w="1240" w:type="dxa"/>
            <w:tcBorders>
              <w:top w:val="nil"/>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240" w:type="dxa"/>
            <w:tcBorders>
              <w:top w:val="nil"/>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240" w:type="dxa"/>
            <w:tcBorders>
              <w:top w:val="nil"/>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241" w:type="dxa"/>
            <w:tcBorders>
              <w:top w:val="nil"/>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szCs w:val="20"/>
              </w:rPr>
            </w:pPr>
          </w:p>
        </w:tc>
      </w:tr>
      <w:tr w:rsidR="000E4E30" w:rsidRPr="001E31D3" w:rsidTr="0040285C">
        <w:trPr>
          <w:trHeight w:val="300"/>
        </w:trPr>
        <w:tc>
          <w:tcPr>
            <w:tcW w:w="4410"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b/>
                <w:szCs w:val="20"/>
              </w:rPr>
            </w:pPr>
            <w:r w:rsidRPr="001E31D3">
              <w:rPr>
                <w:b/>
                <w:szCs w:val="20"/>
              </w:rPr>
              <w:t>Tertiary educational attainment (D)</w:t>
            </w:r>
          </w:p>
        </w:tc>
        <w:tc>
          <w:tcPr>
            <w:tcW w:w="1240"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0.094</w:t>
            </w:r>
            <w:r w:rsidR="000E4E30" w:rsidRPr="001E31D3">
              <w:rPr>
                <w:szCs w:val="20"/>
              </w:rPr>
              <w:t>***</w:t>
            </w:r>
          </w:p>
        </w:tc>
        <w:tc>
          <w:tcPr>
            <w:tcW w:w="1240"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0.10</w:t>
            </w:r>
            <w:r w:rsidR="00EE10E4" w:rsidRPr="001E31D3">
              <w:rPr>
                <w:szCs w:val="20"/>
              </w:rPr>
              <w:t>3</w:t>
            </w:r>
            <w:r w:rsidR="000E4E30" w:rsidRPr="001E31D3">
              <w:rPr>
                <w:szCs w:val="20"/>
              </w:rPr>
              <w:t>***</w:t>
            </w:r>
          </w:p>
        </w:tc>
        <w:tc>
          <w:tcPr>
            <w:tcW w:w="1240"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0.055</w:t>
            </w:r>
            <w:r w:rsidR="000E4E30" w:rsidRPr="001E31D3">
              <w:rPr>
                <w:szCs w:val="20"/>
              </w:rPr>
              <w:t>***</w:t>
            </w:r>
          </w:p>
        </w:tc>
        <w:tc>
          <w:tcPr>
            <w:tcW w:w="1241"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0.065</w:t>
            </w:r>
            <w:r w:rsidR="000E4E30" w:rsidRPr="001E31D3">
              <w:rPr>
                <w:szCs w:val="20"/>
              </w:rPr>
              <w:t>***</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(compared to upper secondary attainment)</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(0.013</w:t>
            </w:r>
            <w:r w:rsidR="000E4E30" w:rsidRPr="001E31D3">
              <w:rPr>
                <w:szCs w:val="20"/>
              </w:rPr>
              <w:t>)</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(0.011</w:t>
            </w:r>
            <w:r w:rsidR="000E4E30" w:rsidRPr="001E31D3">
              <w:rPr>
                <w:szCs w:val="20"/>
              </w:rPr>
              <w:t>)</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(0.008</w:t>
            </w:r>
            <w:r w:rsidR="000E4E30"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(0.00</w:t>
            </w:r>
            <w:r w:rsidR="00A0358B" w:rsidRPr="001E31D3">
              <w:rPr>
                <w:szCs w:val="20"/>
              </w:rPr>
              <w:t>8</w:t>
            </w:r>
            <w:r w:rsidRPr="001E31D3">
              <w:rPr>
                <w:szCs w:val="20"/>
              </w:rPr>
              <w:t>)</w:t>
            </w:r>
          </w:p>
        </w:tc>
      </w:tr>
      <w:tr w:rsidR="000E4E30" w:rsidRPr="001E31D3" w:rsidTr="0040285C">
        <w:trPr>
          <w:trHeight w:val="300"/>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b/>
                <w:szCs w:val="20"/>
              </w:rPr>
            </w:pPr>
            <w:r w:rsidRPr="001E31D3">
              <w:rPr>
                <w:b/>
                <w:szCs w:val="20"/>
              </w:rPr>
              <w:t>Lower secondary educational attainment (D)</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-0.1</w:t>
            </w:r>
            <w:r w:rsidR="00EE10E4" w:rsidRPr="001E31D3">
              <w:rPr>
                <w:szCs w:val="20"/>
              </w:rPr>
              <w:t>65</w:t>
            </w:r>
            <w:r w:rsidR="000E4E30" w:rsidRPr="001E31D3">
              <w:rPr>
                <w:szCs w:val="20"/>
              </w:rPr>
              <w:t>***</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-0.16</w:t>
            </w:r>
            <w:r w:rsidR="000E4E30" w:rsidRPr="001E31D3">
              <w:rPr>
                <w:szCs w:val="20"/>
              </w:rPr>
              <w:t>***</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EC7D08" w:rsidP="00EC7D08">
            <w:pPr>
              <w:spacing w:line="288" w:lineRule="auto"/>
              <w:jc w:val="center"/>
              <w:rPr>
                <w:szCs w:val="20"/>
              </w:rPr>
            </w:pPr>
            <w:r w:rsidRPr="001E31D3">
              <w:rPr>
                <w:szCs w:val="20"/>
              </w:rPr>
              <w:t>-0.107</w:t>
            </w:r>
            <w:r w:rsidR="000E4E30" w:rsidRPr="001E31D3">
              <w:rPr>
                <w:szCs w:val="20"/>
              </w:rPr>
              <w:t>***</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-0.104***</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(compared to upper secondary attainment)</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(0.01</w:t>
            </w:r>
            <w:r w:rsidR="000E4E30" w:rsidRPr="001E31D3">
              <w:rPr>
                <w:szCs w:val="20"/>
              </w:rPr>
              <w:t>)</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(0.011</w:t>
            </w:r>
            <w:r w:rsidR="000E4E30" w:rsidRPr="001E31D3">
              <w:rPr>
                <w:szCs w:val="20"/>
              </w:rPr>
              <w:t>)</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EC7D08" w:rsidP="00EC7D08">
            <w:pPr>
              <w:spacing w:line="288" w:lineRule="auto"/>
              <w:jc w:val="center"/>
              <w:rPr>
                <w:szCs w:val="20"/>
              </w:rPr>
            </w:pPr>
            <w:r w:rsidRPr="001E31D3">
              <w:rPr>
                <w:szCs w:val="20"/>
              </w:rPr>
              <w:t>(0.005</w:t>
            </w:r>
            <w:r w:rsidR="000E4E30"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EC7D08" w:rsidP="00EC7D08">
            <w:pPr>
              <w:spacing w:line="288" w:lineRule="auto"/>
              <w:jc w:val="center"/>
              <w:rPr>
                <w:szCs w:val="20"/>
              </w:rPr>
            </w:pPr>
            <w:r w:rsidRPr="001E31D3">
              <w:rPr>
                <w:szCs w:val="20"/>
              </w:rPr>
              <w:t>(0.007</w:t>
            </w:r>
            <w:r w:rsidR="000E4E30" w:rsidRPr="001E31D3">
              <w:rPr>
                <w:szCs w:val="20"/>
              </w:rPr>
              <w:t>)</w:t>
            </w:r>
          </w:p>
        </w:tc>
      </w:tr>
      <w:tr w:rsidR="000E4E30" w:rsidRPr="001E31D3" w:rsidTr="0040285C">
        <w:trPr>
          <w:trHeight w:val="300"/>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b/>
                <w:szCs w:val="20"/>
              </w:rPr>
            </w:pPr>
            <w:r w:rsidRPr="001E31D3">
              <w:rPr>
                <w:b/>
                <w:szCs w:val="20"/>
              </w:rPr>
              <w:t>Still in education (D)</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0.052***</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0.051***</w:t>
            </w:r>
          </w:p>
        </w:tc>
      </w:tr>
      <w:tr w:rsidR="000E4E30" w:rsidRPr="001E31D3" w:rsidTr="0040285C">
        <w:trPr>
          <w:trHeight w:val="300"/>
        </w:trPr>
        <w:tc>
          <w:tcPr>
            <w:tcW w:w="441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240"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rsidR="000E4E30" w:rsidRPr="001E31D3" w:rsidRDefault="00EC7D08" w:rsidP="00EC7D08">
            <w:pPr>
              <w:spacing w:line="288" w:lineRule="auto"/>
              <w:jc w:val="center"/>
              <w:rPr>
                <w:szCs w:val="20"/>
              </w:rPr>
            </w:pPr>
            <w:r w:rsidRPr="001E31D3">
              <w:rPr>
                <w:szCs w:val="20"/>
              </w:rPr>
              <w:t>(0.008</w:t>
            </w:r>
            <w:r w:rsidR="000E4E30" w:rsidRPr="001E31D3">
              <w:rPr>
                <w:szCs w:val="20"/>
              </w:rPr>
              <w:t>)</w:t>
            </w:r>
          </w:p>
        </w:tc>
        <w:tc>
          <w:tcPr>
            <w:tcW w:w="1241" w:type="dxa"/>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(0.01</w:t>
            </w:r>
            <w:r w:rsidR="000E4E30" w:rsidRPr="001E31D3">
              <w:rPr>
                <w:szCs w:val="20"/>
              </w:rPr>
              <w:t>)</w:t>
            </w:r>
          </w:p>
        </w:tc>
      </w:tr>
      <w:tr w:rsidR="000E4E30" w:rsidRPr="001E31D3" w:rsidTr="0040285C">
        <w:trPr>
          <w:trHeight w:val="300"/>
        </w:trPr>
        <w:tc>
          <w:tcPr>
            <w:tcW w:w="4410" w:type="dxa"/>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b/>
                <w:szCs w:val="20"/>
              </w:rPr>
            </w:pPr>
            <w:r w:rsidRPr="001E31D3">
              <w:rPr>
                <w:b/>
                <w:szCs w:val="20"/>
              </w:rPr>
              <w:t>Family/Socio-demographic characteristics</w:t>
            </w:r>
          </w:p>
        </w:tc>
        <w:tc>
          <w:tcPr>
            <w:tcW w:w="1240" w:type="dxa"/>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center"/>
          </w:tcPr>
          <w:p w:rsidR="000E4E30" w:rsidRPr="001E31D3" w:rsidRDefault="000E4E30" w:rsidP="00EC7D08">
            <w:pPr>
              <w:spacing w:line="288" w:lineRule="auto"/>
              <w:jc w:val="center"/>
              <w:rPr>
                <w:b/>
                <w:szCs w:val="20"/>
              </w:rPr>
            </w:pPr>
          </w:p>
        </w:tc>
        <w:tc>
          <w:tcPr>
            <w:tcW w:w="1240" w:type="dxa"/>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center"/>
          </w:tcPr>
          <w:p w:rsidR="000E4E30" w:rsidRPr="001E31D3" w:rsidRDefault="000E4E30" w:rsidP="00EC7D08">
            <w:pPr>
              <w:spacing w:line="288" w:lineRule="auto"/>
              <w:jc w:val="center"/>
              <w:rPr>
                <w:b/>
                <w:szCs w:val="20"/>
              </w:rPr>
            </w:pPr>
          </w:p>
        </w:tc>
        <w:tc>
          <w:tcPr>
            <w:tcW w:w="1240" w:type="dxa"/>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center"/>
          </w:tcPr>
          <w:p w:rsidR="000E4E30" w:rsidRPr="001E31D3" w:rsidRDefault="000E4E30" w:rsidP="00EC7D08">
            <w:pPr>
              <w:spacing w:line="288" w:lineRule="auto"/>
              <w:jc w:val="center"/>
              <w:rPr>
                <w:b/>
                <w:szCs w:val="20"/>
              </w:rPr>
            </w:pPr>
          </w:p>
        </w:tc>
        <w:tc>
          <w:tcPr>
            <w:tcW w:w="1241" w:type="dxa"/>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center"/>
          </w:tcPr>
          <w:p w:rsidR="000E4E30" w:rsidRPr="001E31D3" w:rsidRDefault="000E4E30" w:rsidP="00EC7D08">
            <w:pPr>
              <w:spacing w:line="288" w:lineRule="auto"/>
              <w:jc w:val="center"/>
              <w:rPr>
                <w:b/>
                <w:szCs w:val="20"/>
              </w:rPr>
            </w:pPr>
          </w:p>
        </w:tc>
      </w:tr>
      <w:tr w:rsidR="000E4E30" w:rsidRPr="001E31D3" w:rsidTr="0040285C">
        <w:trPr>
          <w:trHeight w:val="300"/>
        </w:trPr>
        <w:tc>
          <w:tcPr>
            <w:tcW w:w="4410"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E844DB">
            <w:pPr>
              <w:spacing w:line="288" w:lineRule="auto"/>
              <w:rPr>
                <w:b/>
                <w:szCs w:val="20"/>
              </w:rPr>
            </w:pPr>
            <w:r w:rsidRPr="001E31D3">
              <w:rPr>
                <w:b/>
                <w:szCs w:val="20"/>
              </w:rPr>
              <w:t>Gender (male)</w:t>
            </w:r>
          </w:p>
        </w:tc>
        <w:tc>
          <w:tcPr>
            <w:tcW w:w="1240"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40285C" w:rsidP="00EC7D08">
            <w:pPr>
              <w:spacing w:line="288" w:lineRule="auto"/>
              <w:jc w:val="center"/>
              <w:rPr>
                <w:szCs w:val="20"/>
              </w:rPr>
            </w:pPr>
            <w:r w:rsidRPr="001E31D3">
              <w:rPr>
                <w:szCs w:val="20"/>
              </w:rPr>
              <w:t>0.047</w:t>
            </w:r>
            <w:r w:rsidR="000E4E30" w:rsidRPr="001E31D3">
              <w:rPr>
                <w:szCs w:val="20"/>
              </w:rPr>
              <w:t>***</w:t>
            </w:r>
          </w:p>
        </w:tc>
        <w:tc>
          <w:tcPr>
            <w:tcW w:w="1241" w:type="dxa"/>
            <w:tcBorders>
              <w:top w:val="single" w:sz="4" w:space="0" w:color="auto"/>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40285C" w:rsidP="00EC7D08">
            <w:pPr>
              <w:spacing w:line="288" w:lineRule="auto"/>
              <w:jc w:val="center"/>
              <w:rPr>
                <w:szCs w:val="20"/>
              </w:rPr>
            </w:pPr>
            <w:r w:rsidRPr="001E31D3">
              <w:rPr>
                <w:szCs w:val="20"/>
              </w:rPr>
              <w:t>0.048</w:t>
            </w:r>
            <w:r w:rsidR="000E4E30" w:rsidRPr="001E31D3">
              <w:rPr>
                <w:szCs w:val="20"/>
              </w:rPr>
              <w:t>***</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(0.00</w:t>
            </w:r>
            <w:r w:rsidR="0040285C" w:rsidRPr="001E31D3">
              <w:rPr>
                <w:szCs w:val="20"/>
              </w:rPr>
              <w:t>2</w:t>
            </w:r>
            <w:r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(0.00</w:t>
            </w:r>
            <w:r w:rsidR="0040285C" w:rsidRPr="001E31D3">
              <w:rPr>
                <w:szCs w:val="20"/>
              </w:rPr>
              <w:t>3</w:t>
            </w:r>
            <w:r w:rsidRPr="001E31D3">
              <w:rPr>
                <w:szCs w:val="20"/>
              </w:rPr>
              <w:t>)</w:t>
            </w:r>
          </w:p>
        </w:tc>
      </w:tr>
      <w:tr w:rsidR="000E4E30" w:rsidRPr="001E31D3" w:rsidTr="0040285C">
        <w:trPr>
          <w:trHeight w:val="300"/>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b/>
                <w:szCs w:val="20"/>
              </w:rPr>
            </w:pPr>
            <w:r w:rsidRPr="001E31D3">
              <w:rPr>
                <w:b/>
                <w:szCs w:val="20"/>
              </w:rPr>
              <w:t>Age 30-34 (D)</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A0358B" w:rsidP="00EC7D08">
            <w:pPr>
              <w:spacing w:line="288" w:lineRule="auto"/>
              <w:jc w:val="center"/>
              <w:rPr>
                <w:szCs w:val="20"/>
              </w:rPr>
            </w:pPr>
            <w:r w:rsidRPr="001E31D3">
              <w:rPr>
                <w:szCs w:val="20"/>
              </w:rPr>
              <w:t>-0.0</w:t>
            </w:r>
            <w:r w:rsidR="0040285C" w:rsidRPr="001E31D3">
              <w:rPr>
                <w:szCs w:val="20"/>
              </w:rPr>
              <w:t>05</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r w:rsidRPr="001E31D3">
              <w:rPr>
                <w:szCs w:val="20"/>
              </w:rPr>
              <w:t>-0.00</w:t>
            </w:r>
            <w:r w:rsidR="00A0358B" w:rsidRPr="001E31D3">
              <w:rPr>
                <w:szCs w:val="20"/>
              </w:rPr>
              <w:t>1</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r w:rsidRPr="001E31D3">
              <w:rPr>
                <w:szCs w:val="20"/>
              </w:rPr>
              <w:t>(compared to 20-24 year olds)</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40285C" w:rsidP="00EC7D08">
            <w:pPr>
              <w:spacing w:line="288" w:lineRule="auto"/>
              <w:jc w:val="center"/>
              <w:rPr>
                <w:szCs w:val="20"/>
              </w:rPr>
            </w:pPr>
            <w:r w:rsidRPr="001E31D3">
              <w:rPr>
                <w:szCs w:val="20"/>
              </w:rPr>
              <w:t>(0.09</w:t>
            </w:r>
            <w:r w:rsidR="000E4E30"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40285C" w:rsidP="00EC7D08">
            <w:pPr>
              <w:spacing w:line="288" w:lineRule="auto"/>
              <w:jc w:val="center"/>
              <w:rPr>
                <w:szCs w:val="20"/>
              </w:rPr>
            </w:pPr>
            <w:r w:rsidRPr="001E31D3">
              <w:rPr>
                <w:szCs w:val="20"/>
              </w:rPr>
              <w:t>(0.008</w:t>
            </w:r>
            <w:r w:rsidR="000E4E30" w:rsidRPr="001E31D3">
              <w:rPr>
                <w:szCs w:val="20"/>
              </w:rPr>
              <w:t>)</w:t>
            </w:r>
          </w:p>
        </w:tc>
      </w:tr>
      <w:tr w:rsidR="000E4E30" w:rsidRPr="001E31D3" w:rsidTr="0040285C">
        <w:trPr>
          <w:trHeight w:val="300"/>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b/>
                <w:szCs w:val="20"/>
              </w:rPr>
            </w:pPr>
            <w:r w:rsidRPr="001E31D3">
              <w:rPr>
                <w:b/>
                <w:szCs w:val="20"/>
              </w:rPr>
              <w:t>Age 25-29 (D)</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A0358B" w:rsidP="00EC7D08">
            <w:pPr>
              <w:spacing w:line="288" w:lineRule="auto"/>
              <w:jc w:val="center"/>
              <w:rPr>
                <w:szCs w:val="20"/>
              </w:rPr>
            </w:pPr>
            <w:r w:rsidRPr="001E31D3">
              <w:rPr>
                <w:szCs w:val="20"/>
              </w:rPr>
              <w:t>0.004</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A0358B" w:rsidP="00EC7D08">
            <w:pPr>
              <w:spacing w:line="288" w:lineRule="auto"/>
              <w:jc w:val="center"/>
              <w:rPr>
                <w:szCs w:val="20"/>
              </w:rPr>
            </w:pPr>
            <w:r w:rsidRPr="001E31D3">
              <w:rPr>
                <w:szCs w:val="20"/>
              </w:rPr>
              <w:t>0.0</w:t>
            </w:r>
            <w:r w:rsidR="0040285C" w:rsidRPr="001E31D3">
              <w:rPr>
                <w:szCs w:val="20"/>
              </w:rPr>
              <w:t>07</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r w:rsidRPr="001E31D3">
              <w:rPr>
                <w:szCs w:val="20"/>
              </w:rPr>
              <w:t>(compared to 20-24 year olds)</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40285C" w:rsidP="00EC7D08">
            <w:pPr>
              <w:spacing w:line="288" w:lineRule="auto"/>
              <w:jc w:val="center"/>
              <w:rPr>
                <w:szCs w:val="20"/>
              </w:rPr>
            </w:pPr>
            <w:r w:rsidRPr="001E31D3">
              <w:rPr>
                <w:szCs w:val="20"/>
              </w:rPr>
              <w:t>(0.008</w:t>
            </w:r>
            <w:r w:rsidR="000E4E30"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40285C" w:rsidP="00EC7D08">
            <w:pPr>
              <w:spacing w:line="288" w:lineRule="auto"/>
              <w:jc w:val="center"/>
              <w:rPr>
                <w:szCs w:val="20"/>
              </w:rPr>
            </w:pPr>
            <w:r w:rsidRPr="001E31D3">
              <w:rPr>
                <w:szCs w:val="20"/>
              </w:rPr>
              <w:t>(0.007</w:t>
            </w:r>
            <w:r w:rsidR="000E4E30" w:rsidRPr="001E31D3">
              <w:rPr>
                <w:szCs w:val="20"/>
              </w:rPr>
              <w:t>)</w:t>
            </w:r>
          </w:p>
        </w:tc>
      </w:tr>
      <w:tr w:rsidR="000E4E30" w:rsidRPr="001E31D3" w:rsidTr="0040285C">
        <w:trPr>
          <w:trHeight w:val="300"/>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b/>
                <w:szCs w:val="20"/>
              </w:rPr>
            </w:pPr>
            <w:r w:rsidRPr="001E31D3">
              <w:rPr>
                <w:b/>
                <w:szCs w:val="20"/>
              </w:rPr>
              <w:t>At least one parent has tertiary education (D)</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r w:rsidRPr="001E31D3">
              <w:rPr>
                <w:szCs w:val="20"/>
              </w:rPr>
              <w:t>0.08</w:t>
            </w:r>
            <w:r w:rsidR="00A0358B" w:rsidRPr="001E31D3">
              <w:rPr>
                <w:szCs w:val="20"/>
              </w:rPr>
              <w:t>3</w:t>
            </w:r>
            <w:r w:rsidRPr="001E31D3">
              <w:rPr>
                <w:szCs w:val="20"/>
              </w:rPr>
              <w:t>***</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40285C" w:rsidP="00EC7D08">
            <w:pPr>
              <w:spacing w:line="288" w:lineRule="auto"/>
              <w:jc w:val="center"/>
              <w:rPr>
                <w:szCs w:val="20"/>
              </w:rPr>
            </w:pPr>
            <w:r w:rsidRPr="001E31D3">
              <w:rPr>
                <w:szCs w:val="20"/>
              </w:rPr>
              <w:t>0.068</w:t>
            </w:r>
            <w:r w:rsidR="000E4E30" w:rsidRPr="001E31D3">
              <w:rPr>
                <w:szCs w:val="20"/>
              </w:rPr>
              <w:t>***</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r w:rsidRPr="001E31D3">
              <w:rPr>
                <w:szCs w:val="20"/>
              </w:rPr>
              <w:t>(compared to neither parent having attained upper secondary)</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r w:rsidRPr="001E31D3">
              <w:rPr>
                <w:szCs w:val="20"/>
              </w:rPr>
              <w:t>(0.00</w:t>
            </w:r>
            <w:r w:rsidR="00A0358B" w:rsidRPr="001E31D3">
              <w:rPr>
                <w:szCs w:val="20"/>
              </w:rPr>
              <w:t>6</w:t>
            </w:r>
            <w:r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r w:rsidRPr="001E31D3">
              <w:rPr>
                <w:szCs w:val="20"/>
              </w:rPr>
              <w:t>(0.00</w:t>
            </w:r>
            <w:r w:rsidR="00A0358B" w:rsidRPr="001E31D3">
              <w:rPr>
                <w:szCs w:val="20"/>
              </w:rPr>
              <w:t>7</w:t>
            </w:r>
            <w:r w:rsidRPr="001E31D3">
              <w:rPr>
                <w:szCs w:val="20"/>
              </w:rPr>
              <w:t>)</w:t>
            </w:r>
          </w:p>
        </w:tc>
      </w:tr>
      <w:tr w:rsidR="000E4E30" w:rsidRPr="001E31D3" w:rsidTr="0040285C">
        <w:trPr>
          <w:trHeight w:val="300"/>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b/>
                <w:szCs w:val="20"/>
              </w:rPr>
            </w:pPr>
            <w:r w:rsidRPr="001E31D3">
              <w:rPr>
                <w:b/>
                <w:szCs w:val="20"/>
              </w:rPr>
              <w:t>At least one parent has upper secondary and post-secondary (non tertiary) (D)</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r w:rsidRPr="001E31D3">
              <w:rPr>
                <w:szCs w:val="20"/>
              </w:rPr>
              <w:t>0.03</w:t>
            </w:r>
            <w:r w:rsidR="00A0358B" w:rsidRPr="001E31D3">
              <w:rPr>
                <w:szCs w:val="20"/>
              </w:rPr>
              <w:t>3</w:t>
            </w:r>
            <w:r w:rsidRPr="001E31D3">
              <w:rPr>
                <w:szCs w:val="20"/>
              </w:rPr>
              <w:t>***</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40285C" w:rsidP="00EC7D08">
            <w:pPr>
              <w:spacing w:line="288" w:lineRule="auto"/>
              <w:jc w:val="center"/>
              <w:rPr>
                <w:szCs w:val="20"/>
              </w:rPr>
            </w:pPr>
            <w:r w:rsidRPr="001E31D3">
              <w:rPr>
                <w:szCs w:val="20"/>
              </w:rPr>
              <w:t>0.028</w:t>
            </w:r>
            <w:r w:rsidR="000E4E30" w:rsidRPr="001E31D3">
              <w:rPr>
                <w:szCs w:val="20"/>
              </w:rPr>
              <w:t>***</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r w:rsidRPr="001E31D3">
              <w:rPr>
                <w:szCs w:val="20"/>
              </w:rPr>
              <w:t>(compared to neither parent having attained upper secondary)</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40285C" w:rsidP="00EC7D08">
            <w:pPr>
              <w:spacing w:line="288" w:lineRule="auto"/>
              <w:jc w:val="center"/>
              <w:rPr>
                <w:szCs w:val="20"/>
              </w:rPr>
            </w:pPr>
            <w:r w:rsidRPr="001E31D3">
              <w:rPr>
                <w:szCs w:val="20"/>
              </w:rPr>
              <w:t>(0.007</w:t>
            </w:r>
            <w:r w:rsidR="000E4E30"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r w:rsidRPr="001E31D3">
              <w:rPr>
                <w:szCs w:val="20"/>
              </w:rPr>
              <w:t>(0.005)</w:t>
            </w:r>
          </w:p>
        </w:tc>
      </w:tr>
      <w:tr w:rsidR="000E4E30" w:rsidRPr="001E31D3" w:rsidTr="0040285C">
        <w:trPr>
          <w:trHeight w:val="300"/>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b/>
                <w:szCs w:val="20"/>
              </w:rPr>
            </w:pPr>
            <w:r w:rsidRPr="001E31D3">
              <w:rPr>
                <w:b/>
                <w:szCs w:val="20"/>
              </w:rPr>
              <w:t>Test language same as home language (D)</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0.05</w:t>
            </w:r>
            <w:r w:rsidR="00A0358B" w:rsidRPr="001E31D3">
              <w:rPr>
                <w:szCs w:val="20"/>
              </w:rPr>
              <w:t>1</w:t>
            </w:r>
            <w:r w:rsidRPr="001E31D3">
              <w:rPr>
                <w:szCs w:val="20"/>
              </w:rPr>
              <w:t>***</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0.05</w:t>
            </w:r>
            <w:r w:rsidR="00A0358B" w:rsidRPr="001E31D3">
              <w:rPr>
                <w:szCs w:val="20"/>
              </w:rPr>
              <w:t>5</w:t>
            </w:r>
            <w:r w:rsidRPr="001E31D3">
              <w:rPr>
                <w:szCs w:val="20"/>
              </w:rPr>
              <w:t>***</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(0.01</w:t>
            </w:r>
            <w:r w:rsidR="0040285C" w:rsidRPr="001E31D3">
              <w:rPr>
                <w:szCs w:val="20"/>
              </w:rPr>
              <w:t>0</w:t>
            </w:r>
            <w:r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(0.01</w:t>
            </w:r>
            <w:r w:rsidR="00A0358B" w:rsidRPr="001E31D3">
              <w:rPr>
                <w:szCs w:val="20"/>
              </w:rPr>
              <w:t>1</w:t>
            </w:r>
            <w:r w:rsidRPr="001E31D3">
              <w:rPr>
                <w:szCs w:val="20"/>
              </w:rPr>
              <w:t>)</w:t>
            </w:r>
          </w:p>
        </w:tc>
      </w:tr>
      <w:tr w:rsidR="000E4E30" w:rsidRPr="001E31D3" w:rsidTr="0040285C">
        <w:trPr>
          <w:trHeight w:val="300"/>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b/>
                <w:szCs w:val="20"/>
              </w:rPr>
            </w:pPr>
            <w:r w:rsidRPr="001E31D3">
              <w:rPr>
                <w:b/>
                <w:szCs w:val="20"/>
              </w:rPr>
              <w:t>No migrant background  (D)</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w:t>
            </w:r>
            <w:r w:rsidR="0040285C" w:rsidRPr="001E31D3">
              <w:rPr>
                <w:szCs w:val="20"/>
              </w:rPr>
              <w:t>99</w:t>
            </w:r>
            <w:r w:rsidRPr="001E31D3">
              <w:rPr>
                <w:szCs w:val="20"/>
              </w:rPr>
              <w:t>***</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0.10</w:t>
            </w:r>
            <w:r w:rsidR="0040285C" w:rsidRPr="001E31D3">
              <w:rPr>
                <w:szCs w:val="20"/>
              </w:rPr>
              <w:t>3</w:t>
            </w:r>
            <w:r w:rsidRPr="001E31D3">
              <w:rPr>
                <w:szCs w:val="20"/>
              </w:rPr>
              <w:t>***</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(compared to first generation migrants)</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(0.00</w:t>
            </w:r>
            <w:r w:rsidR="00A0358B" w:rsidRPr="001E31D3">
              <w:rPr>
                <w:szCs w:val="20"/>
              </w:rPr>
              <w:t>8</w:t>
            </w:r>
            <w:r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(0.005)</w:t>
            </w:r>
          </w:p>
        </w:tc>
      </w:tr>
      <w:tr w:rsidR="000E4E30" w:rsidRPr="001E31D3" w:rsidTr="0040285C">
        <w:trPr>
          <w:trHeight w:val="300"/>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b/>
                <w:szCs w:val="20"/>
              </w:rPr>
            </w:pPr>
            <w:r w:rsidRPr="001E31D3">
              <w:rPr>
                <w:b/>
                <w:szCs w:val="20"/>
              </w:rPr>
              <w:t>2nd generation immigrants (D)</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40285C" w:rsidP="00EC7D08">
            <w:pPr>
              <w:spacing w:line="288" w:lineRule="auto"/>
              <w:jc w:val="center"/>
              <w:rPr>
                <w:szCs w:val="20"/>
              </w:rPr>
            </w:pPr>
            <w:r w:rsidRPr="001E31D3">
              <w:rPr>
                <w:szCs w:val="20"/>
              </w:rPr>
              <w:t>0.059</w:t>
            </w:r>
            <w:r w:rsidR="000E4E30" w:rsidRPr="001E31D3">
              <w:rPr>
                <w:szCs w:val="20"/>
              </w:rPr>
              <w:t>***</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r w:rsidRPr="001E31D3">
              <w:rPr>
                <w:szCs w:val="20"/>
              </w:rPr>
              <w:t>0.05</w:t>
            </w:r>
            <w:r w:rsidR="00A0358B" w:rsidRPr="001E31D3">
              <w:rPr>
                <w:szCs w:val="20"/>
              </w:rPr>
              <w:t>5</w:t>
            </w:r>
            <w:r w:rsidRPr="001E31D3">
              <w:rPr>
                <w:szCs w:val="20"/>
              </w:rPr>
              <w:t>***</w:t>
            </w:r>
          </w:p>
        </w:tc>
      </w:tr>
      <w:tr w:rsidR="000E4E30" w:rsidRPr="001E31D3" w:rsidTr="0040285C">
        <w:trPr>
          <w:trHeight w:val="300"/>
        </w:trPr>
        <w:tc>
          <w:tcPr>
            <w:tcW w:w="441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(compared to first generation migrants)</w:t>
            </w: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0E4E30" w:rsidP="00EC7D08">
            <w:pPr>
              <w:spacing w:line="288" w:lineRule="auto"/>
              <w:jc w:val="center"/>
              <w:rPr>
                <w:szCs w:val="20"/>
              </w:rPr>
            </w:pPr>
          </w:p>
        </w:tc>
        <w:tc>
          <w:tcPr>
            <w:tcW w:w="1240"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A0358B" w:rsidP="00EC7D08">
            <w:pPr>
              <w:spacing w:line="288" w:lineRule="auto"/>
              <w:jc w:val="center"/>
              <w:rPr>
                <w:szCs w:val="20"/>
              </w:rPr>
            </w:pPr>
            <w:r w:rsidRPr="001E31D3">
              <w:rPr>
                <w:szCs w:val="20"/>
              </w:rPr>
              <w:t>(0.01</w:t>
            </w:r>
            <w:r w:rsidR="0040285C" w:rsidRPr="001E31D3">
              <w:rPr>
                <w:szCs w:val="20"/>
              </w:rPr>
              <w:t>1</w:t>
            </w:r>
            <w:r w:rsidR="000E4E30" w:rsidRPr="001E31D3">
              <w:rPr>
                <w:szCs w:val="20"/>
              </w:rPr>
              <w:t>)</w:t>
            </w:r>
          </w:p>
        </w:tc>
        <w:tc>
          <w:tcPr>
            <w:tcW w:w="1241"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40285C" w:rsidP="00EC7D08">
            <w:pPr>
              <w:spacing w:line="288" w:lineRule="auto"/>
              <w:jc w:val="center"/>
              <w:rPr>
                <w:szCs w:val="20"/>
              </w:rPr>
            </w:pPr>
            <w:r w:rsidRPr="001E31D3">
              <w:rPr>
                <w:szCs w:val="20"/>
              </w:rPr>
              <w:t>(0.009</w:t>
            </w:r>
            <w:r w:rsidR="000E4E30" w:rsidRPr="001E31D3">
              <w:rPr>
                <w:szCs w:val="20"/>
              </w:rPr>
              <w:t>)</w:t>
            </w:r>
          </w:p>
        </w:tc>
      </w:tr>
      <w:tr w:rsidR="000E4E30" w:rsidRPr="001E31D3" w:rsidTr="0040285C">
        <w:trPr>
          <w:trHeight w:val="348"/>
        </w:trPr>
        <w:tc>
          <w:tcPr>
            <w:tcW w:w="441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r w:rsidRPr="001E31D3">
              <w:rPr>
                <w:b/>
                <w:szCs w:val="20"/>
              </w:rPr>
              <w:t>Health status (Low -1 to High-5)</w:t>
            </w: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A0358B" w:rsidP="00EC7D08">
            <w:pPr>
              <w:spacing w:line="288" w:lineRule="auto"/>
              <w:jc w:val="center"/>
              <w:rPr>
                <w:szCs w:val="20"/>
              </w:rPr>
            </w:pPr>
            <w:r w:rsidRPr="001E31D3">
              <w:rPr>
                <w:szCs w:val="20"/>
              </w:rPr>
              <w:t>0.006</w:t>
            </w:r>
            <w:r w:rsidR="000E4E30" w:rsidRPr="001E31D3">
              <w:rPr>
                <w:szCs w:val="20"/>
              </w:rPr>
              <w:t>***</w:t>
            </w:r>
          </w:p>
        </w:tc>
        <w:tc>
          <w:tcPr>
            <w:tcW w:w="1241"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r w:rsidRPr="001E31D3">
              <w:rPr>
                <w:szCs w:val="20"/>
              </w:rPr>
              <w:t>0.00</w:t>
            </w:r>
            <w:r w:rsidR="00A0358B" w:rsidRPr="001E31D3">
              <w:rPr>
                <w:szCs w:val="20"/>
              </w:rPr>
              <w:t>5</w:t>
            </w:r>
            <w:r w:rsidRPr="001E31D3">
              <w:rPr>
                <w:szCs w:val="20"/>
              </w:rPr>
              <w:t>***</w:t>
            </w:r>
          </w:p>
        </w:tc>
      </w:tr>
      <w:tr w:rsidR="000E4E30" w:rsidRPr="001E31D3" w:rsidTr="0040285C">
        <w:trPr>
          <w:trHeight w:val="300"/>
        </w:trPr>
        <w:tc>
          <w:tcPr>
            <w:tcW w:w="4410" w:type="dxa"/>
            <w:tcBorders>
              <w:top w:val="nil"/>
              <w:left w:val="nil"/>
              <w:bottom w:val="single" w:sz="4" w:space="0" w:color="auto"/>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240" w:type="dxa"/>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0E4E30" w:rsidRPr="001E31D3" w:rsidRDefault="000E4E30" w:rsidP="00EC7D08">
            <w:pPr>
              <w:spacing w:line="288" w:lineRule="auto"/>
              <w:jc w:val="center"/>
              <w:rPr>
                <w:szCs w:val="20"/>
              </w:rPr>
            </w:pPr>
          </w:p>
        </w:tc>
        <w:tc>
          <w:tcPr>
            <w:tcW w:w="1240" w:type="dxa"/>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0E4E30" w:rsidRPr="001E31D3" w:rsidRDefault="0040285C" w:rsidP="00EC7D08">
            <w:pPr>
              <w:spacing w:line="288" w:lineRule="auto"/>
              <w:jc w:val="center"/>
              <w:rPr>
                <w:szCs w:val="20"/>
              </w:rPr>
            </w:pPr>
            <w:r w:rsidRPr="001E31D3">
              <w:rPr>
                <w:szCs w:val="20"/>
              </w:rPr>
              <w:t>(0.002</w:t>
            </w:r>
            <w:r w:rsidR="000E4E30" w:rsidRPr="001E31D3">
              <w:rPr>
                <w:szCs w:val="20"/>
              </w:rPr>
              <w:t>)</w:t>
            </w:r>
          </w:p>
        </w:tc>
        <w:tc>
          <w:tcPr>
            <w:tcW w:w="1241" w:type="dxa"/>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0E4E30" w:rsidRPr="001E31D3" w:rsidRDefault="00A0358B" w:rsidP="00EC7D08">
            <w:pPr>
              <w:spacing w:line="288" w:lineRule="auto"/>
              <w:jc w:val="center"/>
              <w:rPr>
                <w:szCs w:val="20"/>
              </w:rPr>
            </w:pPr>
            <w:r w:rsidRPr="001E31D3">
              <w:rPr>
                <w:szCs w:val="20"/>
              </w:rPr>
              <w:t>(0.002</w:t>
            </w:r>
            <w:r w:rsidR="000E4E30" w:rsidRPr="001E31D3">
              <w:rPr>
                <w:szCs w:val="20"/>
              </w:rPr>
              <w:t>)</w:t>
            </w:r>
          </w:p>
        </w:tc>
      </w:tr>
    </w:tbl>
    <w:p w:rsidR="00B664E6" w:rsidRDefault="00B664E6"/>
    <w:p w:rsidR="00B664E6" w:rsidRPr="00B664E6" w:rsidRDefault="00B664E6" w:rsidP="00651009">
      <w:pPr>
        <w:jc w:val="left"/>
        <w:rPr>
          <w:b/>
          <w:color w:val="1F497D" w:themeColor="text2"/>
        </w:rPr>
      </w:pPr>
      <w:r>
        <w:br w:type="page"/>
      </w:r>
      <w:r w:rsidRPr="00B664E6">
        <w:rPr>
          <w:b/>
          <w:color w:val="1F497D" w:themeColor="text2"/>
        </w:rPr>
        <w:t xml:space="preserve">Table </w:t>
      </w:r>
      <w:r w:rsidR="0040285C">
        <w:rPr>
          <w:b/>
          <w:color w:val="1F497D" w:themeColor="text2"/>
        </w:rPr>
        <w:t xml:space="preserve">5.2 </w:t>
      </w:r>
      <w:r>
        <w:rPr>
          <w:b/>
          <w:color w:val="1F497D" w:themeColor="text2"/>
        </w:rPr>
        <w:t>(continuation)</w:t>
      </w:r>
      <w:r w:rsidRPr="00B664E6">
        <w:rPr>
          <w:b/>
          <w:color w:val="1F497D" w:themeColor="text2"/>
        </w:rPr>
        <w:t xml:space="preserve"> Null model, null model with fixed-effects, individual background factor model and country fixed effects model, dependent var</w:t>
      </w:r>
      <w:r>
        <w:rPr>
          <w:b/>
          <w:color w:val="1F497D" w:themeColor="text2"/>
        </w:rPr>
        <w:t>iable: Log numeracy skill score</w:t>
      </w:r>
    </w:p>
    <w:tbl>
      <w:tblPr>
        <w:tblW w:w="9371" w:type="dxa"/>
        <w:tblLayout w:type="fixed"/>
        <w:tblCellMar>
          <w:left w:w="0" w:type="dxa"/>
          <w:right w:w="0" w:type="dxa"/>
        </w:tblCellMar>
        <w:tblLook w:val="04A0" w:firstRow="1" w:lastRow="0" w:firstColumn="1" w:lastColumn="0" w:noHBand="0" w:noVBand="1"/>
      </w:tblPr>
      <w:tblGrid>
        <w:gridCol w:w="1874"/>
        <w:gridCol w:w="1874"/>
        <w:gridCol w:w="1282"/>
        <w:gridCol w:w="592"/>
        <w:gridCol w:w="493"/>
        <w:gridCol w:w="1085"/>
        <w:gridCol w:w="296"/>
        <w:gridCol w:w="789"/>
        <w:gridCol w:w="1086"/>
      </w:tblGrid>
      <w:tr w:rsidR="000E4E30" w:rsidRPr="001E31D3" w:rsidTr="0040285C">
        <w:trPr>
          <w:trHeight w:val="300"/>
        </w:trPr>
        <w:tc>
          <w:tcPr>
            <w:tcW w:w="5030" w:type="dxa"/>
            <w:gridSpan w:val="3"/>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b/>
                <w:szCs w:val="20"/>
              </w:rPr>
            </w:pPr>
            <w:r w:rsidRPr="001E31D3">
              <w:rPr>
                <w:b/>
                <w:szCs w:val="20"/>
              </w:rPr>
              <w:t>Work experience</w:t>
            </w:r>
          </w:p>
        </w:tc>
        <w:tc>
          <w:tcPr>
            <w:tcW w:w="1085" w:type="dxa"/>
            <w:gridSpan w:val="2"/>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085" w:type="dxa"/>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085" w:type="dxa"/>
            <w:gridSpan w:val="2"/>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086" w:type="dxa"/>
            <w:tcBorders>
              <w:top w:val="single" w:sz="4" w:space="0" w:color="auto"/>
              <w:left w:val="nil"/>
              <w:bottom w:val="single" w:sz="4" w:space="0" w:color="auto"/>
              <w:right w:val="nil"/>
            </w:tcBorders>
            <w:shd w:val="clear" w:color="auto" w:fill="B8CCE4" w:themeFill="accent1" w:themeFillTint="66"/>
            <w:noWrap/>
            <w:tcMar>
              <w:top w:w="15" w:type="dxa"/>
              <w:left w:w="15" w:type="dxa"/>
              <w:bottom w:w="0" w:type="dxa"/>
              <w:right w:w="15" w:type="dxa"/>
            </w:tcMar>
            <w:vAlign w:val="bottom"/>
          </w:tcPr>
          <w:p w:rsidR="000E4E30" w:rsidRPr="001E31D3" w:rsidRDefault="000E4E30" w:rsidP="00B664E6">
            <w:pPr>
              <w:spacing w:line="288" w:lineRule="auto"/>
              <w:rPr>
                <w:szCs w:val="20"/>
              </w:rPr>
            </w:pPr>
          </w:p>
        </w:tc>
      </w:tr>
      <w:tr w:rsidR="000E4E30" w:rsidRPr="001E31D3" w:rsidTr="0040285C">
        <w:trPr>
          <w:trHeight w:val="300"/>
        </w:trPr>
        <w:tc>
          <w:tcPr>
            <w:tcW w:w="5030" w:type="dxa"/>
            <w:gridSpan w:val="3"/>
            <w:tcBorders>
              <w:top w:val="single" w:sz="4" w:space="0" w:color="auto"/>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b/>
                <w:szCs w:val="20"/>
              </w:rPr>
            </w:pPr>
            <w:r w:rsidRPr="001E31D3">
              <w:rPr>
                <w:b/>
                <w:szCs w:val="20"/>
              </w:rPr>
              <w:t>Number of years of paid work</w:t>
            </w:r>
          </w:p>
        </w:tc>
        <w:tc>
          <w:tcPr>
            <w:tcW w:w="1085" w:type="dxa"/>
            <w:gridSpan w:val="2"/>
            <w:tcBorders>
              <w:top w:val="single" w:sz="4" w:space="0" w:color="auto"/>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085" w:type="dxa"/>
            <w:tcBorders>
              <w:top w:val="single" w:sz="4" w:space="0" w:color="auto"/>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085" w:type="dxa"/>
            <w:gridSpan w:val="2"/>
            <w:tcBorders>
              <w:top w:val="single" w:sz="4" w:space="0" w:color="auto"/>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303A69">
            <w:pPr>
              <w:spacing w:line="288" w:lineRule="auto"/>
              <w:rPr>
                <w:szCs w:val="20"/>
              </w:rPr>
            </w:pPr>
            <w:r w:rsidRPr="001E31D3">
              <w:rPr>
                <w:szCs w:val="20"/>
              </w:rPr>
              <w:t>0.002**</w:t>
            </w:r>
          </w:p>
        </w:tc>
        <w:tc>
          <w:tcPr>
            <w:tcW w:w="1086" w:type="dxa"/>
            <w:tcBorders>
              <w:top w:val="single" w:sz="4" w:space="0" w:color="auto"/>
              <w:left w:val="nil"/>
              <w:bottom w:val="nil"/>
              <w:right w:val="nil"/>
            </w:tcBorders>
            <w:shd w:val="clear" w:color="auto" w:fill="auto"/>
            <w:noWrap/>
            <w:tcMar>
              <w:top w:w="15" w:type="dxa"/>
              <w:left w:w="15" w:type="dxa"/>
              <w:bottom w:w="0" w:type="dxa"/>
              <w:right w:w="15" w:type="dxa"/>
            </w:tcMar>
            <w:vAlign w:val="bottom"/>
          </w:tcPr>
          <w:p w:rsidR="000E4E30" w:rsidRPr="001E31D3" w:rsidRDefault="000E4E30" w:rsidP="00303A69">
            <w:pPr>
              <w:spacing w:line="288" w:lineRule="auto"/>
              <w:rPr>
                <w:szCs w:val="20"/>
              </w:rPr>
            </w:pPr>
            <w:r w:rsidRPr="001E31D3">
              <w:rPr>
                <w:szCs w:val="20"/>
              </w:rPr>
              <w:t>0.00</w:t>
            </w:r>
            <w:r w:rsidR="00303A69" w:rsidRPr="001E31D3">
              <w:rPr>
                <w:szCs w:val="20"/>
              </w:rPr>
              <w:t>2</w:t>
            </w:r>
            <w:r w:rsidRPr="001E31D3">
              <w:rPr>
                <w:szCs w:val="20"/>
              </w:rPr>
              <w:t>**</w:t>
            </w:r>
          </w:p>
        </w:tc>
      </w:tr>
      <w:tr w:rsidR="000E4E30" w:rsidRPr="001E31D3" w:rsidTr="0040285C">
        <w:trPr>
          <w:trHeight w:val="300"/>
        </w:trPr>
        <w:tc>
          <w:tcPr>
            <w:tcW w:w="5030" w:type="dxa"/>
            <w:gridSpan w:val="3"/>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085" w:type="dxa"/>
            <w:gridSpan w:val="2"/>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085"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0E4E30" w:rsidRPr="001E31D3" w:rsidRDefault="000E4E30" w:rsidP="00B664E6">
            <w:pPr>
              <w:spacing w:line="288" w:lineRule="auto"/>
              <w:rPr>
                <w:szCs w:val="20"/>
              </w:rPr>
            </w:pPr>
          </w:p>
        </w:tc>
        <w:tc>
          <w:tcPr>
            <w:tcW w:w="1085" w:type="dxa"/>
            <w:gridSpan w:val="2"/>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0E4E30" w:rsidRPr="001E31D3" w:rsidRDefault="000E4E30" w:rsidP="00303A69">
            <w:pPr>
              <w:spacing w:line="288" w:lineRule="auto"/>
              <w:rPr>
                <w:szCs w:val="20"/>
              </w:rPr>
            </w:pPr>
            <w:r w:rsidRPr="001E31D3">
              <w:rPr>
                <w:szCs w:val="20"/>
              </w:rPr>
              <w:t>(0.00</w:t>
            </w:r>
            <w:r w:rsidR="00303A69" w:rsidRPr="001E31D3">
              <w:rPr>
                <w:szCs w:val="20"/>
              </w:rPr>
              <w:t>1</w:t>
            </w:r>
            <w:r w:rsidRPr="001E31D3">
              <w:rPr>
                <w:szCs w:val="20"/>
              </w:rPr>
              <w:t>)</w:t>
            </w:r>
          </w:p>
        </w:tc>
        <w:tc>
          <w:tcPr>
            <w:tcW w:w="1086"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0E4E30" w:rsidRPr="001E31D3" w:rsidRDefault="000E4E30" w:rsidP="00303A69">
            <w:pPr>
              <w:spacing w:line="288" w:lineRule="auto"/>
              <w:rPr>
                <w:szCs w:val="20"/>
              </w:rPr>
            </w:pPr>
            <w:r w:rsidRPr="001E31D3">
              <w:rPr>
                <w:szCs w:val="20"/>
              </w:rPr>
              <w:t>(0.00</w:t>
            </w:r>
            <w:r w:rsidR="00303A69" w:rsidRPr="001E31D3">
              <w:rPr>
                <w:szCs w:val="20"/>
              </w:rPr>
              <w:t>1</w:t>
            </w:r>
            <w:r w:rsidRPr="001E31D3">
              <w:rPr>
                <w:szCs w:val="20"/>
              </w:rPr>
              <w:t>)</w:t>
            </w:r>
          </w:p>
        </w:tc>
      </w:tr>
      <w:tr w:rsidR="000E4E30" w:rsidRPr="001E31D3" w:rsidTr="0040285C">
        <w:trPr>
          <w:trHeight w:val="300"/>
        </w:trPr>
        <w:tc>
          <w:tcPr>
            <w:tcW w:w="5030" w:type="dxa"/>
            <w:gridSpan w:val="3"/>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b/>
                <w:szCs w:val="20"/>
              </w:rPr>
            </w:pPr>
            <w:r w:rsidRPr="001E31D3">
              <w:rPr>
                <w:b/>
                <w:szCs w:val="20"/>
              </w:rPr>
              <w:t>Skilled occupations (D)</w:t>
            </w:r>
          </w:p>
        </w:tc>
        <w:tc>
          <w:tcPr>
            <w:tcW w:w="1085" w:type="dxa"/>
            <w:gridSpan w:val="2"/>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gridSpan w:val="2"/>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303A69">
            <w:pPr>
              <w:spacing w:line="288" w:lineRule="auto"/>
              <w:rPr>
                <w:szCs w:val="20"/>
              </w:rPr>
            </w:pPr>
            <w:r w:rsidRPr="001E31D3">
              <w:rPr>
                <w:szCs w:val="20"/>
              </w:rPr>
              <w:t>0.09</w:t>
            </w:r>
            <w:r w:rsidR="00303A69" w:rsidRPr="001E31D3">
              <w:rPr>
                <w:szCs w:val="20"/>
              </w:rPr>
              <w:t>4</w:t>
            </w:r>
            <w:r w:rsidRPr="001E31D3">
              <w:rPr>
                <w:szCs w:val="20"/>
              </w:rPr>
              <w:t>***</w:t>
            </w:r>
          </w:p>
        </w:tc>
        <w:tc>
          <w:tcPr>
            <w:tcW w:w="1086"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303A69" w:rsidP="00303A69">
            <w:pPr>
              <w:spacing w:line="288" w:lineRule="auto"/>
              <w:rPr>
                <w:szCs w:val="20"/>
              </w:rPr>
            </w:pPr>
            <w:r w:rsidRPr="001E31D3">
              <w:rPr>
                <w:szCs w:val="20"/>
              </w:rPr>
              <w:t>0.088</w:t>
            </w:r>
            <w:r w:rsidR="000E4E30" w:rsidRPr="001E31D3">
              <w:rPr>
                <w:szCs w:val="20"/>
              </w:rPr>
              <w:t>***</w:t>
            </w:r>
          </w:p>
        </w:tc>
      </w:tr>
      <w:tr w:rsidR="000E4E30" w:rsidRPr="001E31D3" w:rsidTr="0040285C">
        <w:trPr>
          <w:trHeight w:val="300"/>
        </w:trPr>
        <w:tc>
          <w:tcPr>
            <w:tcW w:w="5030" w:type="dxa"/>
            <w:gridSpan w:val="3"/>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(compared to elementary occupations)</w:t>
            </w:r>
          </w:p>
        </w:tc>
        <w:tc>
          <w:tcPr>
            <w:tcW w:w="1085" w:type="dxa"/>
            <w:gridSpan w:val="2"/>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gridSpan w:val="2"/>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303A69">
            <w:pPr>
              <w:spacing w:line="288" w:lineRule="auto"/>
              <w:rPr>
                <w:szCs w:val="20"/>
              </w:rPr>
            </w:pPr>
            <w:r w:rsidRPr="001E31D3">
              <w:rPr>
                <w:szCs w:val="20"/>
              </w:rPr>
              <w:t>(0.011)</w:t>
            </w:r>
          </w:p>
        </w:tc>
        <w:tc>
          <w:tcPr>
            <w:tcW w:w="1086"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303A69">
            <w:pPr>
              <w:spacing w:line="288" w:lineRule="auto"/>
              <w:rPr>
                <w:szCs w:val="20"/>
              </w:rPr>
            </w:pPr>
            <w:r w:rsidRPr="001E31D3">
              <w:rPr>
                <w:szCs w:val="20"/>
              </w:rPr>
              <w:t>(0.010)</w:t>
            </w:r>
          </w:p>
        </w:tc>
      </w:tr>
      <w:tr w:rsidR="000E4E30" w:rsidRPr="001E31D3" w:rsidTr="0040285C">
        <w:trPr>
          <w:trHeight w:val="300"/>
        </w:trPr>
        <w:tc>
          <w:tcPr>
            <w:tcW w:w="5030" w:type="dxa"/>
            <w:gridSpan w:val="3"/>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b/>
                <w:szCs w:val="20"/>
              </w:rPr>
            </w:pPr>
            <w:r w:rsidRPr="001E31D3">
              <w:rPr>
                <w:b/>
                <w:szCs w:val="20"/>
              </w:rPr>
              <w:t>Semi-skilled white collar occupation (D)</w:t>
            </w:r>
          </w:p>
        </w:tc>
        <w:tc>
          <w:tcPr>
            <w:tcW w:w="1085" w:type="dxa"/>
            <w:gridSpan w:val="2"/>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gridSpan w:val="2"/>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303A69">
            <w:pPr>
              <w:spacing w:line="288" w:lineRule="auto"/>
              <w:rPr>
                <w:szCs w:val="20"/>
              </w:rPr>
            </w:pPr>
            <w:r w:rsidRPr="001E31D3">
              <w:rPr>
                <w:szCs w:val="20"/>
              </w:rPr>
              <w:t>0.052***</w:t>
            </w:r>
          </w:p>
        </w:tc>
        <w:tc>
          <w:tcPr>
            <w:tcW w:w="1086"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303A69" w:rsidP="00303A69">
            <w:pPr>
              <w:spacing w:line="288" w:lineRule="auto"/>
              <w:rPr>
                <w:szCs w:val="20"/>
              </w:rPr>
            </w:pPr>
            <w:r w:rsidRPr="001E31D3">
              <w:rPr>
                <w:szCs w:val="20"/>
              </w:rPr>
              <w:t>0.051</w:t>
            </w:r>
            <w:r w:rsidR="000E4E30" w:rsidRPr="001E31D3">
              <w:rPr>
                <w:szCs w:val="20"/>
              </w:rPr>
              <w:t>***</w:t>
            </w:r>
          </w:p>
        </w:tc>
      </w:tr>
      <w:tr w:rsidR="000E4E30" w:rsidRPr="001E31D3" w:rsidTr="0040285C">
        <w:trPr>
          <w:trHeight w:val="300"/>
        </w:trPr>
        <w:tc>
          <w:tcPr>
            <w:tcW w:w="5030" w:type="dxa"/>
            <w:gridSpan w:val="3"/>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(compared to elementary occupations)</w:t>
            </w:r>
          </w:p>
        </w:tc>
        <w:tc>
          <w:tcPr>
            <w:tcW w:w="1085" w:type="dxa"/>
            <w:gridSpan w:val="2"/>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gridSpan w:val="2"/>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303A69" w:rsidP="00B664E6">
            <w:pPr>
              <w:spacing w:line="288" w:lineRule="auto"/>
              <w:rPr>
                <w:szCs w:val="20"/>
              </w:rPr>
            </w:pPr>
            <w:r w:rsidRPr="001E31D3">
              <w:rPr>
                <w:szCs w:val="20"/>
              </w:rPr>
              <w:t>(0.006</w:t>
            </w:r>
            <w:r w:rsidR="000E4E30" w:rsidRPr="001E31D3">
              <w:rPr>
                <w:szCs w:val="20"/>
              </w:rPr>
              <w:t>)</w:t>
            </w:r>
          </w:p>
        </w:tc>
        <w:tc>
          <w:tcPr>
            <w:tcW w:w="1086"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center"/>
            <w:hideMark/>
          </w:tcPr>
          <w:p w:rsidR="000E4E30" w:rsidRPr="001E31D3" w:rsidRDefault="00303A69" w:rsidP="00303A69">
            <w:pPr>
              <w:spacing w:line="288" w:lineRule="auto"/>
              <w:rPr>
                <w:szCs w:val="20"/>
              </w:rPr>
            </w:pPr>
            <w:r w:rsidRPr="001E31D3">
              <w:rPr>
                <w:szCs w:val="20"/>
              </w:rPr>
              <w:t>(0.006</w:t>
            </w:r>
            <w:r w:rsidR="000E4E30" w:rsidRPr="001E31D3">
              <w:rPr>
                <w:szCs w:val="20"/>
              </w:rPr>
              <w:t>)</w:t>
            </w:r>
          </w:p>
        </w:tc>
      </w:tr>
      <w:tr w:rsidR="000E4E30" w:rsidRPr="001E31D3" w:rsidTr="0040285C">
        <w:trPr>
          <w:trHeight w:val="300"/>
        </w:trPr>
        <w:tc>
          <w:tcPr>
            <w:tcW w:w="5030" w:type="dxa"/>
            <w:gridSpan w:val="3"/>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b/>
                <w:szCs w:val="20"/>
              </w:rPr>
            </w:pPr>
            <w:r w:rsidRPr="001E31D3">
              <w:rPr>
                <w:b/>
                <w:szCs w:val="20"/>
              </w:rPr>
              <w:t>Semi-skilled blue collar occupation (D)</w:t>
            </w:r>
          </w:p>
        </w:tc>
        <w:tc>
          <w:tcPr>
            <w:tcW w:w="1085" w:type="dxa"/>
            <w:gridSpan w:val="2"/>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gridSpan w:val="2"/>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303A69">
            <w:pPr>
              <w:spacing w:line="288" w:lineRule="auto"/>
              <w:rPr>
                <w:szCs w:val="20"/>
              </w:rPr>
            </w:pPr>
            <w:r w:rsidRPr="001E31D3">
              <w:rPr>
                <w:szCs w:val="20"/>
              </w:rPr>
              <w:t>0.011</w:t>
            </w:r>
          </w:p>
        </w:tc>
        <w:tc>
          <w:tcPr>
            <w:tcW w:w="1086" w:type="dxa"/>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303A69" w:rsidP="00B664E6">
            <w:pPr>
              <w:spacing w:line="288" w:lineRule="auto"/>
              <w:rPr>
                <w:szCs w:val="20"/>
              </w:rPr>
            </w:pPr>
            <w:r w:rsidRPr="001E31D3">
              <w:rPr>
                <w:szCs w:val="20"/>
              </w:rPr>
              <w:t>0.010</w:t>
            </w:r>
          </w:p>
        </w:tc>
      </w:tr>
      <w:tr w:rsidR="000E4E30" w:rsidRPr="001E31D3" w:rsidTr="0040285C">
        <w:trPr>
          <w:trHeight w:val="300"/>
        </w:trPr>
        <w:tc>
          <w:tcPr>
            <w:tcW w:w="5030" w:type="dxa"/>
            <w:gridSpan w:val="3"/>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(compared to elementary occupations)</w:t>
            </w:r>
          </w:p>
        </w:tc>
        <w:tc>
          <w:tcPr>
            <w:tcW w:w="1085" w:type="dxa"/>
            <w:gridSpan w:val="2"/>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gridSpan w:val="2"/>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303A69" w:rsidP="00303A69">
            <w:pPr>
              <w:spacing w:line="288" w:lineRule="auto"/>
              <w:rPr>
                <w:szCs w:val="20"/>
              </w:rPr>
            </w:pPr>
            <w:r w:rsidRPr="001E31D3">
              <w:rPr>
                <w:szCs w:val="20"/>
              </w:rPr>
              <w:t>(0.011</w:t>
            </w:r>
            <w:r w:rsidR="000E4E30" w:rsidRPr="001E31D3">
              <w:rPr>
                <w:szCs w:val="20"/>
              </w:rPr>
              <w:t>)</w:t>
            </w:r>
          </w:p>
        </w:tc>
        <w:tc>
          <w:tcPr>
            <w:tcW w:w="1086"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303A69">
            <w:pPr>
              <w:spacing w:line="288" w:lineRule="auto"/>
              <w:rPr>
                <w:szCs w:val="20"/>
              </w:rPr>
            </w:pPr>
            <w:r w:rsidRPr="001E31D3">
              <w:rPr>
                <w:szCs w:val="20"/>
              </w:rPr>
              <w:t>(0.01</w:t>
            </w:r>
            <w:r w:rsidR="00303A69" w:rsidRPr="001E31D3">
              <w:rPr>
                <w:szCs w:val="20"/>
              </w:rPr>
              <w:t>1</w:t>
            </w:r>
            <w:r w:rsidRPr="001E31D3">
              <w:rPr>
                <w:szCs w:val="20"/>
              </w:rPr>
              <w:t>)</w:t>
            </w:r>
          </w:p>
        </w:tc>
      </w:tr>
      <w:tr w:rsidR="000E4E30" w:rsidRPr="001E31D3" w:rsidTr="0040285C">
        <w:trPr>
          <w:trHeight w:val="300"/>
        </w:trPr>
        <w:tc>
          <w:tcPr>
            <w:tcW w:w="5030" w:type="dxa"/>
            <w:gridSpan w:val="3"/>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Country FE</w:t>
            </w:r>
          </w:p>
        </w:tc>
        <w:tc>
          <w:tcPr>
            <w:tcW w:w="1085" w:type="dxa"/>
            <w:gridSpan w:val="2"/>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No</w:t>
            </w:r>
          </w:p>
        </w:tc>
        <w:tc>
          <w:tcPr>
            <w:tcW w:w="1085"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Yes</w:t>
            </w:r>
          </w:p>
        </w:tc>
        <w:tc>
          <w:tcPr>
            <w:tcW w:w="1085" w:type="dxa"/>
            <w:gridSpan w:val="2"/>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No</w:t>
            </w:r>
          </w:p>
        </w:tc>
        <w:tc>
          <w:tcPr>
            <w:tcW w:w="1086"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Yes</w:t>
            </w:r>
          </w:p>
        </w:tc>
      </w:tr>
      <w:tr w:rsidR="000E4E30" w:rsidRPr="001E31D3" w:rsidTr="0040285C">
        <w:trPr>
          <w:trHeight w:val="300"/>
        </w:trPr>
        <w:tc>
          <w:tcPr>
            <w:tcW w:w="5030" w:type="dxa"/>
            <w:gridSpan w:val="3"/>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Constant</w:t>
            </w:r>
          </w:p>
        </w:tc>
        <w:tc>
          <w:tcPr>
            <w:tcW w:w="1085" w:type="dxa"/>
            <w:gridSpan w:val="2"/>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5.588***</w:t>
            </w:r>
          </w:p>
        </w:tc>
        <w:tc>
          <w:tcPr>
            <w:tcW w:w="1085"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5.628***</w:t>
            </w:r>
          </w:p>
        </w:tc>
        <w:tc>
          <w:tcPr>
            <w:tcW w:w="1085" w:type="dxa"/>
            <w:gridSpan w:val="2"/>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5.302***</w:t>
            </w:r>
          </w:p>
        </w:tc>
        <w:tc>
          <w:tcPr>
            <w:tcW w:w="1086"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5.347***</w:t>
            </w:r>
          </w:p>
        </w:tc>
      </w:tr>
      <w:tr w:rsidR="000E4E30" w:rsidRPr="001E31D3" w:rsidTr="00533615">
        <w:trPr>
          <w:trHeight w:val="345"/>
        </w:trPr>
        <w:tc>
          <w:tcPr>
            <w:tcW w:w="5030" w:type="dxa"/>
            <w:gridSpan w:val="3"/>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 </w:t>
            </w:r>
          </w:p>
        </w:tc>
        <w:tc>
          <w:tcPr>
            <w:tcW w:w="1085" w:type="dxa"/>
            <w:gridSpan w:val="2"/>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303A69" w:rsidP="00303A69">
            <w:pPr>
              <w:spacing w:line="288" w:lineRule="auto"/>
              <w:rPr>
                <w:szCs w:val="20"/>
              </w:rPr>
            </w:pPr>
            <w:r w:rsidRPr="001E31D3">
              <w:rPr>
                <w:szCs w:val="20"/>
              </w:rPr>
              <w:t>(0.014</w:t>
            </w:r>
            <w:r w:rsidR="000E4E30" w:rsidRPr="001E31D3">
              <w:rPr>
                <w:szCs w:val="20"/>
              </w:rPr>
              <w:t>)</w:t>
            </w:r>
          </w:p>
        </w:tc>
        <w:tc>
          <w:tcPr>
            <w:tcW w:w="1085"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303A69">
            <w:pPr>
              <w:spacing w:line="288" w:lineRule="auto"/>
              <w:rPr>
                <w:szCs w:val="20"/>
              </w:rPr>
            </w:pPr>
            <w:r w:rsidRPr="001E31D3">
              <w:rPr>
                <w:szCs w:val="20"/>
              </w:rPr>
              <w:t>(0.002)</w:t>
            </w:r>
          </w:p>
        </w:tc>
        <w:tc>
          <w:tcPr>
            <w:tcW w:w="1085" w:type="dxa"/>
            <w:gridSpan w:val="2"/>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303A69">
            <w:pPr>
              <w:spacing w:line="288" w:lineRule="auto"/>
              <w:rPr>
                <w:szCs w:val="20"/>
              </w:rPr>
            </w:pPr>
            <w:r w:rsidRPr="001E31D3">
              <w:rPr>
                <w:szCs w:val="20"/>
              </w:rPr>
              <w:t>(0.022)</w:t>
            </w:r>
          </w:p>
        </w:tc>
        <w:tc>
          <w:tcPr>
            <w:tcW w:w="1086"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0E4E30" w:rsidRPr="001E31D3" w:rsidRDefault="000E4E30" w:rsidP="00303A69">
            <w:pPr>
              <w:spacing w:line="288" w:lineRule="auto"/>
              <w:rPr>
                <w:szCs w:val="20"/>
              </w:rPr>
            </w:pPr>
            <w:r w:rsidRPr="001E31D3">
              <w:rPr>
                <w:szCs w:val="20"/>
              </w:rPr>
              <w:t>(0.022)</w:t>
            </w:r>
          </w:p>
        </w:tc>
      </w:tr>
      <w:tr w:rsidR="000E4E30" w:rsidRPr="001E31D3" w:rsidTr="00533615">
        <w:trPr>
          <w:trHeight w:val="300"/>
        </w:trPr>
        <w:tc>
          <w:tcPr>
            <w:tcW w:w="5030" w:type="dxa"/>
            <w:gridSpan w:val="3"/>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N</w:t>
            </w:r>
          </w:p>
        </w:tc>
        <w:tc>
          <w:tcPr>
            <w:tcW w:w="1085" w:type="dxa"/>
            <w:gridSpan w:val="2"/>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26,927</w:t>
            </w:r>
          </w:p>
        </w:tc>
        <w:tc>
          <w:tcPr>
            <w:tcW w:w="1085"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26,927</w:t>
            </w:r>
          </w:p>
        </w:tc>
        <w:tc>
          <w:tcPr>
            <w:tcW w:w="1085" w:type="dxa"/>
            <w:gridSpan w:val="2"/>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23,343</w:t>
            </w:r>
          </w:p>
        </w:tc>
        <w:tc>
          <w:tcPr>
            <w:tcW w:w="1086"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23,343</w:t>
            </w:r>
          </w:p>
        </w:tc>
      </w:tr>
      <w:tr w:rsidR="000E4E30" w:rsidRPr="001E31D3" w:rsidTr="0040285C">
        <w:trPr>
          <w:trHeight w:val="300"/>
        </w:trPr>
        <w:tc>
          <w:tcPr>
            <w:tcW w:w="5030" w:type="dxa"/>
            <w:gridSpan w:val="3"/>
            <w:tcBorders>
              <w:top w:val="nil"/>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Number of countries</w:t>
            </w:r>
          </w:p>
        </w:tc>
        <w:tc>
          <w:tcPr>
            <w:tcW w:w="1085"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r w:rsidRPr="001E31D3">
              <w:rPr>
                <w:szCs w:val="20"/>
              </w:rPr>
              <w:t>16</w:t>
            </w:r>
          </w:p>
        </w:tc>
        <w:tc>
          <w:tcPr>
            <w:tcW w:w="1085" w:type="dxa"/>
            <w:tcBorders>
              <w:top w:val="nil"/>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5"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c>
          <w:tcPr>
            <w:tcW w:w="1086" w:type="dxa"/>
            <w:tcBorders>
              <w:top w:val="nil"/>
              <w:left w:val="nil"/>
              <w:bottom w:val="nil"/>
              <w:right w:val="nil"/>
            </w:tcBorders>
            <w:shd w:val="clear" w:color="auto" w:fill="auto"/>
            <w:noWrap/>
            <w:tcMar>
              <w:top w:w="15" w:type="dxa"/>
              <w:left w:w="15" w:type="dxa"/>
              <w:bottom w:w="0" w:type="dxa"/>
              <w:right w:w="15" w:type="dxa"/>
            </w:tcMar>
            <w:vAlign w:val="bottom"/>
            <w:hideMark/>
          </w:tcPr>
          <w:p w:rsidR="000E4E30" w:rsidRPr="001E31D3" w:rsidRDefault="000E4E30" w:rsidP="00B664E6">
            <w:pPr>
              <w:spacing w:line="288" w:lineRule="auto"/>
              <w:rPr>
                <w:szCs w:val="20"/>
              </w:rPr>
            </w:pPr>
          </w:p>
        </w:tc>
      </w:tr>
      <w:tr w:rsidR="00FE0547" w:rsidRPr="001E31D3" w:rsidTr="0040285C">
        <w:trPr>
          <w:trHeight w:val="300"/>
        </w:trPr>
        <w:tc>
          <w:tcPr>
            <w:tcW w:w="5030" w:type="dxa"/>
            <w:gridSpan w:val="3"/>
            <w:tcBorders>
              <w:top w:val="nil"/>
              <w:left w:val="nil"/>
              <w:bottom w:val="nil"/>
              <w:right w:val="nil"/>
            </w:tcBorders>
            <w:shd w:val="clear" w:color="auto" w:fill="auto"/>
            <w:noWrap/>
            <w:tcMar>
              <w:top w:w="15" w:type="dxa"/>
              <w:left w:w="15" w:type="dxa"/>
              <w:bottom w:w="0" w:type="dxa"/>
              <w:right w:w="15" w:type="dxa"/>
            </w:tcMar>
            <w:vAlign w:val="bottom"/>
          </w:tcPr>
          <w:p w:rsidR="00FE0547" w:rsidRPr="001E31D3" w:rsidRDefault="00FE0547" w:rsidP="00FE0547">
            <w:pPr>
              <w:spacing w:line="288" w:lineRule="auto"/>
              <w:rPr>
                <w:szCs w:val="20"/>
              </w:rPr>
            </w:pPr>
            <w:r w:rsidRPr="001E31D3">
              <w:rPr>
                <w:szCs w:val="20"/>
              </w:rPr>
              <w:t>R2</w:t>
            </w:r>
          </w:p>
        </w:tc>
        <w:tc>
          <w:tcPr>
            <w:tcW w:w="1085" w:type="dxa"/>
            <w:gridSpan w:val="2"/>
            <w:tcBorders>
              <w:top w:val="nil"/>
              <w:left w:val="nil"/>
              <w:bottom w:val="nil"/>
              <w:right w:val="nil"/>
            </w:tcBorders>
            <w:shd w:val="clear" w:color="auto" w:fill="auto"/>
            <w:noWrap/>
            <w:tcMar>
              <w:top w:w="15" w:type="dxa"/>
              <w:left w:w="15" w:type="dxa"/>
              <w:bottom w:w="0" w:type="dxa"/>
              <w:right w:w="15" w:type="dxa"/>
            </w:tcMar>
            <w:vAlign w:val="bottom"/>
          </w:tcPr>
          <w:p w:rsidR="00FE0547" w:rsidRPr="001E31D3" w:rsidRDefault="00FE0547" w:rsidP="00FE0547">
            <w:pPr>
              <w:spacing w:line="288" w:lineRule="auto"/>
              <w:rPr>
                <w:szCs w:val="20"/>
              </w:rPr>
            </w:pPr>
            <w:r w:rsidRPr="001E31D3">
              <w:rPr>
                <w:szCs w:val="20"/>
              </w:rPr>
              <w:t>0.183</w:t>
            </w:r>
          </w:p>
        </w:tc>
        <w:tc>
          <w:tcPr>
            <w:tcW w:w="1085" w:type="dxa"/>
            <w:tcBorders>
              <w:top w:val="nil"/>
              <w:left w:val="nil"/>
              <w:bottom w:val="nil"/>
              <w:right w:val="nil"/>
            </w:tcBorders>
            <w:shd w:val="clear" w:color="auto" w:fill="auto"/>
            <w:noWrap/>
            <w:tcMar>
              <w:top w:w="15" w:type="dxa"/>
              <w:left w:w="15" w:type="dxa"/>
              <w:bottom w:w="0" w:type="dxa"/>
              <w:right w:w="15" w:type="dxa"/>
            </w:tcMar>
            <w:vAlign w:val="bottom"/>
          </w:tcPr>
          <w:p w:rsidR="00FE0547" w:rsidRPr="001E31D3" w:rsidRDefault="00FE0547" w:rsidP="00FE0547">
            <w:pPr>
              <w:spacing w:line="288" w:lineRule="auto"/>
              <w:rPr>
                <w:szCs w:val="20"/>
              </w:rPr>
            </w:pPr>
            <w:r w:rsidRPr="001E31D3">
              <w:rPr>
                <w:szCs w:val="20"/>
              </w:rPr>
              <w:t>0.214</w:t>
            </w:r>
          </w:p>
        </w:tc>
        <w:tc>
          <w:tcPr>
            <w:tcW w:w="1085" w:type="dxa"/>
            <w:gridSpan w:val="2"/>
            <w:tcBorders>
              <w:top w:val="nil"/>
              <w:left w:val="nil"/>
              <w:bottom w:val="nil"/>
              <w:right w:val="nil"/>
            </w:tcBorders>
            <w:shd w:val="clear" w:color="auto" w:fill="auto"/>
            <w:noWrap/>
            <w:tcMar>
              <w:top w:w="15" w:type="dxa"/>
              <w:left w:w="15" w:type="dxa"/>
              <w:bottom w:w="0" w:type="dxa"/>
              <w:right w:w="15" w:type="dxa"/>
            </w:tcMar>
            <w:vAlign w:val="bottom"/>
          </w:tcPr>
          <w:p w:rsidR="00FE0547" w:rsidRPr="001E31D3" w:rsidRDefault="00FE0547" w:rsidP="00FE0547">
            <w:pPr>
              <w:spacing w:line="288" w:lineRule="auto"/>
              <w:rPr>
                <w:szCs w:val="20"/>
              </w:rPr>
            </w:pPr>
            <w:r w:rsidRPr="001E31D3">
              <w:rPr>
                <w:szCs w:val="20"/>
              </w:rPr>
              <w:t>0.311</w:t>
            </w:r>
          </w:p>
        </w:tc>
        <w:tc>
          <w:tcPr>
            <w:tcW w:w="1086" w:type="dxa"/>
            <w:tcBorders>
              <w:top w:val="nil"/>
              <w:left w:val="nil"/>
              <w:bottom w:val="nil"/>
              <w:right w:val="nil"/>
            </w:tcBorders>
            <w:shd w:val="clear" w:color="auto" w:fill="auto"/>
            <w:noWrap/>
            <w:tcMar>
              <w:top w:w="15" w:type="dxa"/>
              <w:left w:w="15" w:type="dxa"/>
              <w:bottom w:w="0" w:type="dxa"/>
              <w:right w:w="15" w:type="dxa"/>
            </w:tcMar>
            <w:vAlign w:val="bottom"/>
          </w:tcPr>
          <w:p w:rsidR="00FE0547" w:rsidRPr="001E31D3" w:rsidRDefault="00FE0547" w:rsidP="00FE0547">
            <w:pPr>
              <w:spacing w:line="288" w:lineRule="auto"/>
              <w:rPr>
                <w:szCs w:val="20"/>
              </w:rPr>
            </w:pPr>
            <w:r w:rsidRPr="001E31D3">
              <w:rPr>
                <w:szCs w:val="20"/>
              </w:rPr>
              <w:t>0.332</w:t>
            </w:r>
          </w:p>
        </w:tc>
      </w:tr>
      <w:tr w:rsidR="00FE0547" w:rsidRPr="001E31D3" w:rsidTr="00533615">
        <w:trPr>
          <w:trHeight w:val="300"/>
        </w:trPr>
        <w:tc>
          <w:tcPr>
            <w:tcW w:w="5030" w:type="dxa"/>
            <w:gridSpan w:val="3"/>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FE0547" w:rsidRPr="001E31D3" w:rsidRDefault="00FE0547" w:rsidP="00B664E6">
            <w:pPr>
              <w:spacing w:line="288" w:lineRule="auto"/>
              <w:rPr>
                <w:szCs w:val="20"/>
              </w:rPr>
            </w:pPr>
            <w:r w:rsidRPr="001E31D3">
              <w:rPr>
                <w:szCs w:val="20"/>
              </w:rPr>
              <w:t>Adj-R2</w:t>
            </w:r>
          </w:p>
        </w:tc>
        <w:tc>
          <w:tcPr>
            <w:tcW w:w="1085" w:type="dxa"/>
            <w:gridSpan w:val="2"/>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FE0547" w:rsidRPr="001E31D3" w:rsidRDefault="00FE0547" w:rsidP="00B664E6">
            <w:pPr>
              <w:spacing w:line="288" w:lineRule="auto"/>
              <w:rPr>
                <w:szCs w:val="20"/>
              </w:rPr>
            </w:pPr>
            <w:r w:rsidRPr="001E31D3">
              <w:rPr>
                <w:szCs w:val="20"/>
              </w:rPr>
              <w:t>0.182</w:t>
            </w:r>
          </w:p>
        </w:tc>
        <w:tc>
          <w:tcPr>
            <w:tcW w:w="1085"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FE0547" w:rsidRPr="001E31D3" w:rsidRDefault="003C50C4" w:rsidP="00B664E6">
            <w:pPr>
              <w:spacing w:line="288" w:lineRule="auto"/>
              <w:rPr>
                <w:szCs w:val="20"/>
              </w:rPr>
            </w:pPr>
            <w:r w:rsidRPr="001E31D3">
              <w:rPr>
                <w:szCs w:val="20"/>
              </w:rPr>
              <w:t>0.213</w:t>
            </w:r>
          </w:p>
        </w:tc>
        <w:tc>
          <w:tcPr>
            <w:tcW w:w="1085" w:type="dxa"/>
            <w:gridSpan w:val="2"/>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FE0547" w:rsidRPr="001E31D3" w:rsidRDefault="00984977" w:rsidP="00B664E6">
            <w:pPr>
              <w:spacing w:line="288" w:lineRule="auto"/>
              <w:rPr>
                <w:szCs w:val="20"/>
              </w:rPr>
            </w:pPr>
            <w:r w:rsidRPr="001E31D3">
              <w:rPr>
                <w:szCs w:val="20"/>
              </w:rPr>
              <w:t>0.311</w:t>
            </w:r>
          </w:p>
        </w:tc>
        <w:tc>
          <w:tcPr>
            <w:tcW w:w="1086" w:type="dxa"/>
            <w:tcBorders>
              <w:top w:val="nil"/>
              <w:left w:val="nil"/>
              <w:bottom w:val="single" w:sz="4" w:space="0" w:color="BFBFBF" w:themeColor="background1" w:themeShade="BF"/>
              <w:right w:val="nil"/>
            </w:tcBorders>
            <w:shd w:val="clear" w:color="auto" w:fill="auto"/>
            <w:noWrap/>
            <w:tcMar>
              <w:top w:w="15" w:type="dxa"/>
              <w:left w:w="15" w:type="dxa"/>
              <w:bottom w:w="0" w:type="dxa"/>
              <w:right w:w="15" w:type="dxa"/>
            </w:tcMar>
            <w:vAlign w:val="bottom"/>
          </w:tcPr>
          <w:p w:rsidR="00FE0547" w:rsidRPr="001E31D3" w:rsidRDefault="00984977" w:rsidP="00B664E6">
            <w:pPr>
              <w:spacing w:line="288" w:lineRule="auto"/>
              <w:rPr>
                <w:szCs w:val="20"/>
              </w:rPr>
            </w:pPr>
            <w:r w:rsidRPr="001E31D3">
              <w:rPr>
                <w:szCs w:val="20"/>
              </w:rPr>
              <w:t>0.331</w:t>
            </w:r>
          </w:p>
        </w:tc>
      </w:tr>
      <w:tr w:rsidR="00FE0547" w:rsidRPr="001E31D3" w:rsidTr="00533615">
        <w:trPr>
          <w:trHeight w:val="300"/>
        </w:trPr>
        <w:tc>
          <w:tcPr>
            <w:tcW w:w="9371" w:type="dxa"/>
            <w:gridSpan w:val="9"/>
            <w:tcBorders>
              <w:top w:val="single" w:sz="4" w:space="0" w:color="BFBFBF" w:themeColor="background1" w:themeShade="BF"/>
              <w:left w:val="nil"/>
              <w:bottom w:val="nil"/>
              <w:right w:val="nil"/>
            </w:tcBorders>
            <w:shd w:val="clear" w:color="auto" w:fill="auto"/>
            <w:noWrap/>
            <w:tcMar>
              <w:top w:w="15" w:type="dxa"/>
              <w:left w:w="15" w:type="dxa"/>
              <w:bottom w:w="0" w:type="dxa"/>
              <w:right w:w="15" w:type="dxa"/>
            </w:tcMar>
            <w:vAlign w:val="bottom"/>
            <w:hideMark/>
          </w:tcPr>
          <w:p w:rsidR="00FE0547" w:rsidRPr="001E31D3" w:rsidRDefault="00FE0547" w:rsidP="00B664E6">
            <w:pPr>
              <w:spacing w:line="288" w:lineRule="auto"/>
              <w:rPr>
                <w:szCs w:val="20"/>
              </w:rPr>
            </w:pPr>
            <w:r w:rsidRPr="001E31D3">
              <w:rPr>
                <w:szCs w:val="20"/>
              </w:rPr>
              <w:t>Robust standard errors in parentheses,  *** p&lt;0.01, ** p&lt;0.05, * p&lt;0.1</w:t>
            </w:r>
          </w:p>
        </w:tc>
      </w:tr>
      <w:tr w:rsidR="00FE0547" w:rsidRPr="001E31D3" w:rsidTr="0040285C">
        <w:trPr>
          <w:trHeight w:val="300"/>
        </w:trPr>
        <w:tc>
          <w:tcPr>
            <w:tcW w:w="1874" w:type="dxa"/>
            <w:tcBorders>
              <w:top w:val="nil"/>
              <w:left w:val="nil"/>
              <w:bottom w:val="nil"/>
              <w:right w:val="nil"/>
            </w:tcBorders>
            <w:shd w:val="clear" w:color="auto" w:fill="auto"/>
            <w:noWrap/>
            <w:tcMar>
              <w:top w:w="15" w:type="dxa"/>
              <w:left w:w="15" w:type="dxa"/>
              <w:bottom w:w="0" w:type="dxa"/>
              <w:right w:w="15" w:type="dxa"/>
            </w:tcMar>
            <w:vAlign w:val="bottom"/>
            <w:hideMark/>
          </w:tcPr>
          <w:p w:rsidR="00FE0547" w:rsidRPr="001E31D3" w:rsidRDefault="00FE0547" w:rsidP="00B664E6">
            <w:pPr>
              <w:spacing w:line="288" w:lineRule="auto"/>
              <w:rPr>
                <w:szCs w:val="20"/>
              </w:rPr>
            </w:pPr>
          </w:p>
        </w:tc>
        <w:tc>
          <w:tcPr>
            <w:tcW w:w="1874" w:type="dxa"/>
            <w:tcBorders>
              <w:top w:val="nil"/>
              <w:left w:val="nil"/>
              <w:bottom w:val="nil"/>
              <w:right w:val="nil"/>
            </w:tcBorders>
            <w:shd w:val="clear" w:color="auto" w:fill="auto"/>
            <w:noWrap/>
            <w:tcMar>
              <w:top w:w="15" w:type="dxa"/>
              <w:left w:w="15" w:type="dxa"/>
              <w:bottom w:w="0" w:type="dxa"/>
              <w:right w:w="15" w:type="dxa"/>
            </w:tcMar>
            <w:vAlign w:val="bottom"/>
            <w:hideMark/>
          </w:tcPr>
          <w:p w:rsidR="00FE0547" w:rsidRPr="001E31D3" w:rsidRDefault="00FE0547" w:rsidP="00B664E6">
            <w:pPr>
              <w:spacing w:line="288" w:lineRule="auto"/>
              <w:rPr>
                <w:szCs w:val="20"/>
              </w:rPr>
            </w:pPr>
          </w:p>
        </w:tc>
        <w:tc>
          <w:tcPr>
            <w:tcW w:w="1874"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rsidR="00FE0547" w:rsidRPr="001E31D3" w:rsidRDefault="00FE0547" w:rsidP="00B664E6">
            <w:pPr>
              <w:spacing w:line="288" w:lineRule="auto"/>
              <w:rPr>
                <w:szCs w:val="20"/>
              </w:rPr>
            </w:pPr>
          </w:p>
        </w:tc>
        <w:tc>
          <w:tcPr>
            <w:tcW w:w="1874" w:type="dxa"/>
            <w:gridSpan w:val="3"/>
            <w:tcBorders>
              <w:top w:val="nil"/>
              <w:left w:val="nil"/>
              <w:bottom w:val="nil"/>
              <w:right w:val="nil"/>
            </w:tcBorders>
            <w:shd w:val="clear" w:color="auto" w:fill="auto"/>
            <w:noWrap/>
            <w:tcMar>
              <w:top w:w="15" w:type="dxa"/>
              <w:left w:w="15" w:type="dxa"/>
              <w:bottom w:w="0" w:type="dxa"/>
              <w:right w:w="15" w:type="dxa"/>
            </w:tcMar>
            <w:vAlign w:val="bottom"/>
            <w:hideMark/>
          </w:tcPr>
          <w:p w:rsidR="00FE0547" w:rsidRPr="001E31D3" w:rsidRDefault="00FE0547" w:rsidP="00B664E6">
            <w:pPr>
              <w:spacing w:line="288" w:lineRule="auto"/>
              <w:rPr>
                <w:szCs w:val="20"/>
              </w:rPr>
            </w:pPr>
          </w:p>
        </w:tc>
        <w:tc>
          <w:tcPr>
            <w:tcW w:w="1875"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rsidR="00FE0547" w:rsidRPr="001E31D3" w:rsidRDefault="00FE0547" w:rsidP="00B664E6">
            <w:pPr>
              <w:spacing w:line="288" w:lineRule="auto"/>
              <w:rPr>
                <w:szCs w:val="20"/>
              </w:rPr>
            </w:pPr>
          </w:p>
        </w:tc>
      </w:tr>
    </w:tbl>
    <w:p w:rsidR="000E4E30" w:rsidRPr="001E31D3" w:rsidRDefault="000E4E30" w:rsidP="000E4E30">
      <w:pPr>
        <w:autoSpaceDE w:val="0"/>
        <w:autoSpaceDN w:val="0"/>
        <w:adjustRightInd w:val="0"/>
        <w:spacing w:after="120" w:line="288" w:lineRule="auto"/>
      </w:pPr>
      <w:r w:rsidRPr="001E31D3">
        <w:t>The full model M4 can help understand other significant predictors of numeracy competence (in addition to educational attainment):</w:t>
      </w:r>
    </w:p>
    <w:p w:rsidR="000E4E30" w:rsidRPr="001E31D3" w:rsidRDefault="000E4E30" w:rsidP="00A05A88">
      <w:pPr>
        <w:pStyle w:val="ListParagraph"/>
        <w:numPr>
          <w:ilvl w:val="0"/>
          <w:numId w:val="31"/>
        </w:numPr>
        <w:autoSpaceDE w:val="0"/>
        <w:autoSpaceDN w:val="0"/>
        <w:adjustRightInd w:val="0"/>
        <w:spacing w:after="120" w:line="288" w:lineRule="auto"/>
      </w:pPr>
      <w:r w:rsidRPr="00400E46">
        <w:rPr>
          <w:b/>
          <w:color w:val="1F497D" w:themeColor="text2"/>
        </w:rPr>
        <w:t>Being currently in education</w:t>
      </w:r>
      <w:r w:rsidRPr="00400E46">
        <w:rPr>
          <w:color w:val="1F497D" w:themeColor="text2"/>
        </w:rPr>
        <w:t xml:space="preserve"> </w:t>
      </w:r>
      <w:r w:rsidRPr="001E31D3">
        <w:t>has a sizeable positive effect on competences (</w:t>
      </w:r>
      <w:r w:rsidR="00E731AB" w:rsidRPr="001E31D3">
        <w:t>approximately</w:t>
      </w:r>
      <w:r w:rsidRPr="001E31D3">
        <w:t xml:space="preserve"> 5%). This is not surprising, as </w:t>
      </w:r>
      <w:r w:rsidR="00BF6188" w:rsidRPr="001E31D3">
        <w:t xml:space="preserve">it </w:t>
      </w:r>
      <w:r w:rsidRPr="001E31D3">
        <w:t>solely implies that those who have continued education after their highest</w:t>
      </w:r>
      <w:r w:rsidR="00BF6188" w:rsidRPr="001E31D3">
        <w:t xml:space="preserve"> initial</w:t>
      </w:r>
      <w:r w:rsidRPr="001E31D3">
        <w:t xml:space="preserve"> education level but have not yet finalised the qualification they are currently studying towards, hold higher competences than those who are no longer in education.</w:t>
      </w:r>
    </w:p>
    <w:p w:rsidR="000E4E30" w:rsidRPr="00400E46" w:rsidRDefault="000E4E30" w:rsidP="00A05A88">
      <w:pPr>
        <w:pStyle w:val="ListParagraph"/>
        <w:numPr>
          <w:ilvl w:val="0"/>
          <w:numId w:val="31"/>
        </w:numPr>
        <w:autoSpaceDE w:val="0"/>
        <w:autoSpaceDN w:val="0"/>
        <w:adjustRightInd w:val="0"/>
        <w:spacing w:after="120" w:line="288" w:lineRule="auto"/>
      </w:pPr>
      <w:r w:rsidRPr="00400E46">
        <w:t xml:space="preserve">Being </w:t>
      </w:r>
      <w:r w:rsidRPr="00400E46">
        <w:rPr>
          <w:b/>
          <w:color w:val="1F497D" w:themeColor="text2"/>
        </w:rPr>
        <w:t>male</w:t>
      </w:r>
      <w:r w:rsidRPr="00400E46">
        <w:t xml:space="preserve"> has a significantly positive effect on numeracy competence, i.e. men have higher numeracy competence on average than women.</w:t>
      </w:r>
    </w:p>
    <w:p w:rsidR="000E4E30" w:rsidRPr="00400E46" w:rsidRDefault="000E4E30" w:rsidP="00A05A88">
      <w:pPr>
        <w:pStyle w:val="ListParagraph"/>
        <w:numPr>
          <w:ilvl w:val="0"/>
          <w:numId w:val="31"/>
        </w:numPr>
        <w:autoSpaceDE w:val="0"/>
        <w:autoSpaceDN w:val="0"/>
        <w:adjustRightInd w:val="0"/>
        <w:spacing w:after="120" w:line="288" w:lineRule="auto"/>
      </w:pPr>
      <w:r w:rsidRPr="00400E46">
        <w:rPr>
          <w:b/>
          <w:color w:val="1F497D" w:themeColor="text2"/>
        </w:rPr>
        <w:t>Parental educational background</w:t>
      </w:r>
      <w:r w:rsidRPr="00400E46">
        <w:t xml:space="preserve"> is a statistically and economically significant predictor for individual competence levels. Those </w:t>
      </w:r>
      <w:r w:rsidR="00BF6188">
        <w:t>with</w:t>
      </w:r>
      <w:r w:rsidR="003C75D6">
        <w:t xml:space="preserve"> </w:t>
      </w:r>
      <w:r w:rsidRPr="00400E46">
        <w:t xml:space="preserve">at least one parent </w:t>
      </w:r>
      <w:r w:rsidR="00BF6188">
        <w:t xml:space="preserve">who </w:t>
      </w:r>
      <w:r w:rsidRPr="00400E46">
        <w:t xml:space="preserve">attained tertiary education have approximately 6.8% higher numeracy competence than those </w:t>
      </w:r>
      <w:r w:rsidR="00E731AB">
        <w:t>for whom</w:t>
      </w:r>
      <w:r w:rsidR="00E731AB" w:rsidRPr="00400E46">
        <w:t xml:space="preserve"> </w:t>
      </w:r>
      <w:r w:rsidRPr="00400E46">
        <w:t>neither parent attained upper secondary education.</w:t>
      </w:r>
    </w:p>
    <w:p w:rsidR="000E4E30" w:rsidRPr="00400E46" w:rsidRDefault="000E4E30" w:rsidP="00A05A88">
      <w:pPr>
        <w:pStyle w:val="ListParagraph"/>
        <w:numPr>
          <w:ilvl w:val="0"/>
          <w:numId w:val="31"/>
        </w:numPr>
        <w:autoSpaceDE w:val="0"/>
        <w:autoSpaceDN w:val="0"/>
        <w:adjustRightInd w:val="0"/>
        <w:spacing w:after="120" w:line="288" w:lineRule="auto"/>
      </w:pPr>
      <w:r w:rsidRPr="00400E46">
        <w:t xml:space="preserve">Indicators for </w:t>
      </w:r>
      <w:r w:rsidRPr="00400E46">
        <w:rPr>
          <w:b/>
          <w:color w:val="1F497D" w:themeColor="text2"/>
        </w:rPr>
        <w:t>migrant/non-native speaker</w:t>
      </w:r>
      <w:r w:rsidRPr="00400E46">
        <w:rPr>
          <w:color w:val="1F497D" w:themeColor="text2"/>
        </w:rPr>
        <w:t xml:space="preserve"> </w:t>
      </w:r>
      <w:r w:rsidRPr="00400E46">
        <w:t>status all show statistically and economically significant effects. For example, those with a native background achieve approximately 10.3% higher numeracy competence scores than first generation migrants.</w:t>
      </w:r>
    </w:p>
    <w:p w:rsidR="000E4E30" w:rsidRPr="00400E46" w:rsidRDefault="000E4E30" w:rsidP="00A05A88">
      <w:pPr>
        <w:pStyle w:val="ListParagraph"/>
        <w:numPr>
          <w:ilvl w:val="0"/>
          <w:numId w:val="31"/>
        </w:numPr>
        <w:autoSpaceDE w:val="0"/>
        <w:autoSpaceDN w:val="0"/>
        <w:adjustRightInd w:val="0"/>
        <w:spacing w:after="120" w:line="288" w:lineRule="auto"/>
      </w:pPr>
      <w:r w:rsidRPr="00400E46">
        <w:rPr>
          <w:b/>
          <w:color w:val="1F497D" w:themeColor="text2"/>
        </w:rPr>
        <w:t>Health status</w:t>
      </w:r>
      <w:r w:rsidRPr="00400E46">
        <w:rPr>
          <w:color w:val="1F497D" w:themeColor="text2"/>
        </w:rPr>
        <w:t xml:space="preserve"> </w:t>
      </w:r>
      <w:r w:rsidRPr="00400E46">
        <w:t>has a small, but significant effect on competences.</w:t>
      </w:r>
    </w:p>
    <w:p w:rsidR="000E4E30" w:rsidRPr="0051512A" w:rsidRDefault="000E4E30" w:rsidP="00A05A88">
      <w:pPr>
        <w:pStyle w:val="ListParagraph"/>
        <w:numPr>
          <w:ilvl w:val="0"/>
          <w:numId w:val="31"/>
        </w:numPr>
        <w:autoSpaceDE w:val="0"/>
        <w:autoSpaceDN w:val="0"/>
        <w:adjustRightInd w:val="0"/>
        <w:spacing w:after="120" w:line="288" w:lineRule="auto"/>
      </w:pPr>
      <w:r w:rsidRPr="00400E46">
        <w:t xml:space="preserve">As far as </w:t>
      </w:r>
      <w:r w:rsidRPr="00400E46">
        <w:rPr>
          <w:b/>
          <w:color w:val="1F497D" w:themeColor="text2"/>
        </w:rPr>
        <w:t>work experience</w:t>
      </w:r>
      <w:r w:rsidRPr="00400E46">
        <w:rPr>
          <w:color w:val="1F497D" w:themeColor="text2"/>
        </w:rPr>
        <w:t xml:space="preserve"> </w:t>
      </w:r>
      <w:r w:rsidRPr="00400E46">
        <w:t xml:space="preserve">is concerned, the number of years of work experience </w:t>
      </w:r>
      <w:r w:rsidRPr="0051512A">
        <w:t>is significant, but shows relatively small effects, whereas the type of occupation has statistically and economically significant effects on individual competence level. Someone in a skilled occupation for example displays approximately 8.8% higher numeracy competence than someone in an elementary occupation.</w:t>
      </w:r>
    </w:p>
    <w:p w:rsidR="00BF65F7" w:rsidRPr="00065622" w:rsidRDefault="000E4E30" w:rsidP="0051512A">
      <w:pPr>
        <w:autoSpaceDE w:val="0"/>
        <w:autoSpaceDN w:val="0"/>
        <w:adjustRightInd w:val="0"/>
        <w:spacing w:after="120" w:line="288" w:lineRule="auto"/>
        <w:rPr>
          <w:highlight w:val="yellow"/>
        </w:rPr>
      </w:pPr>
      <w:r w:rsidRPr="0051512A">
        <w:t>It should also be noted that the fit of model improves through the introduction of the country fixed effects (as indicated by the larger</w:t>
      </w:r>
      <w:r w:rsidR="0040285C" w:rsidRPr="0051512A">
        <w:t xml:space="preserve"> adjusted</w:t>
      </w:r>
      <w:r w:rsidRPr="0051512A">
        <w:t xml:space="preserve"> R2). This implies that some information about the variation of competences between individuals is captured in the fact that people</w:t>
      </w:r>
      <w:r w:rsidRPr="00400E46">
        <w:t xml:space="preserve"> are located (nested) in different countries. This cross-country variation will be explored in the following.</w:t>
      </w:r>
    </w:p>
    <w:p w:rsidR="0051512A" w:rsidRDefault="0051512A" w:rsidP="0051512A">
      <w:pPr>
        <w:pStyle w:val="Heading2"/>
      </w:pPr>
      <w:bookmarkStart w:id="152" w:name="_Toc435802096"/>
      <w:r>
        <w:t>5.4 Cross-country variation of the competence differences</w:t>
      </w:r>
      <w:bookmarkEnd w:id="152"/>
    </w:p>
    <w:p w:rsidR="0051512A" w:rsidRPr="001E31D3" w:rsidRDefault="0051512A" w:rsidP="0051512A">
      <w:pPr>
        <w:pStyle w:val="BodyText"/>
        <w:spacing w:line="288" w:lineRule="auto"/>
      </w:pPr>
      <w:r w:rsidRPr="001E31D3">
        <w:t>The analysis to date assumes that, while the level of the effect varies between countries (through country fixed effects), the strength of the relationship between educational attainment and competence levels is fixed. However, the descriptive analysis highlighted that the strength of this relationship seems to vary between countries.</w:t>
      </w:r>
    </w:p>
    <w:p w:rsidR="0051512A" w:rsidRPr="001E31D3" w:rsidRDefault="0051512A" w:rsidP="0051512A">
      <w:pPr>
        <w:pStyle w:val="BodyText"/>
        <w:spacing w:line="288" w:lineRule="auto"/>
      </w:pPr>
      <w:r w:rsidRPr="001E31D3">
        <w:t>A multilevel approach allows us to observe how the strength of this relationship between formal qualification and competences varies between countries and, more specifically, which level of formal qualification has the biggest impact by country. The results presented below are outputs of a model which includes the interaction between qualification levels and country dummies, the empirical model is in this case specified as follows:</w:t>
      </w:r>
    </w:p>
    <w:p w:rsidR="0051512A" w:rsidRPr="001E31D3" w:rsidRDefault="0051512A" w:rsidP="0051512A">
      <w:pPr>
        <w:autoSpaceDE w:val="0"/>
        <w:autoSpaceDN w:val="0"/>
        <w:adjustRightInd w:val="0"/>
        <w:spacing w:after="120" w:line="288" w:lineRule="auto"/>
        <w:rPr>
          <w:rFonts w:cs="Arial"/>
          <w:szCs w:val="20"/>
        </w:rPr>
      </w:pPr>
    </w:p>
    <w:p w:rsidR="0051512A" w:rsidRPr="001E31D3" w:rsidRDefault="0051512A" w:rsidP="00F90C88">
      <w:pPr>
        <w:pStyle w:val="ListParagraph"/>
        <w:numPr>
          <w:ilvl w:val="0"/>
          <w:numId w:val="40"/>
        </w:numPr>
        <w:autoSpaceDE w:val="0"/>
        <w:autoSpaceDN w:val="0"/>
        <w:adjustRightInd w:val="0"/>
        <w:spacing w:after="120" w:line="288" w:lineRule="auto"/>
        <w:contextualSpacing/>
        <w:jc w:val="center"/>
        <w:rPr>
          <w:rFonts w:ascii="Cambria Math" w:hAnsi="Cambria Math" w:cs="Cambria Math"/>
        </w:rPr>
      </w:pPr>
      <w:r w:rsidRPr="001E31D3">
        <w:rPr>
          <w:rFonts w:ascii="Cambria Math" w:hAnsi="Cambria Math" w:cs="Cambria Math"/>
        </w:rPr>
        <w:t xml:space="preserve">ln(ℎ𝑖,𝑗)=𝛽0+ß1𝑞𝑖,𝑗+ 𝛽2ce𝑖,𝑗+𝛽3p𝑖,𝑗+ 𝛽4tl𝑖,𝑗 + 𝛽5m𝑖,𝑗 +ß6𝑎𝑖,𝑗+ß7𝑔𝑖,𝑗+ 𝛽8hth𝑖,𝑗 𝛽9𝑤𝑖,𝑗+ 𝛽10oc𝑖,𝑗 + </w:t>
      </w:r>
      <w:r w:rsidRPr="001E31D3">
        <w:rPr>
          <w:rFonts w:ascii="Cambria Math" w:hAnsi="Cambria Math" w:cs="Cambria Math"/>
          <w:b/>
        </w:rPr>
        <w:t>ß11𝑞𝑖,𝑗*𝑐𝑗</w:t>
      </w:r>
      <w:r w:rsidRPr="001E31D3">
        <w:rPr>
          <w:rFonts w:ascii="Cambria Math" w:hAnsi="Cambria Math" w:cs="Cambria Math"/>
        </w:rPr>
        <w:t xml:space="preserve"> +𝑐𝑗+𝜀𝑖,𝑗</w:t>
      </w:r>
    </w:p>
    <w:p w:rsidR="0051512A" w:rsidRPr="001E31D3" w:rsidRDefault="0051512A" w:rsidP="0051512A">
      <w:pPr>
        <w:autoSpaceDE w:val="0"/>
        <w:autoSpaceDN w:val="0"/>
        <w:adjustRightInd w:val="0"/>
        <w:spacing w:after="120" w:line="288" w:lineRule="auto"/>
        <w:rPr>
          <w:rFonts w:cs="Arial"/>
          <w:szCs w:val="20"/>
        </w:rPr>
      </w:pPr>
    </w:p>
    <w:p w:rsidR="0051512A" w:rsidRPr="001E31D3" w:rsidRDefault="0051512A" w:rsidP="0051512A">
      <w:pPr>
        <w:pStyle w:val="BodyText"/>
        <w:spacing w:line="288" w:lineRule="auto"/>
      </w:pPr>
      <w:r w:rsidRPr="001E31D3">
        <w:t>Where</w:t>
      </w:r>
      <w:r w:rsidRPr="001E31D3">
        <w:rPr>
          <w:rFonts w:ascii="Cambria Math" w:hAnsi="Cambria Math" w:cs="Cambria Math"/>
          <w:b/>
        </w:rPr>
        <w:t xml:space="preserve"> </w:t>
      </w:r>
      <w:r w:rsidRPr="001E31D3">
        <w:rPr>
          <w:rFonts w:ascii="Cambria Math" w:hAnsi="Cambria Math" w:cs="Cambria Math"/>
        </w:rPr>
        <w:t xml:space="preserve">𝑞𝑖,*𝑐𝑗 </w:t>
      </w:r>
      <w:r w:rsidRPr="001E31D3">
        <w:t>is the interaction between qualification levels and country dummies. This model estimates the strength and direction of the relationship between different qualification levels and competences by country, while controlling for individual background factors.</w:t>
      </w:r>
    </w:p>
    <w:p w:rsidR="0051512A" w:rsidRPr="000043A4" w:rsidRDefault="0051512A" w:rsidP="0051512A">
      <w:pPr>
        <w:pStyle w:val="Heading3"/>
      </w:pPr>
      <w:bookmarkStart w:id="153" w:name="_Toc427069136"/>
      <w:bookmarkStart w:id="154" w:name="_Toc427154772"/>
      <w:bookmarkStart w:id="155" w:name="_Toc432873773"/>
      <w:bookmarkStart w:id="156" w:name="_Toc435620176"/>
      <w:bookmarkStart w:id="157" w:name="_Toc435802097"/>
      <w:r w:rsidRPr="000043A4">
        <w:t>5.4.1. The link between upper secondary education and competence levels</w:t>
      </w:r>
      <w:bookmarkEnd w:id="153"/>
      <w:bookmarkEnd w:id="154"/>
      <w:bookmarkEnd w:id="155"/>
      <w:bookmarkEnd w:id="156"/>
      <w:bookmarkEnd w:id="157"/>
    </w:p>
    <w:p w:rsidR="0051512A" w:rsidRPr="000608C4" w:rsidRDefault="0051512A" w:rsidP="0051512A">
      <w:pPr>
        <w:pStyle w:val="BodyText"/>
        <w:spacing w:line="288" w:lineRule="auto"/>
      </w:pPr>
      <w:r w:rsidRPr="00810364">
        <w:rPr>
          <w:color w:val="000000" w:themeColor="text1"/>
        </w:rPr>
        <w:t xml:space="preserve">Figure 5.5 </w:t>
      </w:r>
      <w:r w:rsidRPr="00810364">
        <w:t>below shows the estimated partial effects of having obtained upper secondary education</w:t>
      </w:r>
      <w:r w:rsidRPr="000043A4">
        <w:t xml:space="preserve"> on competence levels in individual countries, including the 95% confidence intervals around the estimates. The eff</w:t>
      </w:r>
      <w:r>
        <w:t xml:space="preserve">ects can be interpreted as the </w:t>
      </w:r>
      <w:r>
        <w:rPr>
          <w:b/>
          <w:color w:val="1F497D" w:themeColor="text2"/>
        </w:rPr>
        <w:t>competence difference</w:t>
      </w:r>
      <w:r w:rsidR="00E731AB">
        <w:rPr>
          <w:b/>
          <w:color w:val="1F497D" w:themeColor="text2"/>
        </w:rPr>
        <w:t xml:space="preserve"> (or ‘gain’)</w:t>
      </w:r>
      <w:r w:rsidRPr="000043A4">
        <w:rPr>
          <w:b/>
          <w:color w:val="1F497D" w:themeColor="text2"/>
        </w:rPr>
        <w:t xml:space="preserve"> </w:t>
      </w:r>
      <w:r>
        <w:rPr>
          <w:b/>
          <w:color w:val="1F497D" w:themeColor="text2"/>
        </w:rPr>
        <w:t>between those</w:t>
      </w:r>
      <w:r w:rsidRPr="000043A4">
        <w:rPr>
          <w:b/>
          <w:color w:val="1F497D" w:themeColor="text2"/>
        </w:rPr>
        <w:t xml:space="preserve"> having obtained an upper secondary qualification </w:t>
      </w:r>
      <w:r w:rsidRPr="000043A4">
        <w:t xml:space="preserve">compared with those who have at most obtained lower secondary qualifications. The coefficients </w:t>
      </w:r>
      <w:r w:rsidR="00E731AB" w:rsidRPr="000043A4">
        <w:t xml:space="preserve">displayed </w:t>
      </w:r>
      <w:r w:rsidRPr="000043A4">
        <w:t xml:space="preserve">can be approximated by an average percentage increase, e.g. in Slovakia, those with upper secondary education achieve 14% higher levels of competence than those with lower secondary </w:t>
      </w:r>
      <w:r w:rsidRPr="000608C4">
        <w:t>education on average</w:t>
      </w:r>
      <w:r w:rsidR="00E731AB" w:rsidRPr="000608C4">
        <w:rPr>
          <w:rStyle w:val="FootnoteReference"/>
          <w:color w:val="000000"/>
          <w:szCs w:val="20"/>
        </w:rPr>
        <w:footnoteReference w:id="20"/>
      </w:r>
      <w:r w:rsidR="00E731AB">
        <w:rPr>
          <w:vertAlign w:val="superscript"/>
        </w:rPr>
        <w:t>,</w:t>
      </w:r>
      <w:r w:rsidR="00E731AB">
        <w:rPr>
          <w:rStyle w:val="FootnoteReference"/>
        </w:rPr>
        <w:footnoteReference w:id="21"/>
      </w:r>
      <w:r w:rsidRPr="000608C4">
        <w:t>.</w:t>
      </w:r>
      <w:r>
        <w:rPr>
          <w:vertAlign w:val="superscript"/>
        </w:rPr>
        <w:t xml:space="preserve"> </w:t>
      </w:r>
      <w:r>
        <w:t>It should be noted that the interpretation of the coefficients as a percentage gain is only an approximation of the actual gain as the competence scale is not an interval scale.</w:t>
      </w:r>
    </w:p>
    <w:p w:rsidR="0051512A" w:rsidRPr="000043A4" w:rsidRDefault="00810364" w:rsidP="0051512A">
      <w:pPr>
        <w:pStyle w:val="Caption"/>
        <w:jc w:val="left"/>
        <w:rPr>
          <w:rFonts w:ascii="Verdana" w:hAnsi="Verdana"/>
          <w:b w:val="0"/>
          <w:color w:val="1F497D" w:themeColor="text2"/>
          <w:sz w:val="20"/>
        </w:rPr>
      </w:pPr>
      <w:r>
        <w:rPr>
          <w:rFonts w:ascii="Verdana" w:hAnsi="Verdana"/>
          <w:b w:val="0"/>
          <w:color w:val="1F497D" w:themeColor="text2"/>
          <w:sz w:val="20"/>
        </w:rPr>
        <w:t>Figure 5.5</w:t>
      </w:r>
      <w:r w:rsidR="0051512A">
        <w:rPr>
          <w:rFonts w:ascii="Verdana" w:hAnsi="Verdana"/>
          <w:b w:val="0"/>
          <w:color w:val="1F497D" w:themeColor="text2"/>
          <w:sz w:val="20"/>
        </w:rPr>
        <w:t xml:space="preserve"> Competence difference</w:t>
      </w:r>
      <w:r w:rsidR="003C75D6">
        <w:rPr>
          <w:rFonts w:ascii="Verdana" w:hAnsi="Verdana"/>
          <w:b w:val="0"/>
          <w:color w:val="1F497D" w:themeColor="text2"/>
          <w:sz w:val="20"/>
        </w:rPr>
        <w:t xml:space="preserve"> (‘gain’)</w:t>
      </w:r>
      <w:r w:rsidR="0051512A">
        <w:rPr>
          <w:rFonts w:ascii="Verdana" w:hAnsi="Verdana"/>
          <w:b w:val="0"/>
          <w:color w:val="1F497D" w:themeColor="text2"/>
          <w:sz w:val="20"/>
        </w:rPr>
        <w:t xml:space="preserve"> </w:t>
      </w:r>
      <w:r w:rsidR="00180F77">
        <w:rPr>
          <w:rFonts w:ascii="Verdana" w:hAnsi="Verdana"/>
          <w:b w:val="0"/>
          <w:color w:val="1F497D" w:themeColor="text2"/>
          <w:sz w:val="20"/>
        </w:rPr>
        <w:t>for</w:t>
      </w:r>
      <w:r w:rsidR="00180F77" w:rsidRPr="000043A4">
        <w:rPr>
          <w:rFonts w:ascii="Verdana" w:hAnsi="Verdana"/>
          <w:b w:val="0"/>
          <w:color w:val="1F497D" w:themeColor="text2"/>
          <w:sz w:val="20"/>
        </w:rPr>
        <w:t xml:space="preserve"> </w:t>
      </w:r>
      <w:r w:rsidR="0051512A" w:rsidRPr="000043A4">
        <w:rPr>
          <w:rFonts w:ascii="Verdana" w:hAnsi="Verdana"/>
          <w:b w:val="0"/>
          <w:color w:val="1F497D" w:themeColor="text2"/>
          <w:sz w:val="20"/>
        </w:rPr>
        <w:t>upper secondary</w:t>
      </w:r>
      <w:r w:rsidR="0051512A">
        <w:rPr>
          <w:rFonts w:ascii="Verdana" w:hAnsi="Verdana"/>
          <w:b w:val="0"/>
          <w:color w:val="1F497D" w:themeColor="text2"/>
          <w:sz w:val="20"/>
        </w:rPr>
        <w:t xml:space="preserve"> </w:t>
      </w:r>
      <w:r w:rsidR="0051512A" w:rsidRPr="000043A4">
        <w:rPr>
          <w:rFonts w:ascii="Verdana" w:hAnsi="Verdana"/>
          <w:b w:val="0"/>
          <w:color w:val="1F497D" w:themeColor="text2"/>
          <w:sz w:val="20"/>
        </w:rPr>
        <w:t>education</w:t>
      </w:r>
      <w:r w:rsidR="00E731AB">
        <w:rPr>
          <w:rFonts w:ascii="Verdana" w:hAnsi="Verdana"/>
          <w:b w:val="0"/>
          <w:color w:val="1F497D" w:themeColor="text2"/>
          <w:sz w:val="20"/>
        </w:rPr>
        <w:t xml:space="preserve"> compared to lower secondary education or below</w:t>
      </w:r>
      <w:r w:rsidR="0051512A" w:rsidRPr="000043A4">
        <w:rPr>
          <w:rFonts w:ascii="Verdana" w:hAnsi="Verdana"/>
          <w:b w:val="0"/>
          <w:color w:val="1F497D" w:themeColor="text2"/>
          <w:sz w:val="20"/>
        </w:rPr>
        <w:t>, numeracy</w:t>
      </w:r>
    </w:p>
    <w:p w:rsidR="0051512A" w:rsidRPr="0049007F" w:rsidRDefault="0051512A" w:rsidP="0051512A">
      <w:pPr>
        <w:autoSpaceDE w:val="0"/>
        <w:autoSpaceDN w:val="0"/>
        <w:adjustRightInd w:val="0"/>
        <w:spacing w:after="120" w:line="288" w:lineRule="auto"/>
        <w:rPr>
          <w:rFonts w:cs="Arial"/>
          <w:i/>
          <w:sz w:val="16"/>
          <w:szCs w:val="16"/>
        </w:rPr>
      </w:pPr>
      <w:r>
        <w:rPr>
          <w:noProof/>
          <w:lang w:val="en-US" w:eastAsia="en-US"/>
        </w:rPr>
        <w:drawing>
          <wp:inline distT="0" distB="0" distL="0" distR="0" wp14:anchorId="64A14854" wp14:editId="1A60A565">
            <wp:extent cx="5580000" cy="2700000"/>
            <wp:effectExtent l="0" t="0" r="1905" b="5715"/>
            <wp:docPr id="296" name="Chart 296"/>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sidRPr="0049007F">
        <w:rPr>
          <w:rFonts w:cs="Arial"/>
          <w:i/>
          <w:sz w:val="16"/>
          <w:szCs w:val="16"/>
        </w:rPr>
        <w:t>Notes: 20-34 year old respondents, PIAAC data, ordered by size of coefficient. This was estimated by OLS, with sample weights and standard error adjusted by country.</w:t>
      </w:r>
    </w:p>
    <w:p w:rsidR="0051512A" w:rsidRPr="000043A4" w:rsidRDefault="0051512A" w:rsidP="0051512A">
      <w:pPr>
        <w:pStyle w:val="BodyText"/>
        <w:spacing w:line="288" w:lineRule="auto"/>
      </w:pPr>
      <w:r w:rsidRPr="000043A4">
        <w:t>At first sight, the strongest link between upper secondary qualifications and competences seems to be observed in Slovakia (approximately14.2%) and Denmark (approximately12.5%), wh</w:t>
      </w:r>
      <w:r w:rsidR="00E731AB">
        <w:t>ereas</w:t>
      </w:r>
      <w:r w:rsidRPr="000043A4">
        <w:t xml:space="preserve"> the achievement of upper secondary qualifications </w:t>
      </w:r>
      <w:r w:rsidR="00E731AB">
        <w:t xml:space="preserve">appears to contribute </w:t>
      </w:r>
      <w:r w:rsidRPr="000043A4">
        <w:t xml:space="preserve">less </w:t>
      </w:r>
      <w:r w:rsidR="00E731AB">
        <w:t>to</w:t>
      </w:r>
      <w:r w:rsidR="00E731AB" w:rsidRPr="000043A4">
        <w:t xml:space="preserve"> </w:t>
      </w:r>
      <w:r w:rsidRPr="000043A4">
        <w:t xml:space="preserve">competence levels in the Czech Republic (7.9%) and France (6.7%) when compared to those achieving only lower secondary qualifications. However, </w:t>
      </w:r>
      <w:r w:rsidRPr="000043A4">
        <w:rPr>
          <w:b/>
          <w:color w:val="1F497D" w:themeColor="text2"/>
        </w:rPr>
        <w:t>effects are mostly not significantly different from the average</w:t>
      </w:r>
      <w:r w:rsidRPr="000043A4">
        <w:t xml:space="preserve"> and there are large overlaps between countries, between which effects are not significantly different from each other (see </w:t>
      </w:r>
      <w:r w:rsidRPr="00810364">
        <w:t>Table 5.3</w:t>
      </w:r>
      <w:r w:rsidRPr="000043A4">
        <w:t>) below.</w:t>
      </w:r>
    </w:p>
    <w:p w:rsidR="0051512A" w:rsidRPr="000043A4" w:rsidRDefault="0051512A" w:rsidP="0051512A">
      <w:pPr>
        <w:pStyle w:val="BodyText"/>
        <w:spacing w:line="288" w:lineRule="auto"/>
        <w:rPr>
          <w:b/>
          <w:bCs/>
          <w:lang w:eastAsia="en-US"/>
        </w:rPr>
      </w:pPr>
      <w:r w:rsidRPr="000043A4">
        <w:br w:type="page"/>
      </w:r>
    </w:p>
    <w:p w:rsidR="0051512A" w:rsidRPr="000043A4" w:rsidRDefault="0051512A" w:rsidP="0051512A">
      <w:pPr>
        <w:pStyle w:val="Caption"/>
        <w:spacing w:before="0" w:after="120" w:line="288" w:lineRule="auto"/>
        <w:rPr>
          <w:rFonts w:ascii="Verdana" w:hAnsi="Verdana"/>
          <w:b w:val="0"/>
          <w:color w:val="1F497D" w:themeColor="text2"/>
          <w:sz w:val="20"/>
        </w:rPr>
      </w:pPr>
      <w:r w:rsidRPr="000043A4">
        <w:rPr>
          <w:rFonts w:ascii="Verdana" w:hAnsi="Verdana"/>
          <w:b w:val="0"/>
          <w:color w:val="1F497D" w:themeColor="text2"/>
          <w:sz w:val="20"/>
        </w:rPr>
        <w:t xml:space="preserve">Table </w:t>
      </w:r>
      <w:r w:rsidR="00877425">
        <w:rPr>
          <w:rFonts w:ascii="Verdana" w:hAnsi="Verdana"/>
          <w:b w:val="0"/>
          <w:color w:val="1F497D" w:themeColor="text2"/>
          <w:sz w:val="20"/>
        </w:rPr>
        <w:t>5.3</w:t>
      </w:r>
      <w:r w:rsidR="003C75D6">
        <w:rPr>
          <w:rFonts w:ascii="Verdana" w:hAnsi="Verdana"/>
          <w:b w:val="0"/>
          <w:color w:val="1F497D" w:themeColor="text2"/>
          <w:sz w:val="20"/>
        </w:rPr>
        <w:t xml:space="preserve"> </w:t>
      </w:r>
      <w:r w:rsidRPr="000043A4">
        <w:rPr>
          <w:rFonts w:ascii="Verdana" w:hAnsi="Verdana"/>
          <w:b w:val="0"/>
          <w:color w:val="1F497D" w:themeColor="text2"/>
          <w:sz w:val="20"/>
        </w:rPr>
        <w:t xml:space="preserve">Are </w:t>
      </w:r>
      <w:r>
        <w:rPr>
          <w:rFonts w:ascii="Verdana" w:hAnsi="Verdana"/>
          <w:b w:val="0"/>
          <w:color w:val="1F497D" w:themeColor="text2"/>
          <w:sz w:val="20"/>
        </w:rPr>
        <w:t xml:space="preserve">differences of the size of the competence </w:t>
      </w:r>
      <w:r w:rsidR="00180F77">
        <w:rPr>
          <w:rFonts w:ascii="Verdana" w:hAnsi="Verdana"/>
          <w:b w:val="0"/>
          <w:color w:val="1F497D" w:themeColor="text2"/>
          <w:sz w:val="20"/>
        </w:rPr>
        <w:t xml:space="preserve">‘gain’ </w:t>
      </w:r>
      <w:r w:rsidRPr="000043A4">
        <w:rPr>
          <w:rFonts w:ascii="Verdana" w:hAnsi="Verdana"/>
          <w:b w:val="0"/>
          <w:color w:val="1F497D" w:themeColor="text2"/>
          <w:sz w:val="20"/>
        </w:rPr>
        <w:t>of upper secondary education significant? (numeracy)</w:t>
      </w:r>
    </w:p>
    <w:tbl>
      <w:tblPr>
        <w:tblW w:w="911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CellMar>
          <w:left w:w="70" w:type="dxa"/>
          <w:right w:w="70" w:type="dxa"/>
        </w:tblCellMar>
        <w:tblLook w:val="04A0" w:firstRow="1" w:lastRow="0" w:firstColumn="1" w:lastColumn="0" w:noHBand="0" w:noVBand="1"/>
      </w:tblPr>
      <w:tblGrid>
        <w:gridCol w:w="1487"/>
        <w:gridCol w:w="568"/>
        <w:gridCol w:w="7056"/>
      </w:tblGrid>
      <w:tr w:rsidR="001E31D3" w:rsidRPr="001E31D3" w:rsidTr="000D7994">
        <w:trPr>
          <w:cantSplit/>
          <w:trHeight w:hRule="exact" w:val="340"/>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tcPr>
          <w:p w:rsidR="0051512A" w:rsidRPr="001E31D3" w:rsidRDefault="0051512A" w:rsidP="003C75D6">
            <w:pPr>
              <w:rPr>
                <w:rFonts w:cs="Arial"/>
                <w:b/>
                <w:bCs/>
                <w:sz w:val="18"/>
                <w:szCs w:val="18"/>
                <w:lang w:eastAsia="es-ES"/>
              </w:rPr>
            </w:pPr>
          </w:p>
        </w:tc>
        <w:tc>
          <w:tcPr>
            <w:tcW w:w="7624"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51512A" w:rsidRPr="001E31D3" w:rsidRDefault="0051512A" w:rsidP="003C75D6">
            <w:pPr>
              <w:rPr>
                <w:rFonts w:cs="Arial"/>
                <w:sz w:val="18"/>
                <w:szCs w:val="18"/>
                <w:lang w:eastAsia="es-ES"/>
              </w:rPr>
            </w:pPr>
            <w:r w:rsidRPr="001E31D3">
              <w:rPr>
                <w:rFonts w:cs="Arial"/>
                <w:bCs/>
                <w:sz w:val="18"/>
                <w:szCs w:val="18"/>
                <w:lang w:eastAsia="es-ES"/>
              </w:rPr>
              <w:t xml:space="preserve">Significantly </w:t>
            </w:r>
            <w:r w:rsidRPr="001E31D3">
              <w:rPr>
                <w:rFonts w:cs="Arial"/>
                <w:b/>
                <w:bCs/>
                <w:sz w:val="18"/>
                <w:szCs w:val="18"/>
                <w:lang w:eastAsia="es-ES"/>
              </w:rPr>
              <w:t>above</w:t>
            </w:r>
            <w:r w:rsidRPr="001E31D3">
              <w:rPr>
                <w:rFonts w:cs="Arial"/>
                <w:bCs/>
                <w:sz w:val="18"/>
                <w:szCs w:val="18"/>
                <w:lang w:eastAsia="es-ES"/>
              </w:rPr>
              <w:t xml:space="preserve"> the EU-16 average</w:t>
            </w:r>
          </w:p>
        </w:tc>
      </w:tr>
      <w:tr w:rsidR="001E31D3" w:rsidRPr="001E31D3" w:rsidTr="000D7994">
        <w:trPr>
          <w:cantSplit/>
          <w:trHeight w:hRule="exact" w:val="340"/>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tcPr>
          <w:p w:rsidR="0051512A" w:rsidRPr="001E31D3" w:rsidRDefault="0051512A" w:rsidP="003C75D6">
            <w:pPr>
              <w:rPr>
                <w:rFonts w:cs="Arial"/>
                <w:b/>
                <w:bCs/>
                <w:sz w:val="18"/>
                <w:szCs w:val="18"/>
                <w:lang w:eastAsia="es-ES"/>
              </w:rPr>
            </w:pPr>
          </w:p>
        </w:tc>
        <w:tc>
          <w:tcPr>
            <w:tcW w:w="7624"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51512A" w:rsidRPr="001E31D3" w:rsidRDefault="0051512A" w:rsidP="003C75D6">
            <w:pPr>
              <w:rPr>
                <w:rFonts w:cs="Arial"/>
                <w:sz w:val="18"/>
                <w:szCs w:val="18"/>
                <w:lang w:eastAsia="es-ES"/>
              </w:rPr>
            </w:pPr>
            <w:r w:rsidRPr="001E31D3">
              <w:rPr>
                <w:rFonts w:cs="Arial"/>
                <w:sz w:val="18"/>
                <w:szCs w:val="18"/>
                <w:lang w:eastAsia="es-ES"/>
              </w:rPr>
              <w:t>Not significantly different from the EU-16 average</w:t>
            </w:r>
          </w:p>
        </w:tc>
      </w:tr>
      <w:tr w:rsidR="001E31D3" w:rsidRPr="001E31D3" w:rsidTr="000D7994">
        <w:trPr>
          <w:cantSplit/>
          <w:trHeight w:hRule="exact" w:val="340"/>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tcPr>
          <w:p w:rsidR="0051512A" w:rsidRPr="001E31D3" w:rsidRDefault="0051512A" w:rsidP="003C75D6">
            <w:pPr>
              <w:rPr>
                <w:rFonts w:cs="Arial"/>
                <w:b/>
                <w:bCs/>
                <w:sz w:val="18"/>
                <w:szCs w:val="18"/>
                <w:lang w:eastAsia="es-ES"/>
              </w:rPr>
            </w:pPr>
          </w:p>
        </w:tc>
        <w:tc>
          <w:tcPr>
            <w:tcW w:w="7624"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51512A" w:rsidRPr="001E31D3" w:rsidRDefault="0051512A" w:rsidP="003C75D6">
            <w:pPr>
              <w:rPr>
                <w:rFonts w:cs="Arial"/>
                <w:sz w:val="18"/>
                <w:szCs w:val="18"/>
                <w:lang w:eastAsia="es-ES"/>
              </w:rPr>
            </w:pPr>
            <w:r w:rsidRPr="001E31D3">
              <w:rPr>
                <w:rFonts w:cs="Arial"/>
                <w:sz w:val="18"/>
                <w:szCs w:val="18"/>
                <w:lang w:eastAsia="es-ES"/>
              </w:rPr>
              <w:t xml:space="preserve">Significantly </w:t>
            </w:r>
            <w:r w:rsidRPr="001E31D3">
              <w:rPr>
                <w:rFonts w:cs="Arial"/>
                <w:b/>
                <w:sz w:val="18"/>
                <w:szCs w:val="18"/>
                <w:lang w:eastAsia="es-ES"/>
              </w:rPr>
              <w:t>below</w:t>
            </w:r>
            <w:r w:rsidRPr="001E31D3">
              <w:rPr>
                <w:rFonts w:cs="Arial"/>
                <w:sz w:val="18"/>
                <w:szCs w:val="18"/>
                <w:lang w:eastAsia="es-ES"/>
              </w:rPr>
              <w:t xml:space="preserve"> the EU-16 average</w:t>
            </w:r>
          </w:p>
        </w:tc>
      </w:tr>
      <w:tr w:rsidR="001E31D3" w:rsidRPr="001E31D3" w:rsidTr="000D7994">
        <w:trPr>
          <w:cantSplit/>
          <w:trHeight w:hRule="exact" w:val="561"/>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vAlign w:val="center"/>
            <w:hideMark/>
          </w:tcPr>
          <w:p w:rsidR="0051512A" w:rsidRPr="001E31D3" w:rsidRDefault="0051512A" w:rsidP="003C75D6">
            <w:pPr>
              <w:rPr>
                <w:rFonts w:cs="Arial"/>
                <w:b/>
                <w:bCs/>
                <w:color w:val="FFFFFF" w:themeColor="background1"/>
                <w:sz w:val="18"/>
                <w:szCs w:val="18"/>
                <w:lang w:eastAsia="es-ES"/>
              </w:rPr>
            </w:pPr>
            <w:r w:rsidRPr="001E31D3">
              <w:rPr>
                <w:rFonts w:cs="Arial"/>
                <w:b/>
                <w:bCs/>
                <w:color w:val="FFFFFF" w:themeColor="background1"/>
                <w:sz w:val="18"/>
                <w:szCs w:val="18"/>
                <w:lang w:eastAsia="es-ES"/>
              </w:rPr>
              <w:t>Country of reference</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vAlign w:val="center"/>
            <w:hideMark/>
          </w:tcPr>
          <w:p w:rsidR="0051512A" w:rsidRPr="001E31D3" w:rsidRDefault="0051512A" w:rsidP="003C75D6">
            <w:pPr>
              <w:jc w:val="center"/>
              <w:rPr>
                <w:rFonts w:cs="Arial"/>
                <w:b/>
                <w:bCs/>
                <w:color w:val="FFFFFF" w:themeColor="background1"/>
                <w:sz w:val="18"/>
                <w:szCs w:val="18"/>
                <w:lang w:eastAsia="es-ES"/>
              </w:rPr>
            </w:pPr>
            <w:r w:rsidRPr="001E31D3">
              <w:rPr>
                <w:rFonts w:cs="Arial"/>
                <w:b/>
                <w:bCs/>
                <w:color w:val="FFFFFF" w:themeColor="background1"/>
                <w:sz w:val="18"/>
                <w:szCs w:val="18"/>
                <w:lang w:eastAsia="es-ES"/>
              </w:rPr>
              <w:t>coefficient</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noWrap/>
            <w:vAlign w:val="center"/>
            <w:hideMark/>
          </w:tcPr>
          <w:p w:rsidR="0051512A" w:rsidRPr="001E31D3" w:rsidRDefault="0051512A" w:rsidP="0049007F">
            <w:pPr>
              <w:jc w:val="center"/>
              <w:rPr>
                <w:rFonts w:cs="Arial"/>
                <w:color w:val="FFFFFF" w:themeColor="background1"/>
                <w:sz w:val="18"/>
                <w:szCs w:val="18"/>
                <w:lang w:eastAsia="es-ES"/>
              </w:rPr>
            </w:pPr>
            <w:r w:rsidRPr="001E31D3">
              <w:rPr>
                <w:rFonts w:cs="Arial"/>
                <w:color w:val="FFFFFF" w:themeColor="background1"/>
                <w:sz w:val="18"/>
                <w:szCs w:val="18"/>
                <w:lang w:eastAsia="es-ES"/>
              </w:rPr>
              <w:t xml:space="preserve">Countries  </w:t>
            </w:r>
            <w:r w:rsidR="00180F77" w:rsidRPr="001E31D3">
              <w:rPr>
                <w:rFonts w:cs="Arial"/>
                <w:color w:val="FFFFFF" w:themeColor="background1"/>
                <w:sz w:val="18"/>
                <w:szCs w:val="18"/>
                <w:lang w:eastAsia="es-ES"/>
              </w:rPr>
              <w:t xml:space="preserve">for which the </w:t>
            </w:r>
            <w:r w:rsidRPr="001E31D3">
              <w:rPr>
                <w:rFonts w:cs="Arial"/>
                <w:color w:val="FFFFFF" w:themeColor="background1"/>
                <w:sz w:val="18"/>
                <w:szCs w:val="18"/>
                <w:lang w:eastAsia="es-ES"/>
              </w:rPr>
              <w:t>effect is NOT significantly different from the reference</w:t>
            </w:r>
          </w:p>
        </w:tc>
      </w:tr>
      <w:tr w:rsidR="001E31D3" w:rsidRPr="001E31D3" w:rsidTr="000D7994">
        <w:trPr>
          <w:cantSplit/>
          <w:trHeight w:hRule="exact" w:val="425"/>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8CCE4" w:themeFill="accent1" w:themeFillTint="66"/>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Slovakia</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8CCE4" w:themeFill="accent1" w:themeFillTint="66"/>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0.14</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8CCE4" w:themeFill="accent1" w:themeFillTint="66"/>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Denmark, Estonia, Germany, United Kingdom (EN/NI), Belgium (FL)</w:t>
            </w:r>
          </w:p>
        </w:tc>
      </w:tr>
      <w:tr w:rsidR="001E31D3" w:rsidRPr="001E31D3" w:rsidTr="000D7994">
        <w:trPr>
          <w:cantSplit/>
          <w:trHeight w:hRule="exact" w:val="701"/>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Denmark</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0.13</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Slovakia, Estonia, Germany, Italy, United Kingdom (EN/NI), Spain, Belgium (FL) , Sweden, Netherlands, Ireland, Finland, Poland</w:t>
            </w:r>
          </w:p>
        </w:tc>
      </w:tr>
      <w:tr w:rsidR="001E31D3" w:rsidRPr="001E31D3" w:rsidTr="000D7994">
        <w:trPr>
          <w:cantSplit/>
          <w:trHeight w:hRule="exact" w:val="554"/>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Estonia</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0.12</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Slovakia, Denmark, Germany, Italy, United Kingdom (EN/NI), Spain, Belgium (FL), Sweden, Netherlands, Ireland, Finland, Austria, Poland</w:t>
            </w:r>
          </w:p>
        </w:tc>
      </w:tr>
      <w:tr w:rsidR="001E31D3" w:rsidRPr="001E31D3" w:rsidTr="000D7994">
        <w:trPr>
          <w:cantSplit/>
          <w:trHeight w:hRule="exact" w:val="840"/>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Germany</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0.11</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Slovakia, Denmark, Estonia, Italy, United Kingdom (EN/NI), Spain, Belgium (FL), Sweden, the Netherlands, Ireland, Finland, Austria, Poland, Czech Republic</w:t>
            </w:r>
          </w:p>
        </w:tc>
      </w:tr>
      <w:tr w:rsidR="001E31D3" w:rsidRPr="001E31D3" w:rsidTr="000D7994">
        <w:trPr>
          <w:cantSplit/>
          <w:trHeight w:hRule="exact" w:val="575"/>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Italy</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0.11</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Denmark, Estonia, Germany, Italy, United Kingdom (EN/NI), Spain, Belgium (FL), Sweden, the Netherlands, Ireland, Finland, Austria, Poland</w:t>
            </w:r>
          </w:p>
        </w:tc>
      </w:tr>
      <w:tr w:rsidR="001E31D3" w:rsidRPr="001E31D3" w:rsidTr="000D7994">
        <w:trPr>
          <w:cantSplit/>
          <w:trHeight w:hRule="exact" w:val="555"/>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49007F" w:rsidP="003C75D6">
            <w:pPr>
              <w:rPr>
                <w:rFonts w:cs="Arial"/>
                <w:b/>
                <w:sz w:val="18"/>
                <w:szCs w:val="18"/>
                <w:lang w:eastAsia="es-ES"/>
              </w:rPr>
            </w:pPr>
            <w:r w:rsidRPr="001E31D3">
              <w:rPr>
                <w:rFonts w:cs="Arial"/>
                <w:b/>
                <w:sz w:val="18"/>
                <w:szCs w:val="18"/>
                <w:lang w:eastAsia="es-ES"/>
              </w:rPr>
              <w:t>UK</w:t>
            </w:r>
            <w:r w:rsidR="0051512A" w:rsidRPr="001E31D3">
              <w:rPr>
                <w:rFonts w:cs="Arial"/>
                <w:b/>
                <w:sz w:val="18"/>
                <w:szCs w:val="18"/>
                <w:lang w:eastAsia="es-ES"/>
              </w:rPr>
              <w:t xml:space="preserve"> (EN/IE)</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0.11</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Slovakia, Denmark, Estonia, Germany, Italy, Spain, Belgium (FL), Sweden, Netherlands, Ireland, Finland, Austria, Poland, Czech Republic</w:t>
            </w:r>
          </w:p>
        </w:tc>
      </w:tr>
      <w:tr w:rsidR="001E31D3" w:rsidRPr="001E31D3" w:rsidTr="000D7994">
        <w:trPr>
          <w:cantSplit/>
          <w:trHeight w:hRule="exact" w:val="566"/>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Spain</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0.11</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Denmark, Estonia, Germany, Italy, United Kingdom (EN/NI), Belgium (FL), Sweden, Netherlands, Ireland, Finland, Austria, Poland</w:t>
            </w:r>
          </w:p>
        </w:tc>
      </w:tr>
      <w:tr w:rsidR="001E31D3" w:rsidRPr="001E31D3" w:rsidTr="000D7994">
        <w:trPr>
          <w:cantSplit/>
          <w:trHeight w:hRule="exact" w:val="860"/>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Belgium (FL)</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0.10</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Slovakia, Denmark, Estonia, Germany, Italy, United Kingdom (EN/NI), Spain, Sweden, Netherlands, Ireland, Finland, Austria, Poland, Czech Republic, France</w:t>
            </w:r>
          </w:p>
        </w:tc>
      </w:tr>
      <w:tr w:rsidR="001E31D3" w:rsidRPr="001E31D3" w:rsidTr="000D7994">
        <w:trPr>
          <w:cantSplit/>
          <w:trHeight w:hRule="exact" w:val="687"/>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Sweden</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0.10</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Denmark, Estonia, Germany, Italy, United Kingdom (EN/NI), Spain, Belgium (FL), Netherlands, Ireland, Finland, Austria, Poland, Czech Republic</w:t>
            </w:r>
          </w:p>
        </w:tc>
      </w:tr>
      <w:tr w:rsidR="001E31D3" w:rsidRPr="001E31D3" w:rsidTr="000D7994">
        <w:trPr>
          <w:cantSplit/>
          <w:trHeight w:hRule="exact" w:val="690"/>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EU-16</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0.10</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Denmark, Estonia, Germany, Italy, United Kingdom (EN/NI), Spain, Belgium (FL), Sweden, Netherlands, Ireland, Finland, Austria, Poland, Czech Republic</w:t>
            </w:r>
          </w:p>
        </w:tc>
      </w:tr>
      <w:tr w:rsidR="001E31D3" w:rsidRPr="001E31D3" w:rsidTr="000D7994">
        <w:trPr>
          <w:cantSplit/>
          <w:trHeight w:hRule="exact" w:val="552"/>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Netherlands</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0.10</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Denmark, Estonia, Germany, Italy, United Kingdom (EN/NI), Spain, Belgium (FL), Sweden, Ireland, Finland, Austria, Poland, Czech Republic</w:t>
            </w:r>
          </w:p>
        </w:tc>
      </w:tr>
      <w:tr w:rsidR="001E31D3" w:rsidRPr="001E31D3" w:rsidTr="000D7994">
        <w:trPr>
          <w:cantSplit/>
          <w:trHeight w:hRule="exact" w:val="702"/>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Ireland</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0.10</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Denmark, Estonia, Germany, Italy, United Kingdom (EN/NI) , Spain, Belgium (FL), Sweden, Netherlands, Finland, Austria, Poland, Czech Republic, France</w:t>
            </w:r>
          </w:p>
        </w:tc>
      </w:tr>
      <w:tr w:rsidR="001E31D3" w:rsidRPr="001E31D3" w:rsidTr="000D7994">
        <w:trPr>
          <w:cantSplit/>
          <w:trHeight w:hRule="exact" w:val="699"/>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Finland</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0.10</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Denmark, Estonia, Germany, Italy, United Kingdom (EN/NI), Spain, Belgium (FL), Sweden Netherlands, Ireland, Austria, Poland, Czech Republic, France</w:t>
            </w:r>
          </w:p>
        </w:tc>
      </w:tr>
      <w:tr w:rsidR="001E31D3" w:rsidRPr="001E31D3" w:rsidTr="000D7994">
        <w:trPr>
          <w:cantSplit/>
          <w:trHeight w:hRule="exact" w:val="581"/>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Austria</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0.10</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Estonia, Germany, Italy, United Kingdom (EN/NI), Spain, Belgium (FL), Sweden, Netherlands, Ireland, Finland, Poland, Czech Republic, France</w:t>
            </w:r>
          </w:p>
        </w:tc>
      </w:tr>
      <w:tr w:rsidR="001E31D3" w:rsidRPr="001E31D3" w:rsidTr="000D7994">
        <w:trPr>
          <w:cantSplit/>
          <w:trHeight w:hRule="exact" w:val="703"/>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Poland</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0.09</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Denmark, Estonia, Germany, Italy, United Kingdom (EN/NI), Spain, Belgium (FL), Sweden, Netherlands, Ireland, Finland, Austria, Czech Republic, France</w:t>
            </w:r>
          </w:p>
        </w:tc>
      </w:tr>
      <w:tr w:rsidR="001E31D3" w:rsidRPr="001E31D3" w:rsidTr="000D7994">
        <w:trPr>
          <w:cantSplit/>
          <w:trHeight w:hRule="exact" w:val="585"/>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Czech Republic</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0.08</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Germany, United Kingdom (EN/NI), Belgium (FL), Sweden, Netherlands, Ireland, Finland, Austria, Poland, France</w:t>
            </w:r>
          </w:p>
        </w:tc>
      </w:tr>
      <w:tr w:rsidR="001E31D3" w:rsidRPr="001E31D3" w:rsidTr="000D7994">
        <w:trPr>
          <w:cantSplit/>
          <w:trHeight w:hRule="exact" w:val="409"/>
        </w:trPr>
        <w:tc>
          <w:tcPr>
            <w:tcW w:w="14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51512A" w:rsidRPr="001E31D3" w:rsidRDefault="0051512A" w:rsidP="003C75D6">
            <w:pPr>
              <w:rPr>
                <w:rFonts w:cs="Arial"/>
                <w:b/>
                <w:sz w:val="18"/>
                <w:szCs w:val="18"/>
                <w:lang w:eastAsia="es-ES"/>
              </w:rPr>
            </w:pPr>
            <w:r w:rsidRPr="001E31D3">
              <w:rPr>
                <w:rFonts w:cs="Arial"/>
                <w:b/>
                <w:sz w:val="18"/>
                <w:szCs w:val="18"/>
                <w:lang w:eastAsia="es-ES"/>
              </w:rPr>
              <w:t>France</w:t>
            </w:r>
          </w:p>
        </w:tc>
        <w:tc>
          <w:tcPr>
            <w:tcW w:w="5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hideMark/>
          </w:tcPr>
          <w:p w:rsidR="0051512A" w:rsidRPr="001E31D3" w:rsidRDefault="0051512A" w:rsidP="003C75D6">
            <w:pPr>
              <w:jc w:val="center"/>
              <w:rPr>
                <w:rFonts w:cs="Arial"/>
                <w:sz w:val="18"/>
                <w:szCs w:val="18"/>
                <w:lang w:eastAsia="es-ES"/>
              </w:rPr>
            </w:pPr>
            <w:r w:rsidRPr="001E31D3">
              <w:rPr>
                <w:rFonts w:cs="Arial"/>
                <w:sz w:val="18"/>
                <w:szCs w:val="18"/>
                <w:lang w:eastAsia="es-ES"/>
              </w:rPr>
              <w:t>0.07</w:t>
            </w:r>
          </w:p>
        </w:tc>
        <w:tc>
          <w:tcPr>
            <w:tcW w:w="70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noWrap/>
            <w:vAlign w:val="center"/>
            <w:hideMark/>
          </w:tcPr>
          <w:p w:rsidR="0051512A" w:rsidRPr="001E31D3" w:rsidRDefault="0051512A" w:rsidP="0049007F">
            <w:pPr>
              <w:jc w:val="left"/>
              <w:rPr>
                <w:rFonts w:cs="Arial"/>
                <w:sz w:val="18"/>
                <w:szCs w:val="18"/>
                <w:lang w:eastAsia="es-ES"/>
              </w:rPr>
            </w:pPr>
            <w:r w:rsidRPr="001E31D3">
              <w:rPr>
                <w:rFonts w:cs="Arial"/>
                <w:sz w:val="18"/>
                <w:szCs w:val="18"/>
                <w:lang w:eastAsia="es-ES"/>
              </w:rPr>
              <w:t xml:space="preserve">Netherlands, Ireland, Finland, Austria, Poland, Czech Republic, </w:t>
            </w:r>
          </w:p>
        </w:tc>
      </w:tr>
    </w:tbl>
    <w:p w:rsidR="0051512A" w:rsidRPr="0049007F" w:rsidRDefault="0051512A" w:rsidP="0051512A">
      <w:pPr>
        <w:pStyle w:val="BodyText"/>
        <w:spacing w:line="288" w:lineRule="auto"/>
        <w:rPr>
          <w:rFonts w:cs="Arial"/>
          <w:i/>
          <w:sz w:val="16"/>
          <w:szCs w:val="16"/>
        </w:rPr>
      </w:pPr>
      <w:r w:rsidRPr="0049007F">
        <w:rPr>
          <w:rFonts w:cs="Arial"/>
          <w:i/>
          <w:sz w:val="16"/>
          <w:szCs w:val="16"/>
        </w:rPr>
        <w:t xml:space="preserve">Notes: own elaboration based on PIAAC data, significance at 0.05 level </w:t>
      </w:r>
    </w:p>
    <w:p w:rsidR="0051512A" w:rsidRPr="000043A4" w:rsidRDefault="0051512A" w:rsidP="0051512A">
      <w:pPr>
        <w:pStyle w:val="BodyText"/>
        <w:spacing w:line="288" w:lineRule="auto"/>
      </w:pPr>
      <w:r w:rsidRPr="000043A4">
        <w:t>On</w:t>
      </w:r>
      <w:r>
        <w:t xml:space="preserve">ly Slovakia and France display competence differences </w:t>
      </w:r>
      <w:r w:rsidR="00180F77">
        <w:t xml:space="preserve">(or ‘gains’) </w:t>
      </w:r>
      <w:r>
        <w:t>between</w:t>
      </w:r>
      <w:r w:rsidRPr="000043A4">
        <w:t xml:space="preserve"> upper secondary</w:t>
      </w:r>
      <w:r>
        <w:t xml:space="preserve"> and </w:t>
      </w:r>
      <w:r w:rsidR="00180F77">
        <w:t>below</w:t>
      </w:r>
      <w:r w:rsidRPr="000043A4">
        <w:t xml:space="preserve"> that are significantly different from the EU-16 average. Overlaps between countries are large, in particular for those countries with effects not significantly different from the average. </w:t>
      </w:r>
    </w:p>
    <w:p w:rsidR="0051512A" w:rsidRPr="000043A4" w:rsidRDefault="0051512A" w:rsidP="0051512A">
      <w:pPr>
        <w:pStyle w:val="BodyText"/>
        <w:spacing w:line="288" w:lineRule="auto"/>
      </w:pPr>
      <w:r w:rsidRPr="000043A4">
        <w:t xml:space="preserve">Similar patterns can be observed for </w:t>
      </w:r>
      <w:r w:rsidRPr="000043A4">
        <w:rPr>
          <w:b/>
          <w:color w:val="1F497D" w:themeColor="text2"/>
        </w:rPr>
        <w:t>literacy,</w:t>
      </w:r>
      <w:r w:rsidRPr="000043A4">
        <w:t xml:space="preserve"> </w:t>
      </w:r>
      <w:r w:rsidR="00180F77">
        <w:t>for which</w:t>
      </w:r>
      <w:r w:rsidR="00180F77" w:rsidRPr="000043A4">
        <w:t xml:space="preserve"> </w:t>
      </w:r>
      <w:r w:rsidRPr="000043A4">
        <w:t xml:space="preserve">again </w:t>
      </w:r>
      <w:r w:rsidR="00180F77">
        <w:t>the lar</w:t>
      </w:r>
      <w:r w:rsidR="00180F77" w:rsidRPr="000043A4">
        <w:t xml:space="preserve">gest </w:t>
      </w:r>
      <w:r w:rsidRPr="000043A4">
        <w:t xml:space="preserve">competence </w:t>
      </w:r>
      <w:r>
        <w:t>differences</w:t>
      </w:r>
      <w:r w:rsidR="00180F77">
        <w:t xml:space="preserve"> (or ‘gains’)</w:t>
      </w:r>
      <w:r w:rsidRPr="000043A4">
        <w:t xml:space="preserve"> </w:t>
      </w:r>
      <w:r>
        <w:t xml:space="preserve">between </w:t>
      </w:r>
      <w:r w:rsidRPr="000043A4">
        <w:t xml:space="preserve">upper </w:t>
      </w:r>
      <w:r w:rsidR="00180F77">
        <w:t xml:space="preserve">and lower </w:t>
      </w:r>
      <w:r w:rsidRPr="000043A4">
        <w:t>secondary levels can be observed in Slovakia (circa 12.9%) and De</w:t>
      </w:r>
      <w:r>
        <w:t>nmark (10.9%) and smallest differences</w:t>
      </w:r>
      <w:r w:rsidRPr="000043A4">
        <w:t xml:space="preserve"> in the Czech Republic (approximately 7.5%), France (7.2%) and Poland (6.7%). Overall, effects are smaller for literacy than for numeracy, which may be expected as literacy competence is frequently assumed to be more easily gained outside the education system than numeracy.</w:t>
      </w:r>
    </w:p>
    <w:p w:rsidR="0051512A" w:rsidRPr="000043A4" w:rsidRDefault="0051512A" w:rsidP="0051512A">
      <w:pPr>
        <w:pStyle w:val="Caption"/>
        <w:jc w:val="left"/>
        <w:rPr>
          <w:rFonts w:ascii="Verdana" w:hAnsi="Verdana"/>
          <w:b w:val="0"/>
          <w:color w:val="1F497D" w:themeColor="text2"/>
          <w:sz w:val="20"/>
        </w:rPr>
      </w:pPr>
      <w:r w:rsidRPr="000043A4">
        <w:rPr>
          <w:rFonts w:ascii="Verdana" w:hAnsi="Verdana"/>
          <w:b w:val="0"/>
          <w:color w:val="1F497D" w:themeColor="text2"/>
          <w:sz w:val="20"/>
        </w:rPr>
        <w:t>Figure 5.6</w:t>
      </w:r>
      <w:r>
        <w:rPr>
          <w:rFonts w:ascii="Verdana" w:hAnsi="Verdana"/>
          <w:b w:val="0"/>
          <w:color w:val="1F497D" w:themeColor="text2"/>
          <w:sz w:val="20"/>
        </w:rPr>
        <w:t xml:space="preserve"> Competence difference</w:t>
      </w:r>
      <w:r w:rsidRPr="000043A4">
        <w:rPr>
          <w:rFonts w:ascii="Verdana" w:hAnsi="Verdana"/>
          <w:b w:val="0"/>
          <w:color w:val="1F497D" w:themeColor="text2"/>
          <w:sz w:val="20"/>
        </w:rPr>
        <w:t xml:space="preserve"> </w:t>
      </w:r>
      <w:r w:rsidR="00180F77">
        <w:rPr>
          <w:rFonts w:ascii="Verdana" w:hAnsi="Verdana"/>
          <w:b w:val="0"/>
          <w:color w:val="1F497D" w:themeColor="text2"/>
          <w:sz w:val="20"/>
        </w:rPr>
        <w:t>for</w:t>
      </w:r>
      <w:r w:rsidR="00180F77" w:rsidRPr="000043A4">
        <w:rPr>
          <w:rFonts w:ascii="Verdana" w:hAnsi="Verdana"/>
          <w:b w:val="0"/>
          <w:color w:val="1F497D" w:themeColor="text2"/>
          <w:sz w:val="20"/>
        </w:rPr>
        <w:t xml:space="preserve"> </w:t>
      </w:r>
      <w:r w:rsidRPr="000043A4">
        <w:rPr>
          <w:rFonts w:ascii="Verdana" w:hAnsi="Verdana"/>
          <w:b w:val="0"/>
          <w:color w:val="1F497D" w:themeColor="text2"/>
          <w:sz w:val="20"/>
        </w:rPr>
        <w:t>upper secondary education</w:t>
      </w:r>
      <w:r w:rsidR="00180F77">
        <w:rPr>
          <w:rFonts w:ascii="Verdana" w:hAnsi="Verdana"/>
          <w:b w:val="0"/>
          <w:color w:val="1F497D" w:themeColor="text2"/>
          <w:sz w:val="20"/>
        </w:rPr>
        <w:t xml:space="preserve"> compared to lower secondary education or below</w:t>
      </w:r>
      <w:r w:rsidRPr="000043A4">
        <w:rPr>
          <w:rFonts w:ascii="Verdana" w:hAnsi="Verdana"/>
          <w:b w:val="0"/>
          <w:color w:val="1F497D" w:themeColor="text2"/>
          <w:sz w:val="20"/>
        </w:rPr>
        <w:t>, literacy</w:t>
      </w:r>
    </w:p>
    <w:p w:rsidR="0051512A" w:rsidRPr="000043A4" w:rsidRDefault="0051512A" w:rsidP="0051512A">
      <w:pPr>
        <w:autoSpaceDE w:val="0"/>
        <w:autoSpaceDN w:val="0"/>
        <w:adjustRightInd w:val="0"/>
        <w:spacing w:after="120" w:line="288" w:lineRule="auto"/>
        <w:rPr>
          <w:rFonts w:cs="Arial"/>
          <w:color w:val="000000"/>
          <w:szCs w:val="20"/>
        </w:rPr>
      </w:pPr>
      <w:r>
        <w:rPr>
          <w:noProof/>
          <w:lang w:val="en-US" w:eastAsia="en-US"/>
        </w:rPr>
        <w:drawing>
          <wp:inline distT="0" distB="0" distL="0" distR="0" wp14:anchorId="08B5D63B" wp14:editId="42E8544C">
            <wp:extent cx="5580000" cy="2700000"/>
            <wp:effectExtent l="0" t="0" r="1905" b="5715"/>
            <wp:docPr id="298" name="Chart 29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51512A" w:rsidRPr="000043A4" w:rsidRDefault="0051512A" w:rsidP="0051512A">
      <w:pPr>
        <w:keepNext/>
        <w:spacing w:after="120" w:line="288" w:lineRule="auto"/>
        <w:rPr>
          <w:rFonts w:cs="Arial"/>
          <w:sz w:val="16"/>
          <w:szCs w:val="16"/>
        </w:rPr>
      </w:pPr>
      <w:r w:rsidRPr="0049007F">
        <w:rPr>
          <w:rFonts w:cs="Arial"/>
          <w:i/>
          <w:sz w:val="16"/>
          <w:szCs w:val="16"/>
        </w:rPr>
        <w:t>Notes: 20-34 year old respondents, PIAAC data, ordered by size of coefficient. This was estimated by OLS, with sample weights and standard error adjusted by country</w:t>
      </w:r>
      <w:r w:rsidRPr="000043A4">
        <w:rPr>
          <w:rFonts w:cs="Arial"/>
          <w:sz w:val="16"/>
          <w:szCs w:val="16"/>
        </w:rPr>
        <w:t>.</w:t>
      </w:r>
    </w:p>
    <w:p w:rsidR="0051512A" w:rsidRPr="000043A4" w:rsidRDefault="0051512A" w:rsidP="0051512A">
      <w:pPr>
        <w:pStyle w:val="BodyText"/>
        <w:spacing w:line="288" w:lineRule="auto"/>
      </w:pPr>
      <w:r w:rsidRPr="000043A4">
        <w:t>Again, a large number o</w:t>
      </w:r>
      <w:r>
        <w:t xml:space="preserve">f Member States do not display </w:t>
      </w:r>
      <w:r w:rsidRPr="000043A4">
        <w:t xml:space="preserve">competence </w:t>
      </w:r>
      <w:r>
        <w:t>differences</w:t>
      </w:r>
      <w:r w:rsidRPr="000043A4">
        <w:t xml:space="preserve"> that are significantly different from the average. Only Slovakia and Denmark display effects significantly above the EU average.</w:t>
      </w:r>
    </w:p>
    <w:p w:rsidR="0051512A" w:rsidRPr="000043A4" w:rsidRDefault="0051512A" w:rsidP="0051512A">
      <w:pPr>
        <w:pStyle w:val="Heading3"/>
      </w:pPr>
      <w:bookmarkStart w:id="158" w:name="_Toc427069137"/>
      <w:bookmarkStart w:id="159" w:name="_Toc427154773"/>
      <w:bookmarkStart w:id="160" w:name="_Toc432873774"/>
      <w:bookmarkStart w:id="161" w:name="_Toc435620177"/>
      <w:bookmarkStart w:id="162" w:name="_Toc435802098"/>
      <w:r w:rsidRPr="000043A4">
        <w:t>5.4.2 The link between tertiary education and competence levels</w:t>
      </w:r>
      <w:bookmarkEnd w:id="158"/>
      <w:bookmarkEnd w:id="159"/>
      <w:bookmarkEnd w:id="160"/>
      <w:bookmarkEnd w:id="161"/>
      <w:bookmarkEnd w:id="162"/>
    </w:p>
    <w:p w:rsidR="0051512A" w:rsidRPr="001E31D3" w:rsidRDefault="0051512A" w:rsidP="0051512A">
      <w:pPr>
        <w:pStyle w:val="BodyText"/>
        <w:spacing w:line="288" w:lineRule="auto"/>
      </w:pPr>
      <w:r w:rsidRPr="001E31D3">
        <w:t xml:space="preserve">Having </w:t>
      </w:r>
      <w:r w:rsidR="00180F77" w:rsidRPr="001E31D3">
        <w:t>explored</w:t>
      </w:r>
      <w:r w:rsidRPr="001E31D3">
        <w:t xml:space="preserve"> the link between competences and educational attainment at upper secondary level </w:t>
      </w:r>
      <w:r w:rsidR="00180F77" w:rsidRPr="001E31D3">
        <w:t xml:space="preserve">and observing its variation </w:t>
      </w:r>
      <w:r w:rsidRPr="001E31D3">
        <w:t xml:space="preserve">between countries, the following </w:t>
      </w:r>
      <w:r w:rsidR="00180F77" w:rsidRPr="001E31D3">
        <w:t>examines the</w:t>
      </w:r>
      <w:r w:rsidRPr="001E31D3">
        <w:t xml:space="preserve"> results for tertiary education. Figure 5.7 below shows the estimated partial effects of having obtained tertiary education on competence levels. Instead of comparing the competences of tertiary graduates to the baseline of those with lower secondary education as above, competences are now compared to those with upper secondary education. This can be interpreted as the </w:t>
      </w:r>
      <w:r w:rsidRPr="001E31D3">
        <w:rPr>
          <w:b/>
          <w:color w:val="1F497D" w:themeColor="text2"/>
        </w:rPr>
        <w:t>competence difference</w:t>
      </w:r>
      <w:r w:rsidR="00180F77" w:rsidRPr="001E31D3">
        <w:rPr>
          <w:b/>
          <w:color w:val="1F497D" w:themeColor="text2"/>
        </w:rPr>
        <w:t xml:space="preserve"> (or ‘gain’)</w:t>
      </w:r>
      <w:r w:rsidRPr="001E31D3">
        <w:rPr>
          <w:b/>
          <w:color w:val="1F497D" w:themeColor="text2"/>
        </w:rPr>
        <w:t xml:space="preserve"> between those continuing on after upper secondary education and obtaining tertiary education and those only obtaining upper secondary education</w:t>
      </w:r>
      <w:r w:rsidRPr="001E31D3">
        <w:rPr>
          <w:color w:val="1F497D" w:themeColor="text2"/>
        </w:rPr>
        <w:t xml:space="preserve"> </w:t>
      </w:r>
      <w:r w:rsidRPr="001E31D3">
        <w:t xml:space="preserve">in the individual countries. As above, the coefficients </w:t>
      </w:r>
      <w:r w:rsidR="00180F77" w:rsidRPr="001E31D3">
        <w:t xml:space="preserve">displayed </w:t>
      </w:r>
      <w:r w:rsidRPr="001E31D3">
        <w:t>can be approximately interpreted as an average percentage increase</w:t>
      </w:r>
      <w:r w:rsidRPr="001E31D3">
        <w:rPr>
          <w:rStyle w:val="FootnoteReference"/>
          <w:szCs w:val="20"/>
        </w:rPr>
        <w:footnoteReference w:id="22"/>
      </w:r>
      <w:r w:rsidR="000D7994">
        <w:t>.</w:t>
      </w:r>
    </w:p>
    <w:p w:rsidR="0051512A" w:rsidRPr="000043A4" w:rsidRDefault="0051512A" w:rsidP="0051512A">
      <w:pPr>
        <w:pStyle w:val="Caption"/>
        <w:spacing w:before="0" w:after="120" w:line="288" w:lineRule="auto"/>
        <w:rPr>
          <w:rFonts w:ascii="Verdana" w:hAnsi="Verdana"/>
          <w:b w:val="0"/>
          <w:color w:val="1F497D" w:themeColor="text2"/>
          <w:sz w:val="20"/>
        </w:rPr>
      </w:pPr>
      <w:r w:rsidRPr="000043A4">
        <w:rPr>
          <w:rFonts w:ascii="Verdana" w:hAnsi="Verdana"/>
          <w:b w:val="0"/>
          <w:color w:val="1F497D" w:themeColor="text2"/>
          <w:sz w:val="20"/>
        </w:rPr>
        <w:t>Figure 5.7</w:t>
      </w:r>
      <w:r w:rsidR="00810364">
        <w:rPr>
          <w:rFonts w:ascii="Verdana" w:hAnsi="Verdana"/>
          <w:b w:val="0"/>
          <w:color w:val="1F497D" w:themeColor="text2"/>
          <w:sz w:val="20"/>
        </w:rPr>
        <w:t xml:space="preserve"> </w:t>
      </w:r>
      <w:r w:rsidR="00876039">
        <w:rPr>
          <w:rFonts w:ascii="Verdana" w:hAnsi="Verdana"/>
          <w:b w:val="0"/>
          <w:color w:val="1F497D" w:themeColor="text2"/>
          <w:sz w:val="20"/>
        </w:rPr>
        <w:t xml:space="preserve">Differences (or ‘gains’) in competences </w:t>
      </w:r>
      <w:r w:rsidRPr="000043A4">
        <w:rPr>
          <w:rFonts w:ascii="Verdana" w:hAnsi="Verdana"/>
          <w:b w:val="0"/>
          <w:color w:val="1F497D" w:themeColor="text2"/>
          <w:sz w:val="20"/>
        </w:rPr>
        <w:t>through tertiary education, numeracy</w:t>
      </w:r>
    </w:p>
    <w:p w:rsidR="0051512A" w:rsidRPr="000043A4" w:rsidRDefault="0051512A" w:rsidP="0051512A">
      <w:pPr>
        <w:spacing w:after="120" w:line="288" w:lineRule="auto"/>
        <w:rPr>
          <w:rFonts w:cs="Arial"/>
          <w:sz w:val="16"/>
          <w:szCs w:val="16"/>
        </w:rPr>
      </w:pPr>
      <w:r>
        <w:rPr>
          <w:noProof/>
          <w:lang w:val="en-US" w:eastAsia="en-US"/>
        </w:rPr>
        <w:drawing>
          <wp:inline distT="0" distB="0" distL="0" distR="0" wp14:anchorId="65F6D0A8" wp14:editId="48AFB032">
            <wp:extent cx="5715001" cy="2743200"/>
            <wp:effectExtent l="0" t="0" r="0" b="0"/>
            <wp:docPr id="299" name="Chart 29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r w:rsidRPr="0049007F">
        <w:rPr>
          <w:rFonts w:cs="Arial"/>
          <w:i/>
          <w:sz w:val="16"/>
          <w:szCs w:val="16"/>
        </w:rPr>
        <w:t>Notes: 20-34 year old respondents, PIAAC data, ordered by size of coefficient. This was estimated by OLS, with sample weights and standard error adjusted by country.</w:t>
      </w:r>
    </w:p>
    <w:p w:rsidR="0051512A" w:rsidRPr="001E31D3" w:rsidRDefault="0051512A" w:rsidP="0051512A">
      <w:pPr>
        <w:pStyle w:val="BodyText"/>
        <w:spacing w:line="288" w:lineRule="auto"/>
      </w:pPr>
      <w:r w:rsidRPr="001E31D3">
        <w:t xml:space="preserve">As can be seen in Figure 5.7 above, the partial effect of obtaining tertiary education on competences is smaller than that of upper secondary education. On average, the effect is a difference of competences of approximately 6.3% compared with a 10.1% difference at upper secondary level. Moreover, differences between countries seem to be more pronounced. The largest effect can be observed in France (approx. 10.8%), which is also significantly different from any other Member State. The smallest effects can be observed in Spain (approximately 2.5%) and Estonia (approximately 3.1%). Again there are large overlaps between countries and only a few Member States display effects that are significantly different from the average. These include </w:t>
      </w:r>
      <w:r w:rsidRPr="001E31D3">
        <w:rPr>
          <w:b/>
          <w:color w:val="1F497D" w:themeColor="text2"/>
        </w:rPr>
        <w:t>Finland and the</w:t>
      </w:r>
      <w:r w:rsidRPr="001E31D3">
        <w:rPr>
          <w:color w:val="1F497D" w:themeColor="text2"/>
        </w:rPr>
        <w:t xml:space="preserve"> </w:t>
      </w:r>
      <w:r w:rsidRPr="001E31D3">
        <w:rPr>
          <w:b/>
          <w:color w:val="1F497D" w:themeColor="text2"/>
        </w:rPr>
        <w:t>Czech Republic at the upper end and Denmark, Estonia and Spain at the lower end of the spectrum</w:t>
      </w:r>
      <w:r w:rsidRPr="001E31D3">
        <w:t>. Table 5.4 below highlights the overlaps.</w:t>
      </w:r>
    </w:p>
    <w:p w:rsidR="0051512A" w:rsidRPr="000043A4" w:rsidRDefault="0051512A" w:rsidP="0051512A">
      <w:pPr>
        <w:spacing w:after="120" w:line="288" w:lineRule="auto"/>
      </w:pPr>
      <w:r w:rsidRPr="000043A4">
        <w:br w:type="page"/>
      </w:r>
    </w:p>
    <w:p w:rsidR="0051512A" w:rsidRPr="000043A4" w:rsidRDefault="0051512A" w:rsidP="0051512A">
      <w:pPr>
        <w:pStyle w:val="Caption"/>
        <w:spacing w:before="0" w:after="120" w:line="288" w:lineRule="auto"/>
        <w:rPr>
          <w:rFonts w:ascii="Verdana" w:hAnsi="Verdana"/>
          <w:b w:val="0"/>
          <w:color w:val="1F497D" w:themeColor="text2"/>
          <w:sz w:val="20"/>
        </w:rPr>
      </w:pPr>
      <w:r w:rsidRPr="000043A4">
        <w:rPr>
          <w:rFonts w:ascii="Verdana" w:hAnsi="Verdana"/>
          <w:b w:val="0"/>
          <w:color w:val="1F497D" w:themeColor="text2"/>
          <w:sz w:val="20"/>
        </w:rPr>
        <w:t xml:space="preserve">Table </w:t>
      </w:r>
      <w:r w:rsidR="00877425">
        <w:rPr>
          <w:rFonts w:ascii="Verdana" w:hAnsi="Verdana"/>
          <w:b w:val="0"/>
          <w:color w:val="1F497D" w:themeColor="text2"/>
          <w:sz w:val="20"/>
        </w:rPr>
        <w:t>5.4</w:t>
      </w:r>
      <w:r w:rsidRPr="000043A4">
        <w:rPr>
          <w:rFonts w:ascii="Verdana" w:hAnsi="Verdana"/>
          <w:b w:val="0"/>
          <w:color w:val="1F497D" w:themeColor="text2"/>
          <w:sz w:val="20"/>
        </w:rPr>
        <w:t xml:space="preserve"> Are differences of the size of the </w:t>
      </w:r>
      <w:r>
        <w:rPr>
          <w:rFonts w:ascii="Verdana" w:hAnsi="Verdana"/>
          <w:b w:val="0"/>
          <w:color w:val="1F497D" w:themeColor="text2"/>
          <w:sz w:val="20"/>
        </w:rPr>
        <w:t>competence difference</w:t>
      </w:r>
      <w:r w:rsidRPr="000043A4">
        <w:rPr>
          <w:rFonts w:ascii="Verdana" w:hAnsi="Verdana"/>
          <w:b w:val="0"/>
          <w:color w:val="1F497D" w:themeColor="text2"/>
          <w:sz w:val="20"/>
        </w:rPr>
        <w:t xml:space="preserve"> of tertiary education significant? (numeracy)</w:t>
      </w:r>
    </w:p>
    <w:tbl>
      <w:tblPr>
        <w:tblW w:w="9111" w:type="dxa"/>
        <w:tblInd w:w="5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70" w:type="dxa"/>
          <w:right w:w="70" w:type="dxa"/>
        </w:tblCellMar>
        <w:tblLook w:val="04A0" w:firstRow="1" w:lastRow="0" w:firstColumn="1" w:lastColumn="0" w:noHBand="0" w:noVBand="1"/>
      </w:tblPr>
      <w:tblGrid>
        <w:gridCol w:w="1374"/>
        <w:gridCol w:w="1200"/>
        <w:gridCol w:w="6726"/>
      </w:tblGrid>
      <w:tr w:rsidR="0051512A" w:rsidRPr="0049007F" w:rsidTr="002B27CB">
        <w:trPr>
          <w:cantSplit/>
          <w:trHeight w:hRule="exact" w:val="340"/>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vAlign w:val="center"/>
          </w:tcPr>
          <w:p w:rsidR="0051512A" w:rsidRPr="0049007F" w:rsidRDefault="0051512A" w:rsidP="002B27CB">
            <w:pPr>
              <w:spacing w:after="120" w:line="288" w:lineRule="auto"/>
              <w:rPr>
                <w:rFonts w:cs="Arial"/>
                <w:b/>
                <w:bCs/>
                <w:color w:val="000000"/>
                <w:sz w:val="18"/>
                <w:szCs w:val="18"/>
                <w:lang w:eastAsia="es-ES"/>
              </w:rPr>
            </w:pPr>
          </w:p>
        </w:tc>
        <w:tc>
          <w:tcPr>
            <w:tcW w:w="781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51512A" w:rsidRPr="0049007F" w:rsidRDefault="0051512A" w:rsidP="002B27CB">
            <w:pPr>
              <w:spacing w:after="120" w:line="288" w:lineRule="auto"/>
              <w:rPr>
                <w:rFonts w:cs="Arial"/>
                <w:color w:val="000000"/>
                <w:sz w:val="18"/>
                <w:szCs w:val="18"/>
                <w:lang w:eastAsia="es-ES"/>
              </w:rPr>
            </w:pPr>
            <w:r w:rsidRPr="0049007F">
              <w:rPr>
                <w:rFonts w:cs="Arial"/>
                <w:bCs/>
                <w:color w:val="000000"/>
                <w:sz w:val="18"/>
                <w:szCs w:val="18"/>
                <w:lang w:eastAsia="es-ES"/>
              </w:rPr>
              <w:t xml:space="preserve">Significantly </w:t>
            </w:r>
            <w:r w:rsidRPr="0049007F">
              <w:rPr>
                <w:rFonts w:cs="Arial"/>
                <w:b/>
                <w:bCs/>
                <w:color w:val="000000"/>
                <w:sz w:val="18"/>
                <w:szCs w:val="18"/>
                <w:lang w:eastAsia="es-ES"/>
              </w:rPr>
              <w:t>above</w:t>
            </w:r>
            <w:r w:rsidRPr="0049007F">
              <w:rPr>
                <w:rFonts w:cs="Arial"/>
                <w:bCs/>
                <w:color w:val="000000"/>
                <w:sz w:val="18"/>
                <w:szCs w:val="18"/>
                <w:lang w:eastAsia="es-ES"/>
              </w:rPr>
              <w:t xml:space="preserve"> the EU-16 average</w:t>
            </w:r>
          </w:p>
        </w:tc>
      </w:tr>
      <w:tr w:rsidR="0051512A" w:rsidRPr="0049007F" w:rsidTr="002B27CB">
        <w:trPr>
          <w:cantSplit/>
          <w:trHeight w:hRule="exact" w:val="340"/>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tcPr>
          <w:p w:rsidR="0051512A" w:rsidRPr="0049007F" w:rsidRDefault="0051512A" w:rsidP="002B27CB">
            <w:pPr>
              <w:spacing w:after="120" w:line="288" w:lineRule="auto"/>
              <w:rPr>
                <w:rFonts w:cs="Arial"/>
                <w:b/>
                <w:bCs/>
                <w:color w:val="000000"/>
                <w:sz w:val="18"/>
                <w:szCs w:val="18"/>
                <w:lang w:eastAsia="es-ES"/>
              </w:rPr>
            </w:pPr>
          </w:p>
        </w:tc>
        <w:tc>
          <w:tcPr>
            <w:tcW w:w="781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51512A" w:rsidRPr="0049007F" w:rsidRDefault="0051512A" w:rsidP="002B27CB">
            <w:pPr>
              <w:spacing w:after="120" w:line="288" w:lineRule="auto"/>
              <w:rPr>
                <w:rFonts w:cs="Arial"/>
                <w:color w:val="000000"/>
                <w:sz w:val="18"/>
                <w:szCs w:val="18"/>
                <w:lang w:eastAsia="es-ES"/>
              </w:rPr>
            </w:pPr>
            <w:r w:rsidRPr="0049007F">
              <w:rPr>
                <w:rFonts w:cs="Arial"/>
                <w:color w:val="000000"/>
                <w:sz w:val="18"/>
                <w:szCs w:val="18"/>
                <w:lang w:eastAsia="es-ES"/>
              </w:rPr>
              <w:t>Not significantly different from the EU-16 average</w:t>
            </w:r>
          </w:p>
        </w:tc>
      </w:tr>
      <w:tr w:rsidR="0051512A" w:rsidRPr="0049007F" w:rsidTr="002B27CB">
        <w:trPr>
          <w:cantSplit/>
          <w:trHeight w:hRule="exact" w:val="340"/>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BD4B4" w:themeFill="accent6" w:themeFillTint="66"/>
            <w:vAlign w:val="center"/>
          </w:tcPr>
          <w:p w:rsidR="0051512A" w:rsidRPr="0049007F" w:rsidRDefault="0051512A" w:rsidP="002B27CB">
            <w:pPr>
              <w:spacing w:after="120" w:line="288" w:lineRule="auto"/>
              <w:rPr>
                <w:rFonts w:cs="Arial"/>
                <w:b/>
                <w:bCs/>
                <w:color w:val="000000"/>
                <w:sz w:val="18"/>
                <w:szCs w:val="18"/>
                <w:lang w:eastAsia="es-ES"/>
              </w:rPr>
            </w:pPr>
          </w:p>
        </w:tc>
        <w:tc>
          <w:tcPr>
            <w:tcW w:w="781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51512A" w:rsidRPr="0049007F" w:rsidRDefault="0051512A" w:rsidP="002B27CB">
            <w:pPr>
              <w:spacing w:after="120" w:line="288" w:lineRule="auto"/>
              <w:rPr>
                <w:rFonts w:cs="Arial"/>
                <w:color w:val="000000"/>
                <w:sz w:val="18"/>
                <w:szCs w:val="18"/>
                <w:lang w:eastAsia="es-ES"/>
              </w:rPr>
            </w:pPr>
            <w:r w:rsidRPr="0049007F">
              <w:rPr>
                <w:rFonts w:cs="Arial"/>
                <w:color w:val="000000"/>
                <w:sz w:val="18"/>
                <w:szCs w:val="18"/>
                <w:lang w:eastAsia="es-ES"/>
              </w:rPr>
              <w:t xml:space="preserve">Significantly </w:t>
            </w:r>
            <w:r w:rsidRPr="0049007F">
              <w:rPr>
                <w:rFonts w:cs="Arial"/>
                <w:b/>
                <w:color w:val="000000"/>
                <w:sz w:val="18"/>
                <w:szCs w:val="18"/>
                <w:lang w:eastAsia="es-ES"/>
              </w:rPr>
              <w:t>below</w:t>
            </w:r>
            <w:r w:rsidRPr="0049007F">
              <w:rPr>
                <w:rFonts w:cs="Arial"/>
                <w:color w:val="000000"/>
                <w:sz w:val="18"/>
                <w:szCs w:val="18"/>
                <w:lang w:eastAsia="es-ES"/>
              </w:rPr>
              <w:t xml:space="preserve"> the EU-16 average</w:t>
            </w:r>
          </w:p>
        </w:tc>
      </w:tr>
      <w:tr w:rsidR="0051512A" w:rsidRPr="0049007F" w:rsidTr="002B27CB">
        <w:trPr>
          <w:cantSplit/>
          <w:trHeight w:hRule="exact" w:val="561"/>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vAlign w:val="center"/>
            <w:hideMark/>
          </w:tcPr>
          <w:p w:rsidR="0051512A" w:rsidRPr="0049007F" w:rsidRDefault="0051512A" w:rsidP="002B27CB">
            <w:pPr>
              <w:spacing w:after="120" w:line="288" w:lineRule="auto"/>
              <w:rPr>
                <w:rFonts w:cs="Arial"/>
                <w:b/>
                <w:bCs/>
                <w:color w:val="FFFFFF" w:themeColor="background1"/>
                <w:sz w:val="18"/>
                <w:szCs w:val="18"/>
                <w:lang w:eastAsia="es-ES"/>
              </w:rPr>
            </w:pPr>
            <w:r w:rsidRPr="0049007F">
              <w:rPr>
                <w:rFonts w:cs="Arial"/>
                <w:b/>
                <w:bCs/>
                <w:color w:val="FFFFFF" w:themeColor="background1"/>
                <w:sz w:val="18"/>
                <w:szCs w:val="18"/>
                <w:lang w:eastAsia="es-ES"/>
              </w:rPr>
              <w:t>Country of reference</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vAlign w:val="center"/>
            <w:hideMark/>
          </w:tcPr>
          <w:p w:rsidR="0051512A" w:rsidRPr="0049007F" w:rsidRDefault="0051512A" w:rsidP="002B27CB">
            <w:pPr>
              <w:spacing w:after="120" w:line="288" w:lineRule="auto"/>
              <w:jc w:val="center"/>
              <w:rPr>
                <w:rFonts w:cs="Arial"/>
                <w:b/>
                <w:bCs/>
                <w:color w:val="FFFFFF" w:themeColor="background1"/>
                <w:sz w:val="18"/>
                <w:szCs w:val="18"/>
                <w:lang w:eastAsia="es-ES"/>
              </w:rPr>
            </w:pPr>
            <w:r w:rsidRPr="0049007F">
              <w:rPr>
                <w:rFonts w:cs="Arial"/>
                <w:b/>
                <w:bCs/>
                <w:color w:val="FFFFFF" w:themeColor="background1"/>
                <w:sz w:val="18"/>
                <w:szCs w:val="18"/>
                <w:lang w:eastAsia="es-ES"/>
              </w:rPr>
              <w:t>coefficient</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noWrap/>
            <w:vAlign w:val="center"/>
            <w:hideMark/>
          </w:tcPr>
          <w:p w:rsidR="0051512A" w:rsidRPr="0049007F" w:rsidRDefault="0051512A" w:rsidP="00876039">
            <w:pPr>
              <w:spacing w:after="120" w:line="288" w:lineRule="auto"/>
              <w:jc w:val="center"/>
              <w:rPr>
                <w:rFonts w:cs="Arial"/>
                <w:color w:val="FFFFFF" w:themeColor="background1"/>
                <w:sz w:val="18"/>
                <w:szCs w:val="18"/>
                <w:lang w:eastAsia="es-ES"/>
              </w:rPr>
            </w:pPr>
            <w:r w:rsidRPr="0049007F">
              <w:rPr>
                <w:rFonts w:cs="Arial"/>
                <w:color w:val="FFFFFF" w:themeColor="background1"/>
                <w:sz w:val="18"/>
                <w:szCs w:val="18"/>
                <w:lang w:eastAsia="es-ES"/>
              </w:rPr>
              <w:t xml:space="preserve">Countries  </w:t>
            </w:r>
            <w:r w:rsidR="00876039" w:rsidRPr="0049007F">
              <w:rPr>
                <w:rFonts w:cs="Arial"/>
                <w:color w:val="FFFFFF" w:themeColor="background1"/>
                <w:sz w:val="18"/>
                <w:szCs w:val="18"/>
                <w:lang w:eastAsia="es-ES"/>
              </w:rPr>
              <w:t>for which the</w:t>
            </w:r>
            <w:r w:rsidRPr="0049007F">
              <w:rPr>
                <w:rFonts w:cs="Arial"/>
                <w:color w:val="FFFFFF" w:themeColor="background1"/>
                <w:sz w:val="18"/>
                <w:szCs w:val="18"/>
                <w:lang w:eastAsia="es-ES"/>
              </w:rPr>
              <w:t xml:space="preserve"> effect is NOT significantly different from the reference</w:t>
            </w:r>
          </w:p>
        </w:tc>
      </w:tr>
      <w:tr w:rsidR="0051512A" w:rsidRPr="0049007F" w:rsidTr="002B27CB">
        <w:trPr>
          <w:cantSplit/>
          <w:trHeight w:hRule="exact" w:val="340"/>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8CCE4" w:themeFill="accent1" w:themeFillTint="66"/>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France</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8CCE4" w:themeFill="accent1" w:themeFillTint="66"/>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0.11</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8CCE4" w:themeFill="accent1" w:themeFillTint="66"/>
            <w:noWrap/>
            <w:vAlign w:val="center"/>
          </w:tcPr>
          <w:p w:rsidR="0051512A" w:rsidRPr="001E31D3" w:rsidRDefault="0051512A" w:rsidP="002B27CB">
            <w:pPr>
              <w:spacing w:after="120" w:line="288" w:lineRule="auto"/>
              <w:rPr>
                <w:rFonts w:cs="Arial"/>
                <w:sz w:val="18"/>
                <w:szCs w:val="18"/>
                <w:lang w:eastAsia="es-ES"/>
              </w:rPr>
            </w:pPr>
          </w:p>
        </w:tc>
      </w:tr>
      <w:tr w:rsidR="0051512A" w:rsidRPr="0049007F" w:rsidTr="002B27CB">
        <w:trPr>
          <w:cantSplit/>
          <w:trHeight w:hRule="exact" w:val="489"/>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8CCE4" w:themeFill="accent1" w:themeFillTint="66"/>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Czech Republic</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8CCE4" w:themeFill="accent1" w:themeFillTint="66"/>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0.09</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8CCE4" w:themeFill="accent1" w:themeFillTint="66"/>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Ireland, Poland</w:t>
            </w:r>
          </w:p>
        </w:tc>
      </w:tr>
      <w:tr w:rsidR="0051512A" w:rsidRPr="0049007F" w:rsidTr="002B27CB">
        <w:trPr>
          <w:cantSplit/>
          <w:trHeight w:hRule="exact" w:val="529"/>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Ireland</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0.08</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Czech Republic, Poland, Austria, Belgium (FL)</w:t>
            </w:r>
          </w:p>
        </w:tc>
      </w:tr>
      <w:tr w:rsidR="0051512A" w:rsidRPr="0049007F" w:rsidTr="0049007F">
        <w:trPr>
          <w:cantSplit/>
          <w:trHeight w:hRule="exact" w:val="614"/>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Poland</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0.07</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Czech Republic, Ireland, Austria, Belgium (FL), Germany, the Netherlands</w:t>
            </w:r>
          </w:p>
        </w:tc>
      </w:tr>
      <w:tr w:rsidR="0051512A" w:rsidRPr="0049007F" w:rsidTr="002B27CB">
        <w:trPr>
          <w:cantSplit/>
          <w:trHeight w:hRule="exact" w:val="589"/>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Austria</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0.07</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Czech Republic, Ireland, Poland, Belgium (FL), United Kingdom (EN/NI), Germany, Netherlands, Sweden, Finland</w:t>
            </w:r>
          </w:p>
        </w:tc>
      </w:tr>
      <w:tr w:rsidR="0051512A" w:rsidRPr="0049007F" w:rsidTr="002B27CB">
        <w:trPr>
          <w:cantSplit/>
          <w:trHeight w:hRule="exact" w:val="519"/>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Belgium (FL)</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0.07</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Ireland, Poland, Austria, United Kingdom (EN/NI), Germany, Netherlands, Sweden, Finland, Italy</w:t>
            </w:r>
          </w:p>
        </w:tc>
      </w:tr>
      <w:tr w:rsidR="0051512A" w:rsidRPr="0049007F" w:rsidTr="002B27CB">
        <w:trPr>
          <w:cantSplit/>
          <w:trHeight w:hRule="exact" w:val="463"/>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49007F" w:rsidP="002B27CB">
            <w:pPr>
              <w:spacing w:after="120" w:line="288" w:lineRule="auto"/>
              <w:rPr>
                <w:rFonts w:cs="Arial"/>
                <w:b/>
                <w:sz w:val="18"/>
                <w:szCs w:val="18"/>
                <w:lang w:eastAsia="es-ES"/>
              </w:rPr>
            </w:pPr>
            <w:r w:rsidRPr="001E31D3">
              <w:rPr>
                <w:rFonts w:cs="Arial"/>
                <w:b/>
                <w:sz w:val="18"/>
                <w:szCs w:val="18"/>
                <w:lang w:eastAsia="es-ES"/>
              </w:rPr>
              <w:t>UK (EN/NI)</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0.06</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Austria, Belgium (FL), Germany, Netherlands, Sweden, Finland, Italy</w:t>
            </w:r>
          </w:p>
        </w:tc>
      </w:tr>
      <w:tr w:rsidR="0051512A" w:rsidRPr="0049007F" w:rsidTr="0049007F">
        <w:trPr>
          <w:cantSplit/>
          <w:trHeight w:hRule="exact" w:val="560"/>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EU-16</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0.06</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Ireland, Poland, Austria, Belgium (FL), United Kingdom (EN/NI), Germany, Netherlands, Sweden, Finland, Italy, Slovakia</w:t>
            </w:r>
          </w:p>
        </w:tc>
      </w:tr>
      <w:tr w:rsidR="0051512A" w:rsidRPr="0049007F" w:rsidTr="002B27CB">
        <w:trPr>
          <w:cantSplit/>
          <w:trHeight w:hRule="exact" w:val="618"/>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Germany</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0.06</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Poland, Austria, Belgium (FL), United Kingdom (EN/NI), Netherlands, Sweden, Finland, Italy</w:t>
            </w:r>
          </w:p>
        </w:tc>
      </w:tr>
      <w:tr w:rsidR="0051512A" w:rsidRPr="0049007F" w:rsidTr="002B27CB">
        <w:trPr>
          <w:cantSplit/>
          <w:trHeight w:hRule="exact" w:val="567"/>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Netherlands</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0.06</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Poland, Austria, Belgium (FL), United Kingdom (EN/NI), Germany, Sweden, Finland, Italy</w:t>
            </w:r>
          </w:p>
        </w:tc>
      </w:tr>
      <w:tr w:rsidR="0051512A" w:rsidRPr="0049007F" w:rsidTr="002B27CB">
        <w:trPr>
          <w:cantSplit/>
          <w:trHeight w:hRule="exact" w:val="553"/>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Sweden</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0.06</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Austria, Belgium (FL), United Kingdom (EN/NI), Germany, Netherlands, Finland, Italy</w:t>
            </w:r>
          </w:p>
        </w:tc>
      </w:tr>
      <w:tr w:rsidR="0051512A" w:rsidRPr="0049007F" w:rsidTr="002B27CB">
        <w:trPr>
          <w:cantSplit/>
          <w:trHeight w:hRule="exact" w:val="561"/>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Finland</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0.05</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Austria, Belgium (FL), United Kingdom (EN/NI), Germany, Netherlands, Sweden, Italy, Slovakia</w:t>
            </w:r>
          </w:p>
        </w:tc>
      </w:tr>
      <w:tr w:rsidR="0051512A" w:rsidRPr="0049007F" w:rsidTr="002B27CB">
        <w:trPr>
          <w:cantSplit/>
          <w:trHeight w:hRule="exact" w:val="557"/>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Italy</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0.04</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Belgium (FL), United Kingdom (EN/NI), Germany, Netherlands, Sweden, Finland, Slovakia, Denmark, Estonia</w:t>
            </w:r>
          </w:p>
        </w:tc>
      </w:tr>
      <w:tr w:rsidR="0051512A" w:rsidRPr="0049007F" w:rsidTr="0049007F">
        <w:trPr>
          <w:cantSplit/>
          <w:trHeight w:hRule="exact" w:val="396"/>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Slovakia</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0.04</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Sweden, Finland, Italy, Denmark, Estonia, Spain</w:t>
            </w:r>
          </w:p>
        </w:tc>
      </w:tr>
      <w:tr w:rsidR="0051512A" w:rsidRPr="0049007F" w:rsidTr="0049007F">
        <w:trPr>
          <w:cantSplit/>
          <w:trHeight w:hRule="exact" w:val="403"/>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Denmark</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0.04</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Italy, Slovakia,  Estonia, Spain</w:t>
            </w:r>
          </w:p>
        </w:tc>
      </w:tr>
      <w:tr w:rsidR="0051512A" w:rsidRPr="0049007F" w:rsidTr="0049007F">
        <w:trPr>
          <w:cantSplit/>
          <w:trHeight w:hRule="exact" w:val="423"/>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Estonia</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0.03</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Italy, Slovakia, Denmark, Spain</w:t>
            </w:r>
          </w:p>
        </w:tc>
      </w:tr>
      <w:tr w:rsidR="0051512A" w:rsidRPr="0049007F" w:rsidTr="002B27CB">
        <w:trPr>
          <w:cantSplit/>
          <w:trHeight w:hRule="exact" w:val="340"/>
        </w:trPr>
        <w:tc>
          <w:tcPr>
            <w:tcW w:w="1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rPr>
                <w:rFonts w:cs="Arial"/>
                <w:b/>
                <w:sz w:val="18"/>
                <w:szCs w:val="18"/>
                <w:lang w:eastAsia="es-ES"/>
              </w:rPr>
            </w:pPr>
            <w:r w:rsidRPr="001E31D3">
              <w:rPr>
                <w:rFonts w:cs="Arial"/>
                <w:b/>
                <w:sz w:val="18"/>
                <w:szCs w:val="18"/>
                <w:lang w:eastAsia="es-ES"/>
              </w:rPr>
              <w:t>Spain</w:t>
            </w:r>
          </w:p>
        </w:tc>
        <w:tc>
          <w:tcPr>
            <w:tcW w:w="10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vAlign w:val="center"/>
            <w:hideMark/>
          </w:tcPr>
          <w:p w:rsidR="0051512A" w:rsidRPr="001E31D3" w:rsidRDefault="0051512A" w:rsidP="002B27CB">
            <w:pPr>
              <w:spacing w:after="120" w:line="288" w:lineRule="auto"/>
              <w:jc w:val="center"/>
              <w:rPr>
                <w:rFonts w:cs="Arial"/>
                <w:sz w:val="18"/>
                <w:szCs w:val="18"/>
                <w:lang w:eastAsia="es-ES"/>
              </w:rPr>
            </w:pPr>
            <w:r w:rsidRPr="001E31D3">
              <w:rPr>
                <w:rFonts w:cs="Arial"/>
                <w:sz w:val="18"/>
                <w:szCs w:val="18"/>
                <w:lang w:eastAsia="es-ES"/>
              </w:rPr>
              <w:t>0.02</w:t>
            </w:r>
          </w:p>
        </w:tc>
        <w:tc>
          <w:tcPr>
            <w:tcW w:w="67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BFBFBF" w:themeFill="background1" w:themeFillShade="BF"/>
            <w:noWrap/>
            <w:hideMark/>
          </w:tcPr>
          <w:p w:rsidR="0051512A" w:rsidRPr="001E31D3" w:rsidRDefault="0051512A" w:rsidP="002B27CB">
            <w:pPr>
              <w:spacing w:after="120" w:line="288" w:lineRule="auto"/>
              <w:rPr>
                <w:rFonts w:cs="Arial"/>
                <w:sz w:val="18"/>
                <w:szCs w:val="18"/>
                <w:lang w:eastAsia="es-ES"/>
              </w:rPr>
            </w:pPr>
            <w:r w:rsidRPr="001E31D3">
              <w:rPr>
                <w:rFonts w:cs="Arial"/>
                <w:sz w:val="18"/>
                <w:szCs w:val="18"/>
                <w:lang w:eastAsia="es-ES"/>
              </w:rPr>
              <w:t>Slovakia, Denmark, Estonia</w:t>
            </w:r>
          </w:p>
        </w:tc>
      </w:tr>
    </w:tbl>
    <w:p w:rsidR="0051512A" w:rsidRPr="0049007F" w:rsidRDefault="0051512A" w:rsidP="0051512A">
      <w:pPr>
        <w:pStyle w:val="BodyText"/>
        <w:spacing w:line="288" w:lineRule="auto"/>
        <w:rPr>
          <w:rFonts w:cs="Arial"/>
          <w:i/>
          <w:sz w:val="16"/>
          <w:szCs w:val="16"/>
        </w:rPr>
      </w:pPr>
      <w:r w:rsidRPr="0049007F">
        <w:rPr>
          <w:rFonts w:cs="Arial"/>
          <w:i/>
          <w:sz w:val="16"/>
          <w:szCs w:val="16"/>
        </w:rPr>
        <w:t xml:space="preserve">Notes: own elaboration based on PIAAC data, significance at 0.05 level </w:t>
      </w:r>
    </w:p>
    <w:p w:rsidR="0051512A" w:rsidRPr="001E31D3" w:rsidRDefault="0051512A" w:rsidP="0051512A">
      <w:pPr>
        <w:pStyle w:val="BodyText"/>
        <w:spacing w:line="288" w:lineRule="auto"/>
      </w:pPr>
      <w:r w:rsidRPr="001E31D3">
        <w:t>There are somewhat less similarities between the literacy and numeracy dimensions than was the case for upper secondary educational attainment. While France and the Czech Republic still display some of the highest partial effects for literacy, effects are largest in Poland (approximately 8.2%) and Belgium (FL) (7.5%). At the lower end, we can again find Estonia (approx</w:t>
      </w:r>
      <w:r w:rsidR="00876039" w:rsidRPr="001E31D3">
        <w:t>imately</w:t>
      </w:r>
      <w:r w:rsidRPr="001E31D3">
        <w:t xml:space="preserve"> 3.2%) and Spain (3.4%), but also Slovakia (2.2%). Again overall effects are smaller for literacy than for numeracy.</w:t>
      </w:r>
    </w:p>
    <w:p w:rsidR="0051512A" w:rsidRPr="000043A4" w:rsidRDefault="0051512A" w:rsidP="0051512A">
      <w:pPr>
        <w:pStyle w:val="Caption"/>
        <w:spacing w:before="0" w:after="120" w:line="288" w:lineRule="auto"/>
        <w:rPr>
          <w:rFonts w:ascii="Verdana" w:hAnsi="Verdana"/>
          <w:b w:val="0"/>
          <w:color w:val="1F497D" w:themeColor="text2"/>
          <w:sz w:val="20"/>
        </w:rPr>
      </w:pPr>
      <w:r w:rsidRPr="000043A4">
        <w:rPr>
          <w:rFonts w:ascii="Verdana" w:hAnsi="Verdana"/>
          <w:b w:val="0"/>
          <w:color w:val="1F497D" w:themeColor="text2"/>
          <w:sz w:val="20"/>
        </w:rPr>
        <w:t>Figure 5.8</w:t>
      </w:r>
      <w:r>
        <w:rPr>
          <w:rFonts w:ascii="Verdana" w:hAnsi="Verdana"/>
          <w:b w:val="0"/>
          <w:color w:val="1F497D" w:themeColor="text2"/>
          <w:sz w:val="20"/>
        </w:rPr>
        <w:t xml:space="preserve"> </w:t>
      </w:r>
      <w:r w:rsidR="00876039">
        <w:rPr>
          <w:rFonts w:ascii="Verdana" w:hAnsi="Verdana"/>
          <w:b w:val="0"/>
          <w:color w:val="1F497D" w:themeColor="text2"/>
          <w:sz w:val="20"/>
        </w:rPr>
        <w:t>Differences (or ‘gains’) in competences</w:t>
      </w:r>
      <w:r w:rsidR="00876039" w:rsidDel="00876039">
        <w:rPr>
          <w:rFonts w:ascii="Verdana" w:hAnsi="Verdana"/>
          <w:b w:val="0"/>
          <w:color w:val="1F497D" w:themeColor="text2"/>
          <w:sz w:val="20"/>
        </w:rPr>
        <w:t xml:space="preserve"> </w:t>
      </w:r>
      <w:r w:rsidRPr="000043A4">
        <w:rPr>
          <w:rFonts w:ascii="Verdana" w:hAnsi="Verdana"/>
          <w:b w:val="0"/>
          <w:color w:val="1F497D" w:themeColor="text2"/>
          <w:sz w:val="20"/>
        </w:rPr>
        <w:t>through tertiary education, literacy</w:t>
      </w:r>
    </w:p>
    <w:p w:rsidR="0051512A" w:rsidRPr="000043A4" w:rsidRDefault="0051512A" w:rsidP="0051512A">
      <w:pPr>
        <w:autoSpaceDE w:val="0"/>
        <w:autoSpaceDN w:val="0"/>
        <w:adjustRightInd w:val="0"/>
        <w:spacing w:after="120" w:line="288" w:lineRule="auto"/>
        <w:rPr>
          <w:rFonts w:cs="Arial"/>
          <w:color w:val="000000"/>
          <w:szCs w:val="20"/>
        </w:rPr>
      </w:pPr>
      <w:r>
        <w:rPr>
          <w:noProof/>
          <w:lang w:val="en-US" w:eastAsia="en-US"/>
        </w:rPr>
        <w:drawing>
          <wp:inline distT="0" distB="0" distL="0" distR="0" wp14:anchorId="17074EF9" wp14:editId="0E6D7403">
            <wp:extent cx="5580000" cy="2700000"/>
            <wp:effectExtent l="0" t="0" r="1905" b="5715"/>
            <wp:docPr id="309" name="Chart 30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51512A" w:rsidRPr="0049007F" w:rsidRDefault="0051512A" w:rsidP="0051512A">
      <w:pPr>
        <w:pStyle w:val="BodyText"/>
        <w:spacing w:line="288" w:lineRule="auto"/>
        <w:rPr>
          <w:rFonts w:cs="Arial"/>
          <w:i/>
          <w:sz w:val="16"/>
          <w:szCs w:val="16"/>
        </w:rPr>
      </w:pPr>
      <w:r w:rsidRPr="0049007F">
        <w:rPr>
          <w:rFonts w:cs="Arial"/>
          <w:i/>
          <w:sz w:val="16"/>
          <w:szCs w:val="16"/>
        </w:rPr>
        <w:t xml:space="preserve">Notes: own elaboration based on PIAAC data, significance at 0.05 level </w:t>
      </w:r>
    </w:p>
    <w:p w:rsidR="0051512A" w:rsidRPr="000043A4" w:rsidRDefault="0051512A" w:rsidP="0051512A">
      <w:pPr>
        <w:pStyle w:val="Heading3"/>
      </w:pPr>
      <w:bookmarkStart w:id="163" w:name="_Toc427069138"/>
      <w:bookmarkStart w:id="164" w:name="_Toc427154774"/>
      <w:bookmarkStart w:id="165" w:name="_Toc432873775"/>
      <w:bookmarkStart w:id="166" w:name="_Toc435620178"/>
      <w:bookmarkStart w:id="167" w:name="_Toc435802099"/>
      <w:r w:rsidRPr="000043A4">
        <w:t>5.4.3 The relationship between upper secondary and tertiary level</w:t>
      </w:r>
      <w:bookmarkEnd w:id="163"/>
      <w:bookmarkEnd w:id="164"/>
      <w:bookmarkEnd w:id="165"/>
      <w:bookmarkEnd w:id="166"/>
      <w:bookmarkEnd w:id="167"/>
    </w:p>
    <w:p w:rsidR="0051512A" w:rsidRPr="001E31D3" w:rsidRDefault="0051512A" w:rsidP="0051512A">
      <w:pPr>
        <w:pStyle w:val="BodyText"/>
        <w:spacing w:line="288" w:lineRule="auto"/>
      </w:pPr>
      <w:r w:rsidRPr="001E31D3">
        <w:t xml:space="preserve">The above analysis shows that there is great variation between those countries with the largest effects of upper secondary education and those with the largest effects of tertiary education. In fact, the rank order of countries seems to be </w:t>
      </w:r>
      <w:r w:rsidR="00876039" w:rsidRPr="001E31D3">
        <w:t>reversed</w:t>
      </w:r>
      <w:r w:rsidRPr="001E31D3">
        <w:t xml:space="preserve">, i.e. those countries </w:t>
      </w:r>
      <w:r w:rsidR="00876039" w:rsidRPr="001E31D3">
        <w:t xml:space="preserve">with the </w:t>
      </w:r>
      <w:r w:rsidRPr="001E31D3">
        <w:t xml:space="preserve">highest </w:t>
      </w:r>
      <w:r w:rsidR="000B5139" w:rsidRPr="001E31D3">
        <w:t xml:space="preserve">percentage </w:t>
      </w:r>
      <w:r w:rsidRPr="001E31D3">
        <w:t>difference</w:t>
      </w:r>
      <w:r w:rsidR="00876039" w:rsidRPr="001E31D3">
        <w:t>s</w:t>
      </w:r>
      <w:r w:rsidRPr="001E31D3">
        <w:t xml:space="preserve"> (</w:t>
      </w:r>
      <w:r w:rsidR="000B5139" w:rsidRPr="001E31D3">
        <w:t>or ‘gains’</w:t>
      </w:r>
      <w:r w:rsidRPr="001E31D3">
        <w:t>)</w:t>
      </w:r>
      <w:r w:rsidR="00876039" w:rsidRPr="001E31D3">
        <w:t xml:space="preserve"> in competences between</w:t>
      </w:r>
      <w:r w:rsidRPr="001E31D3">
        <w:t xml:space="preserve"> </w:t>
      </w:r>
      <w:r w:rsidR="000B5139" w:rsidRPr="001E31D3">
        <w:t xml:space="preserve">for </w:t>
      </w:r>
      <w:r w:rsidRPr="001E31D3">
        <w:t>upper secondary education</w:t>
      </w:r>
      <w:r w:rsidR="000B5139" w:rsidRPr="001E31D3">
        <w:t xml:space="preserve"> as compared</w:t>
      </w:r>
      <w:r w:rsidR="00876039" w:rsidRPr="001E31D3">
        <w:t xml:space="preserve"> lower secondary education (or below)</w:t>
      </w:r>
      <w:r w:rsidRPr="001E31D3">
        <w:t xml:space="preserve"> </w:t>
      </w:r>
      <w:r w:rsidR="00876039" w:rsidRPr="001E31D3">
        <w:t>have the lowest</w:t>
      </w:r>
      <w:r w:rsidRPr="001E31D3">
        <w:t xml:space="preserve"> differences</w:t>
      </w:r>
      <w:r w:rsidR="000B5139" w:rsidRPr="001E31D3">
        <w:t xml:space="preserve"> (or ‘gains’)</w:t>
      </w:r>
      <w:r w:rsidR="00876039" w:rsidRPr="001E31D3">
        <w:t xml:space="preserve"> in competences</w:t>
      </w:r>
      <w:r w:rsidRPr="001E31D3">
        <w:t xml:space="preserve"> </w:t>
      </w:r>
      <w:r w:rsidR="000B5139" w:rsidRPr="001E31D3">
        <w:t>for</w:t>
      </w:r>
      <w:r w:rsidRPr="001E31D3">
        <w:t xml:space="preserve"> tertiary level</w:t>
      </w:r>
      <w:r w:rsidR="000B5139" w:rsidRPr="001E31D3">
        <w:t xml:space="preserve"> as compared to upper secondary level</w:t>
      </w:r>
      <w:r w:rsidRPr="001E31D3">
        <w:t>. Figure</w:t>
      </w:r>
      <w:r w:rsidR="000B5139" w:rsidRPr="001E31D3">
        <w:t>s</w:t>
      </w:r>
      <w:r w:rsidRPr="001E31D3">
        <w:t xml:space="preserve"> 5.9 and 5.10 </w:t>
      </w:r>
      <w:r w:rsidR="000B5139" w:rsidRPr="001E31D3">
        <w:t xml:space="preserve">illustrate </w:t>
      </w:r>
      <w:r w:rsidRPr="001E31D3">
        <w:t>these patterns graphically.</w:t>
      </w:r>
    </w:p>
    <w:p w:rsidR="0051512A" w:rsidRPr="000043A4" w:rsidRDefault="0051512A" w:rsidP="0051512A">
      <w:pPr>
        <w:pStyle w:val="Caption"/>
        <w:spacing w:before="0" w:after="120" w:line="288" w:lineRule="auto"/>
        <w:rPr>
          <w:rFonts w:ascii="Verdana" w:hAnsi="Verdana"/>
          <w:b w:val="0"/>
          <w:color w:val="1F497D" w:themeColor="text2"/>
          <w:sz w:val="20"/>
        </w:rPr>
      </w:pPr>
      <w:r w:rsidRPr="000043A4">
        <w:rPr>
          <w:rFonts w:ascii="Verdana" w:hAnsi="Verdana"/>
          <w:b w:val="0"/>
          <w:color w:val="1F497D" w:themeColor="text2"/>
          <w:sz w:val="20"/>
        </w:rPr>
        <w:t>Figure 5.9</w:t>
      </w:r>
      <w:r>
        <w:rPr>
          <w:rFonts w:ascii="Verdana" w:hAnsi="Verdana"/>
          <w:b w:val="0"/>
          <w:color w:val="1F497D" w:themeColor="text2"/>
          <w:sz w:val="20"/>
        </w:rPr>
        <w:t xml:space="preserve"> Comparison of competence differences</w:t>
      </w:r>
      <w:r w:rsidRPr="000043A4">
        <w:rPr>
          <w:rFonts w:ascii="Verdana" w:hAnsi="Verdana"/>
          <w:b w:val="0"/>
          <w:color w:val="1F497D" w:themeColor="text2"/>
          <w:sz w:val="20"/>
        </w:rPr>
        <w:t xml:space="preserve"> </w:t>
      </w:r>
      <w:r w:rsidR="00151231">
        <w:rPr>
          <w:rFonts w:ascii="Verdana" w:hAnsi="Verdana"/>
          <w:b w:val="0"/>
          <w:color w:val="1F497D" w:themeColor="text2"/>
          <w:sz w:val="20"/>
        </w:rPr>
        <w:t>for</w:t>
      </w:r>
      <w:r w:rsidR="00151231" w:rsidRPr="000043A4">
        <w:rPr>
          <w:rFonts w:ascii="Verdana" w:hAnsi="Verdana"/>
          <w:b w:val="0"/>
          <w:color w:val="1F497D" w:themeColor="text2"/>
          <w:sz w:val="20"/>
        </w:rPr>
        <w:t xml:space="preserve"> </w:t>
      </w:r>
      <w:r w:rsidRPr="000043A4">
        <w:rPr>
          <w:rFonts w:ascii="Verdana" w:hAnsi="Verdana"/>
          <w:b w:val="0"/>
          <w:color w:val="1F497D" w:themeColor="text2"/>
          <w:sz w:val="20"/>
        </w:rPr>
        <w:t>tertiary and upper secondary education, numeracy</w:t>
      </w:r>
    </w:p>
    <w:p w:rsidR="0051512A" w:rsidRPr="000043A4" w:rsidRDefault="0051512A" w:rsidP="0051512A">
      <w:pPr>
        <w:spacing w:after="120" w:line="288" w:lineRule="auto"/>
        <w:rPr>
          <w:rFonts w:cs="Arial"/>
          <w:b/>
          <w:color w:val="1F497D" w:themeColor="text2"/>
          <w:szCs w:val="20"/>
        </w:rPr>
      </w:pPr>
      <w:r>
        <w:rPr>
          <w:noProof/>
          <w:lang w:val="en-US" w:eastAsia="en-US"/>
        </w:rPr>
        <w:drawing>
          <wp:inline distT="0" distB="0" distL="0" distR="0" wp14:anchorId="18084A7E" wp14:editId="111E8E7B">
            <wp:extent cx="5580000" cy="2700000"/>
            <wp:effectExtent l="0" t="0" r="1905" b="5715"/>
            <wp:docPr id="311" name="Chart 3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51512A" w:rsidRPr="0049007F" w:rsidRDefault="0051512A" w:rsidP="0051512A">
      <w:pPr>
        <w:pStyle w:val="BodyText"/>
        <w:spacing w:line="288" w:lineRule="auto"/>
        <w:rPr>
          <w:rFonts w:cs="Arial"/>
          <w:i/>
          <w:sz w:val="16"/>
          <w:szCs w:val="16"/>
        </w:rPr>
      </w:pPr>
      <w:r w:rsidRPr="0049007F">
        <w:rPr>
          <w:rFonts w:cs="Arial"/>
          <w:i/>
          <w:sz w:val="16"/>
          <w:szCs w:val="16"/>
        </w:rPr>
        <w:t>Notes: own elaboration based on PIAAC data, significance at 0.05 level, * differences between education levels are not significant</w:t>
      </w:r>
    </w:p>
    <w:p w:rsidR="0051512A" w:rsidRPr="001E31D3" w:rsidRDefault="0051512A" w:rsidP="0051512A">
      <w:pPr>
        <w:pStyle w:val="BodyText"/>
        <w:spacing w:line="288" w:lineRule="auto"/>
      </w:pPr>
      <w:r w:rsidRPr="001E31D3">
        <w:t>Differences between the size of the effects at different education levels are significant for most countries, excluding Ireland, Poland the Czech Republic. The correlation between effect sizes for both education levels is -0.82 for numeracy and -0.84 for literacy, i.e. there is a strongly negative relationship between effect sizes – those countries with larger effects at tertiary level demonstrate smaller effects at upper secondary level</w:t>
      </w:r>
      <w:r w:rsidR="00151231" w:rsidRPr="001E31D3">
        <w:t>,</w:t>
      </w:r>
      <w:r w:rsidRPr="001E31D3">
        <w:t xml:space="preserve"> and vice versa.</w:t>
      </w:r>
    </w:p>
    <w:p w:rsidR="0051512A" w:rsidRPr="000043A4" w:rsidRDefault="0051512A" w:rsidP="0051512A">
      <w:pPr>
        <w:pStyle w:val="Caption"/>
        <w:spacing w:before="0" w:after="120" w:line="288" w:lineRule="auto"/>
        <w:rPr>
          <w:rFonts w:ascii="Verdana" w:hAnsi="Verdana"/>
          <w:b w:val="0"/>
          <w:color w:val="1F497D" w:themeColor="text2"/>
          <w:sz w:val="20"/>
        </w:rPr>
      </w:pPr>
      <w:r w:rsidRPr="000043A4">
        <w:rPr>
          <w:rFonts w:ascii="Verdana" w:hAnsi="Verdana"/>
          <w:b w:val="0"/>
          <w:color w:val="1F497D" w:themeColor="text2"/>
          <w:sz w:val="20"/>
        </w:rPr>
        <w:t xml:space="preserve">Figure 5.10 Comparison of competence </w:t>
      </w:r>
      <w:r>
        <w:rPr>
          <w:rFonts w:ascii="Verdana" w:hAnsi="Verdana"/>
          <w:b w:val="0"/>
          <w:color w:val="1F497D" w:themeColor="text2"/>
          <w:sz w:val="20"/>
        </w:rPr>
        <w:t>difference</w:t>
      </w:r>
      <w:r w:rsidRPr="000043A4">
        <w:rPr>
          <w:rFonts w:ascii="Verdana" w:hAnsi="Verdana"/>
          <w:b w:val="0"/>
          <w:color w:val="1F497D" w:themeColor="text2"/>
          <w:sz w:val="20"/>
        </w:rPr>
        <w:t xml:space="preserve"> </w:t>
      </w:r>
      <w:r w:rsidR="00151231">
        <w:rPr>
          <w:rFonts w:ascii="Verdana" w:hAnsi="Verdana"/>
          <w:b w:val="0"/>
          <w:color w:val="1F497D" w:themeColor="text2"/>
          <w:sz w:val="20"/>
        </w:rPr>
        <w:t>for</w:t>
      </w:r>
      <w:r w:rsidR="00151231" w:rsidRPr="000043A4">
        <w:rPr>
          <w:rFonts w:ascii="Verdana" w:hAnsi="Verdana"/>
          <w:b w:val="0"/>
          <w:color w:val="1F497D" w:themeColor="text2"/>
          <w:sz w:val="20"/>
        </w:rPr>
        <w:t xml:space="preserve"> </w:t>
      </w:r>
      <w:r w:rsidRPr="000043A4">
        <w:rPr>
          <w:rFonts w:ascii="Verdana" w:hAnsi="Verdana"/>
          <w:b w:val="0"/>
          <w:color w:val="1F497D" w:themeColor="text2"/>
          <w:sz w:val="20"/>
        </w:rPr>
        <w:t>tertiary and upper secondary education, literacy</w:t>
      </w:r>
    </w:p>
    <w:p w:rsidR="0051512A" w:rsidRPr="000043A4" w:rsidRDefault="0051512A" w:rsidP="0051512A">
      <w:pPr>
        <w:spacing w:after="120" w:line="288" w:lineRule="auto"/>
        <w:rPr>
          <w:rFonts w:cs="Arial"/>
          <w:b/>
          <w:color w:val="1F497D" w:themeColor="text2"/>
          <w:szCs w:val="20"/>
        </w:rPr>
      </w:pPr>
      <w:r>
        <w:rPr>
          <w:noProof/>
          <w:lang w:val="en-US" w:eastAsia="en-US"/>
        </w:rPr>
        <w:drawing>
          <wp:inline distT="0" distB="0" distL="0" distR="0" wp14:anchorId="5C4CBBD4" wp14:editId="06CEA83C">
            <wp:extent cx="5580000" cy="2700000"/>
            <wp:effectExtent l="0" t="0" r="1905" b="5715"/>
            <wp:docPr id="312" name="Chart 3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51512A" w:rsidRPr="0049007F" w:rsidRDefault="0051512A" w:rsidP="0051512A">
      <w:pPr>
        <w:pStyle w:val="BodyText"/>
        <w:spacing w:line="288" w:lineRule="auto"/>
        <w:rPr>
          <w:rFonts w:cs="Arial"/>
          <w:i/>
          <w:sz w:val="16"/>
          <w:szCs w:val="16"/>
        </w:rPr>
      </w:pPr>
      <w:r w:rsidRPr="0049007F">
        <w:rPr>
          <w:rFonts w:cs="Arial"/>
          <w:i/>
          <w:sz w:val="16"/>
          <w:szCs w:val="16"/>
        </w:rPr>
        <w:t>Notes: own elaboration based on PIAAC data, significance at 0.05 level, *differences between education levels are not significant</w:t>
      </w:r>
    </w:p>
    <w:p w:rsidR="0051512A" w:rsidRPr="001E31D3" w:rsidRDefault="0051512A" w:rsidP="000D7994">
      <w:pPr>
        <w:pStyle w:val="BodyText"/>
        <w:spacing w:line="288" w:lineRule="auto"/>
      </w:pPr>
      <w:r w:rsidRPr="001E31D3">
        <w:t xml:space="preserve">Possible explanations for this pattern include for example unobserved differences in the composition of those with tertiary and upper secondary degrees. As stated above, while the applied model does control for a large number of individual background characteristics of young adults, it is likely that unobserved differences between groups remain, in particular with regard to the ability levels of young people. In those countries with larger effects at tertiary level, this may be due to a stronger selection of those with higher ability into tertiary programmes. A possible alternative explanation is that different education levels do indeed add to varying extents to young people’s competences. </w:t>
      </w:r>
    </w:p>
    <w:p w:rsidR="003A3038" w:rsidRPr="001E31D3" w:rsidRDefault="0051512A" w:rsidP="000D7994">
      <w:pPr>
        <w:spacing w:after="120" w:line="288" w:lineRule="auto"/>
      </w:pPr>
      <w:r w:rsidRPr="001E31D3">
        <w:t>Case study</w:t>
      </w:r>
      <w:r w:rsidR="00211990" w:rsidRPr="001E31D3">
        <w:t xml:space="preserve"> example</w:t>
      </w:r>
      <w:r w:rsidRPr="001E31D3">
        <w:t xml:space="preserve"> </w:t>
      </w:r>
      <w:r w:rsidR="00211990" w:rsidRPr="001E31D3">
        <w:t>5</w:t>
      </w:r>
      <w:r w:rsidRPr="001E31D3">
        <w:t xml:space="preserve"> below alludes to possible explanations behind the observed patterns using the example of France.</w:t>
      </w:r>
    </w:p>
    <w:p w:rsidR="0051512A" w:rsidRPr="009726A9" w:rsidRDefault="0051512A" w:rsidP="000D7994">
      <w:pPr>
        <w:spacing w:after="120" w:line="288" w:lineRule="auto"/>
      </w:pPr>
      <w:r w:rsidRPr="001E31D3">
        <w:br w:type="page"/>
      </w:r>
      <w:r w:rsidRPr="000043A4">
        <w:rPr>
          <w:noProof/>
          <w:lang w:val="en-US" w:eastAsia="en-US"/>
        </w:rPr>
        <mc:AlternateContent>
          <mc:Choice Requires="wps">
            <w:drawing>
              <wp:inline distT="0" distB="0" distL="0" distR="0" wp14:anchorId="4118AEB5" wp14:editId="6AF33656">
                <wp:extent cx="5580000" cy="8153400"/>
                <wp:effectExtent l="38100" t="38100" r="135255" b="152400"/>
                <wp:docPr id="52"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8153400"/>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BD1C91" w:rsidRDefault="00394EBA" w:rsidP="0051512A">
                            <w:pPr>
                              <w:spacing w:after="120" w:line="288" w:lineRule="auto"/>
                              <w:rPr>
                                <w:rFonts w:eastAsiaTheme="majorEastAsia" w:cs="Arial"/>
                                <w:b/>
                                <w:bCs/>
                                <w:color w:val="1F497D" w:themeColor="text2"/>
                                <w:szCs w:val="20"/>
                                <w:u w:val="single"/>
                              </w:rPr>
                            </w:pPr>
                            <w:r w:rsidRPr="00BD1C91">
                              <w:rPr>
                                <w:rFonts w:eastAsiaTheme="majorEastAsia" w:cs="Arial"/>
                                <w:b/>
                                <w:bCs/>
                                <w:color w:val="1F497D" w:themeColor="text2"/>
                                <w:szCs w:val="20"/>
                                <w:u w:val="single"/>
                              </w:rPr>
                              <w:t xml:space="preserve">Case study example </w:t>
                            </w:r>
                            <w:r>
                              <w:rPr>
                                <w:rFonts w:eastAsiaTheme="majorEastAsia" w:cs="Arial"/>
                                <w:b/>
                                <w:bCs/>
                                <w:color w:val="1F497D" w:themeColor="text2"/>
                                <w:szCs w:val="20"/>
                                <w:u w:val="single"/>
                              </w:rPr>
                              <w:t>5:</w:t>
                            </w:r>
                            <w:r w:rsidRPr="00BD1C91">
                              <w:rPr>
                                <w:rFonts w:eastAsiaTheme="majorEastAsia" w:cs="Arial"/>
                                <w:b/>
                                <w:bCs/>
                                <w:color w:val="1F497D" w:themeColor="text2"/>
                                <w:szCs w:val="20"/>
                                <w:u w:val="single"/>
                              </w:rPr>
                              <w:t xml:space="preserve"> Links between basic competences and qualification levels in France</w:t>
                            </w:r>
                          </w:p>
                          <w:p w:rsidR="00394EBA" w:rsidRPr="001E31D3" w:rsidRDefault="00394EBA" w:rsidP="0051512A">
                            <w:pPr>
                              <w:spacing w:after="120" w:line="288" w:lineRule="auto"/>
                              <w:rPr>
                                <w:rFonts w:cs="Arial"/>
                                <w:szCs w:val="20"/>
                              </w:rPr>
                            </w:pPr>
                            <w:r w:rsidRPr="001E31D3">
                              <w:rPr>
                                <w:rFonts w:cs="Arial"/>
                                <w:szCs w:val="20"/>
                              </w:rPr>
                              <w:t>Our study showed that the added value in terms of basic competences is much more marked in France for those who have achieved tertiary level qualifications (compared to those who have achieved upper secondary qualifications) than those who have succeeded in obtaining upper secondary qualifications (compared to those who have only completed lower secondary education). Explanations for these patterns which were advanced by interviewees, and backed up in certain cases by the empirical literature, are set out below.</w:t>
                            </w:r>
                          </w:p>
                          <w:p w:rsidR="00394EBA" w:rsidRPr="001E31D3" w:rsidRDefault="00394EBA" w:rsidP="0051512A">
                            <w:pPr>
                              <w:spacing w:after="120" w:line="288" w:lineRule="auto"/>
                              <w:rPr>
                                <w:rFonts w:cs="Arial"/>
                                <w:szCs w:val="20"/>
                              </w:rPr>
                            </w:pPr>
                            <w:r w:rsidRPr="001E31D3">
                              <w:rPr>
                                <w:rFonts w:cs="Arial"/>
                                <w:szCs w:val="20"/>
                              </w:rPr>
                              <w:t>Firstly, factors which may explain the relatively weak added value in terms of basic competences for those having achieved qualifications at upper secondary level in France include:</w:t>
                            </w:r>
                          </w:p>
                          <w:p w:rsidR="00394EBA" w:rsidRPr="001E31D3" w:rsidRDefault="00394EBA" w:rsidP="00F90C88">
                            <w:pPr>
                              <w:pStyle w:val="ListParagraph"/>
                              <w:numPr>
                                <w:ilvl w:val="0"/>
                                <w:numId w:val="41"/>
                              </w:numPr>
                              <w:spacing w:after="120" w:line="288" w:lineRule="auto"/>
                              <w:ind w:left="357" w:hanging="357"/>
                              <w:rPr>
                                <w:rFonts w:cs="Arial"/>
                                <w:szCs w:val="20"/>
                              </w:rPr>
                            </w:pPr>
                            <w:r w:rsidRPr="001E31D3">
                              <w:rPr>
                                <w:rFonts w:cs="Arial"/>
                                <w:i/>
                                <w:szCs w:val="20"/>
                              </w:rPr>
                              <w:t>Mass entry to upper secondary education</w:t>
                            </w:r>
                            <w:r w:rsidRPr="001E31D3">
                              <w:rPr>
                                <w:rFonts w:cs="Arial"/>
                                <w:szCs w:val="20"/>
                              </w:rPr>
                              <w:t>: due to the large expansion in upper secondary education, students with lower performance levels now enter – and often achieve qualifications – at upper secondary level. These lower performing students are likely to lower the average level in basic competences of young adults overall. As a result of the lack of selection into upper secondary education, some commentators suggest that tertiary education may now be playing the role of upper secondary education in terms of competence development, signalling and selection.</w:t>
                            </w:r>
                          </w:p>
                          <w:p w:rsidR="00394EBA" w:rsidRPr="001E31D3" w:rsidRDefault="00394EBA" w:rsidP="00F90C88">
                            <w:pPr>
                              <w:pStyle w:val="ListParagraph"/>
                              <w:numPr>
                                <w:ilvl w:val="0"/>
                                <w:numId w:val="41"/>
                              </w:numPr>
                              <w:spacing w:after="120" w:line="288" w:lineRule="auto"/>
                              <w:ind w:left="357" w:hanging="357"/>
                              <w:rPr>
                                <w:rFonts w:cs="Arial"/>
                                <w:szCs w:val="20"/>
                              </w:rPr>
                            </w:pPr>
                            <w:r w:rsidRPr="001E31D3">
                              <w:rPr>
                                <w:rFonts w:cs="Arial"/>
                                <w:i/>
                                <w:szCs w:val="20"/>
                              </w:rPr>
                              <w:t>Passive mode of learning</w:t>
                            </w:r>
                            <w:r w:rsidRPr="001E31D3">
                              <w:rPr>
                                <w:rFonts w:cs="Arial"/>
                                <w:szCs w:val="20"/>
                              </w:rPr>
                              <w:t>: Teaching at (upper and lower) secondary level tends to favour passive forms of learning, with limited autonomy for pupils for independent analysis, which may impact on their ability to perform well in tests in comprehension related to literacy and numeracy.</w:t>
                            </w:r>
                          </w:p>
                          <w:p w:rsidR="00394EBA" w:rsidRPr="001E31D3" w:rsidRDefault="00394EBA" w:rsidP="00F90C88">
                            <w:pPr>
                              <w:pStyle w:val="ListParagraph"/>
                              <w:numPr>
                                <w:ilvl w:val="0"/>
                                <w:numId w:val="41"/>
                              </w:numPr>
                              <w:spacing w:after="120" w:line="288" w:lineRule="auto"/>
                              <w:ind w:left="357" w:hanging="357"/>
                              <w:rPr>
                                <w:rFonts w:cs="Arial"/>
                                <w:szCs w:val="20"/>
                              </w:rPr>
                            </w:pPr>
                            <w:r w:rsidRPr="001E31D3">
                              <w:rPr>
                                <w:rFonts w:cs="Arial"/>
                                <w:i/>
                                <w:szCs w:val="20"/>
                              </w:rPr>
                              <w:t>Weaker vocational tracks</w:t>
                            </w:r>
                            <w:r w:rsidRPr="001E31D3">
                              <w:rPr>
                                <w:rFonts w:cs="Arial"/>
                                <w:szCs w:val="20"/>
                              </w:rPr>
                              <w:t>: Although the development of vocational tracks at upper secondary level has increased participation and achievement of qualification at this level, it has been argued that these tracks are weaker and may deliver a lower level of basic competences, as well as lowering the overall performance level.</w:t>
                            </w:r>
                          </w:p>
                          <w:p w:rsidR="00394EBA" w:rsidRPr="001E31D3" w:rsidRDefault="00394EBA" w:rsidP="00F90C88">
                            <w:pPr>
                              <w:pStyle w:val="ListParagraph"/>
                              <w:numPr>
                                <w:ilvl w:val="0"/>
                                <w:numId w:val="41"/>
                              </w:numPr>
                              <w:spacing w:after="120" w:line="288" w:lineRule="auto"/>
                              <w:ind w:left="357" w:hanging="357"/>
                              <w:rPr>
                                <w:rFonts w:cs="Arial"/>
                                <w:i/>
                                <w:szCs w:val="20"/>
                              </w:rPr>
                            </w:pPr>
                            <w:r w:rsidRPr="001E31D3">
                              <w:rPr>
                                <w:rFonts w:cs="Arial"/>
                                <w:i/>
                                <w:szCs w:val="20"/>
                              </w:rPr>
                              <w:t xml:space="preserve">Self-selection of disadvantaged pupils into vocational tracks: </w:t>
                            </w:r>
                            <w:r w:rsidRPr="001E31D3">
                              <w:rPr>
                                <w:rFonts w:cs="Arial"/>
                                <w:szCs w:val="20"/>
                              </w:rPr>
                              <w:t>Certain interviewees have indicated that, due to lower expectations of parents, teachers and even themselves, pupils from disadvantaged backgrounds, even those with high academic potential, may self-select into vocational tracks at upper secondary level, which may mean that they develop their basic competences in literacy and/or numeracy to a lower degree than would otherwise be the case.</w:t>
                            </w:r>
                          </w:p>
                          <w:p w:rsidR="00394EBA" w:rsidRPr="001E31D3" w:rsidRDefault="00394EBA" w:rsidP="0051512A">
                            <w:pPr>
                              <w:rPr>
                                <w:szCs w:val="20"/>
                              </w:rPr>
                            </w:pPr>
                          </w:p>
                        </w:txbxContent>
                      </wps:txbx>
                      <wps:bodyPr rot="0" vert="horz" wrap="square" lIns="274320" tIns="274320" rIns="274320" bIns="274320" anchor="ctr" anchorCtr="0">
                        <a:noAutofit/>
                      </wps:bodyPr>
                    </wps:wsp>
                  </a:graphicData>
                </a:graphic>
              </wp:inline>
            </w:drawing>
          </mc:Choice>
          <mc:Fallback>
            <w:pict>
              <v:rect w14:anchorId="4118AEB5" id="_x0000_s1047" style="width:439.35pt;height:642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" fillcolor="white [3212]" strokecolor="gray [1629]" strokeweight="1.5pt">
                <v:shadow on="t" type="perspective" color="black" opacity="26214f" origin="-.5,-.5" offset=".74836mm,.74836mm" matrix="65864f,,,65864f"/>
                <v:textbox inset="21.6pt,21.6pt,21.6pt,21.6pt">
                  <w:txbxContent>
                    <w:p w:rsidR="00394EBA" w:rsidRPr="00BD1C91" w:rsidRDefault="00394EBA" w:rsidP="0051512A">
                      <w:pPr>
                        <w:spacing w:after="120" w:line="288" w:lineRule="auto"/>
                        <w:rPr>
                          <w:rFonts w:eastAsiaTheme="majorEastAsia" w:cs="Arial"/>
                          <w:b/>
                          <w:bCs/>
                          <w:color w:val="1F497D" w:themeColor="text2"/>
                          <w:szCs w:val="20"/>
                          <w:u w:val="single"/>
                        </w:rPr>
                      </w:pPr>
                      <w:r w:rsidRPr="00BD1C91">
                        <w:rPr>
                          <w:rFonts w:eastAsiaTheme="majorEastAsia" w:cs="Arial"/>
                          <w:b/>
                          <w:bCs/>
                          <w:color w:val="1F497D" w:themeColor="text2"/>
                          <w:szCs w:val="20"/>
                          <w:u w:val="single"/>
                        </w:rPr>
                        <w:t xml:space="preserve">Case study example </w:t>
                      </w:r>
                      <w:r>
                        <w:rPr>
                          <w:rFonts w:eastAsiaTheme="majorEastAsia" w:cs="Arial"/>
                          <w:b/>
                          <w:bCs/>
                          <w:color w:val="1F497D" w:themeColor="text2"/>
                          <w:szCs w:val="20"/>
                          <w:u w:val="single"/>
                        </w:rPr>
                        <w:t>5:</w:t>
                      </w:r>
                      <w:r w:rsidRPr="00BD1C91">
                        <w:rPr>
                          <w:rFonts w:eastAsiaTheme="majorEastAsia" w:cs="Arial"/>
                          <w:b/>
                          <w:bCs/>
                          <w:color w:val="1F497D" w:themeColor="text2"/>
                          <w:szCs w:val="20"/>
                          <w:u w:val="single"/>
                        </w:rPr>
                        <w:t xml:space="preserve"> Links between basic competences and qualification levels in France</w:t>
                      </w:r>
                    </w:p>
                    <w:p w:rsidR="00394EBA" w:rsidRPr="001E31D3" w:rsidRDefault="00394EBA" w:rsidP="0051512A">
                      <w:pPr>
                        <w:spacing w:after="120" w:line="288" w:lineRule="auto"/>
                        <w:rPr>
                          <w:rFonts w:cs="Arial"/>
                          <w:szCs w:val="20"/>
                        </w:rPr>
                      </w:pPr>
                      <w:r w:rsidRPr="001E31D3">
                        <w:rPr>
                          <w:rFonts w:cs="Arial"/>
                          <w:szCs w:val="20"/>
                        </w:rPr>
                        <w:t>Our study showed that the added value in terms of basic competences is much more marked in France for those who have achieved tertiary level qualifications (compared to those who have achieved upper secondary qualifications) than those who have succeeded in obtaining upper secondary qualifications (compared to those who have only completed lower secondary education). Explanations for these patterns which were advanced by interviewees, and backed up in certain cases by the empirical literature, are set out below.</w:t>
                      </w:r>
                    </w:p>
                    <w:p w:rsidR="00394EBA" w:rsidRPr="001E31D3" w:rsidRDefault="00394EBA" w:rsidP="0051512A">
                      <w:pPr>
                        <w:spacing w:after="120" w:line="288" w:lineRule="auto"/>
                        <w:rPr>
                          <w:rFonts w:cs="Arial"/>
                          <w:szCs w:val="20"/>
                        </w:rPr>
                      </w:pPr>
                      <w:r w:rsidRPr="001E31D3">
                        <w:rPr>
                          <w:rFonts w:cs="Arial"/>
                          <w:szCs w:val="20"/>
                        </w:rPr>
                        <w:t>Firstly, factors which may explain the relatively weak added value in terms of basic competences for those having achieved qualifications at upper secondary level in France include:</w:t>
                      </w:r>
                    </w:p>
                    <w:p w:rsidR="00394EBA" w:rsidRPr="001E31D3" w:rsidRDefault="00394EBA" w:rsidP="00F90C88">
                      <w:pPr>
                        <w:pStyle w:val="ListParagraph"/>
                        <w:numPr>
                          <w:ilvl w:val="0"/>
                          <w:numId w:val="41"/>
                        </w:numPr>
                        <w:spacing w:after="120" w:line="288" w:lineRule="auto"/>
                        <w:ind w:left="357" w:hanging="357"/>
                        <w:rPr>
                          <w:rFonts w:cs="Arial"/>
                          <w:szCs w:val="20"/>
                        </w:rPr>
                      </w:pPr>
                      <w:r w:rsidRPr="001E31D3">
                        <w:rPr>
                          <w:rFonts w:cs="Arial"/>
                          <w:i/>
                          <w:szCs w:val="20"/>
                        </w:rPr>
                        <w:t>Mass entry to upper secondary education</w:t>
                      </w:r>
                      <w:r w:rsidRPr="001E31D3">
                        <w:rPr>
                          <w:rFonts w:cs="Arial"/>
                          <w:szCs w:val="20"/>
                        </w:rPr>
                        <w:t>: due to the large expansion in upper secondary education, students with lower performance levels now enter – and often achieve qualifications – at upper secondary level. These lower performing students are likely to lower the average level in basic competences of young adults overall. As a result of the lack of selection into upper secondary education, some commentators suggest that tertiary education may now be playing the role of upper secondary education in terms of competence development, signalling and selection.</w:t>
                      </w:r>
                    </w:p>
                    <w:p w:rsidR="00394EBA" w:rsidRPr="001E31D3" w:rsidRDefault="00394EBA" w:rsidP="00F90C88">
                      <w:pPr>
                        <w:pStyle w:val="ListParagraph"/>
                        <w:numPr>
                          <w:ilvl w:val="0"/>
                          <w:numId w:val="41"/>
                        </w:numPr>
                        <w:spacing w:after="120" w:line="288" w:lineRule="auto"/>
                        <w:ind w:left="357" w:hanging="357"/>
                        <w:rPr>
                          <w:rFonts w:cs="Arial"/>
                          <w:szCs w:val="20"/>
                        </w:rPr>
                      </w:pPr>
                      <w:r w:rsidRPr="001E31D3">
                        <w:rPr>
                          <w:rFonts w:cs="Arial"/>
                          <w:i/>
                          <w:szCs w:val="20"/>
                        </w:rPr>
                        <w:t>Passive mode of learning</w:t>
                      </w:r>
                      <w:r w:rsidRPr="001E31D3">
                        <w:rPr>
                          <w:rFonts w:cs="Arial"/>
                          <w:szCs w:val="20"/>
                        </w:rPr>
                        <w:t>: Teaching at (upper and lower) secondary level tends to favour passive forms of learning, with limited autonomy for pupils for independent analysis, which may impact on their ability to perform well in tests in comprehension related to literacy and numeracy.</w:t>
                      </w:r>
                    </w:p>
                    <w:p w:rsidR="00394EBA" w:rsidRPr="001E31D3" w:rsidRDefault="00394EBA" w:rsidP="00F90C88">
                      <w:pPr>
                        <w:pStyle w:val="ListParagraph"/>
                        <w:numPr>
                          <w:ilvl w:val="0"/>
                          <w:numId w:val="41"/>
                        </w:numPr>
                        <w:spacing w:after="120" w:line="288" w:lineRule="auto"/>
                        <w:ind w:left="357" w:hanging="357"/>
                        <w:rPr>
                          <w:rFonts w:cs="Arial"/>
                          <w:szCs w:val="20"/>
                        </w:rPr>
                      </w:pPr>
                      <w:r w:rsidRPr="001E31D3">
                        <w:rPr>
                          <w:rFonts w:cs="Arial"/>
                          <w:i/>
                          <w:szCs w:val="20"/>
                        </w:rPr>
                        <w:t>Weaker vocational tracks</w:t>
                      </w:r>
                      <w:r w:rsidRPr="001E31D3">
                        <w:rPr>
                          <w:rFonts w:cs="Arial"/>
                          <w:szCs w:val="20"/>
                        </w:rPr>
                        <w:t>: Although the development of vocational tracks at upper secondary level has increased participation and achievement of qualification at this level, it has been argued that these tracks are weaker and may deliver a lower level of basic competences, as well as lowering the overall performance level.</w:t>
                      </w:r>
                    </w:p>
                    <w:p w:rsidR="00394EBA" w:rsidRPr="001E31D3" w:rsidRDefault="00394EBA" w:rsidP="00F90C88">
                      <w:pPr>
                        <w:pStyle w:val="ListParagraph"/>
                        <w:numPr>
                          <w:ilvl w:val="0"/>
                          <w:numId w:val="41"/>
                        </w:numPr>
                        <w:spacing w:after="120" w:line="288" w:lineRule="auto"/>
                        <w:ind w:left="357" w:hanging="357"/>
                        <w:rPr>
                          <w:rFonts w:cs="Arial"/>
                          <w:i/>
                          <w:szCs w:val="20"/>
                        </w:rPr>
                      </w:pPr>
                      <w:r w:rsidRPr="001E31D3">
                        <w:rPr>
                          <w:rFonts w:cs="Arial"/>
                          <w:i/>
                          <w:szCs w:val="20"/>
                        </w:rPr>
                        <w:t xml:space="preserve">Self-selection of disadvantaged pupils into vocational tracks: </w:t>
                      </w:r>
                      <w:r w:rsidRPr="001E31D3">
                        <w:rPr>
                          <w:rFonts w:cs="Arial"/>
                          <w:szCs w:val="20"/>
                        </w:rPr>
                        <w:t>Certain interviewees have indicated that, due to lower expectations of parents, teachers and even themselves, pupils from disadvantaged backgrounds, even those with high academic potential, may self-select into vocational tracks at upper secondary level, which may mean that they develop their basic competences in literacy and/or numeracy to a lower degree than would otherwise be the case.</w:t>
                      </w:r>
                    </w:p>
                    <w:p w:rsidR="00394EBA" w:rsidRPr="001E31D3" w:rsidRDefault="00394EBA" w:rsidP="0051512A">
                      <w:pPr>
                        <w:rPr>
                          <w:szCs w:val="20"/>
                        </w:rPr>
                      </w:pPr>
                    </w:p>
                  </w:txbxContent>
                </v:textbox>
                <w10:anchorlock/>
              </v:rect>
            </w:pict>
          </mc:Fallback>
        </mc:AlternateContent>
      </w:r>
    </w:p>
    <w:p w:rsidR="0051512A" w:rsidRDefault="0051512A" w:rsidP="0051512A">
      <w:pPr>
        <w:pStyle w:val="Caption"/>
        <w:rPr>
          <w:rFonts w:eastAsia="Batang" w:cs="Arial"/>
          <w:color w:val="00000A"/>
          <w:w w:val="110"/>
        </w:rPr>
      </w:pPr>
      <w:r w:rsidRPr="009726A9">
        <w:rPr>
          <w:noProof/>
          <w:lang w:val="en-US"/>
        </w:rPr>
        <mc:AlternateContent>
          <mc:Choice Requires="wps">
            <w:drawing>
              <wp:inline distT="0" distB="0" distL="0" distR="0" wp14:anchorId="0F786041" wp14:editId="18115D61">
                <wp:extent cx="5465445" cy="6648450"/>
                <wp:effectExtent l="38100" t="38100" r="135255" b="133350"/>
                <wp:docPr id="293"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465445" cy="6648450"/>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9726A9" w:rsidRDefault="00394EBA" w:rsidP="0051512A">
                            <w:pPr>
                              <w:spacing w:after="120" w:line="288" w:lineRule="auto"/>
                              <w:rPr>
                                <w:rFonts w:eastAsiaTheme="majorEastAsia" w:cs="Arial"/>
                                <w:b/>
                                <w:bCs/>
                                <w:color w:val="1F497D" w:themeColor="text2"/>
                                <w:szCs w:val="20"/>
                                <w:u w:val="single"/>
                              </w:rPr>
                            </w:pPr>
                            <w:r w:rsidRPr="009726A9">
                              <w:rPr>
                                <w:rFonts w:eastAsiaTheme="majorEastAsia" w:cs="Arial"/>
                                <w:b/>
                                <w:bCs/>
                                <w:color w:val="1F497D" w:themeColor="text2"/>
                                <w:szCs w:val="20"/>
                                <w:u w:val="single"/>
                              </w:rPr>
                              <w:t xml:space="preserve">Case study example </w:t>
                            </w:r>
                            <w:r>
                              <w:rPr>
                                <w:rFonts w:eastAsiaTheme="majorEastAsia" w:cs="Arial"/>
                                <w:b/>
                                <w:bCs/>
                                <w:color w:val="1F497D" w:themeColor="text2"/>
                                <w:szCs w:val="20"/>
                                <w:u w:val="single"/>
                              </w:rPr>
                              <w:t>5:</w:t>
                            </w:r>
                            <w:r w:rsidRPr="009726A9">
                              <w:rPr>
                                <w:rFonts w:eastAsiaTheme="majorEastAsia" w:cs="Arial"/>
                                <w:b/>
                                <w:bCs/>
                                <w:color w:val="1F497D" w:themeColor="text2"/>
                                <w:szCs w:val="20"/>
                                <w:u w:val="single"/>
                              </w:rPr>
                              <w:t xml:space="preserve"> Links between basic competences and qualification levels in France (continuation)</w:t>
                            </w:r>
                          </w:p>
                          <w:p w:rsidR="00394EBA" w:rsidRPr="001E31D3" w:rsidRDefault="00394EBA" w:rsidP="0051512A">
                            <w:pPr>
                              <w:spacing w:after="120" w:line="288" w:lineRule="auto"/>
                              <w:rPr>
                                <w:rFonts w:cs="Arial"/>
                                <w:szCs w:val="20"/>
                              </w:rPr>
                            </w:pPr>
                            <w:r w:rsidRPr="001E31D3">
                              <w:rPr>
                                <w:rFonts w:cs="Arial"/>
                                <w:szCs w:val="20"/>
                              </w:rPr>
                              <w:t>Secondly, factors which may explain the relatively stronger added value in terms of basic competences for those having achieved qualifications at tertiary level include:</w:t>
                            </w:r>
                          </w:p>
                          <w:p w:rsidR="00394EBA" w:rsidRPr="001E31D3" w:rsidRDefault="00394EBA" w:rsidP="00F90C88">
                            <w:pPr>
                              <w:pStyle w:val="ListParagraph"/>
                              <w:numPr>
                                <w:ilvl w:val="0"/>
                                <w:numId w:val="42"/>
                              </w:numPr>
                              <w:spacing w:after="120" w:line="288" w:lineRule="auto"/>
                              <w:rPr>
                                <w:rFonts w:cs="Arial"/>
                                <w:szCs w:val="20"/>
                              </w:rPr>
                            </w:pPr>
                            <w:r w:rsidRPr="001E31D3">
                              <w:rPr>
                                <w:rFonts w:cs="Arial"/>
                                <w:i/>
                                <w:szCs w:val="20"/>
                              </w:rPr>
                              <w:t xml:space="preserve">Much stronger selection for the achievement of diplomas at tertiary level. </w:t>
                            </w:r>
                            <w:r w:rsidRPr="001E31D3">
                              <w:rPr>
                                <w:rFonts w:cs="Arial"/>
                                <w:szCs w:val="20"/>
                              </w:rPr>
                              <w:t>Although there is no selection (beyond the successful achievement of the baccalaureate) into higher education in France, there is very strong selection at the end of every academic year: for example, at the end of the academic year 2012-2013, only 40.1% of first year students at university succeeded in the tests allowing access to second year (MENESR 2014). As such, those who complete tertiary education are high performers, and are likely to perform well in tests of basic competences.</w:t>
                            </w:r>
                          </w:p>
                          <w:p w:rsidR="00394EBA" w:rsidRPr="001E31D3" w:rsidRDefault="00394EBA" w:rsidP="00F90C88">
                            <w:pPr>
                              <w:pStyle w:val="ListParagraph"/>
                              <w:numPr>
                                <w:ilvl w:val="0"/>
                                <w:numId w:val="42"/>
                              </w:numPr>
                              <w:spacing w:after="120" w:line="288" w:lineRule="auto"/>
                              <w:rPr>
                                <w:rFonts w:cs="Arial"/>
                                <w:szCs w:val="20"/>
                              </w:rPr>
                            </w:pPr>
                            <w:r w:rsidRPr="001E31D3">
                              <w:rPr>
                                <w:rFonts w:cs="Arial"/>
                                <w:i/>
                                <w:szCs w:val="20"/>
                              </w:rPr>
                              <w:t>Much more autonomous learning style:</w:t>
                            </w:r>
                            <w:r w:rsidRPr="001E31D3">
                              <w:rPr>
                                <w:rFonts w:cs="Arial"/>
                                <w:szCs w:val="20"/>
                              </w:rPr>
                              <w:t xml:space="preserve"> Students at tertiary level in France require a high degree of autonomy in order to be able to study and analyse texts and figures with limited support from teaching staff. This is likely to contribute to the development of improved literacy and numeracy skills.</w:t>
                            </w:r>
                          </w:p>
                          <w:p w:rsidR="00394EBA" w:rsidRPr="001E31D3" w:rsidRDefault="00394EBA" w:rsidP="00F90C88">
                            <w:pPr>
                              <w:pStyle w:val="ListParagraph"/>
                              <w:numPr>
                                <w:ilvl w:val="0"/>
                                <w:numId w:val="42"/>
                              </w:numPr>
                              <w:spacing w:after="120" w:line="288" w:lineRule="auto"/>
                              <w:rPr>
                                <w:rFonts w:cs="Arial"/>
                                <w:szCs w:val="20"/>
                              </w:rPr>
                            </w:pPr>
                            <w:r w:rsidRPr="001E31D3">
                              <w:rPr>
                                <w:rFonts w:cs="Arial"/>
                                <w:i/>
                                <w:szCs w:val="20"/>
                              </w:rPr>
                              <w:t>A high proportion of tertiary graduates with a master’s rather than a bachelor’s degree:</w:t>
                            </w:r>
                            <w:r w:rsidRPr="001E31D3">
                              <w:rPr>
                                <w:rFonts w:cs="Arial"/>
                                <w:szCs w:val="20"/>
                              </w:rPr>
                              <w:t xml:space="preserve"> In France, most tertiary graduates do not stop their studies after a bachelor’s degree, but continue on to complete a master’s degree. Tertiary graduates therefore often have a high level of education. </w:t>
                            </w:r>
                          </w:p>
                          <w:p w:rsidR="00394EBA" w:rsidRPr="001E31D3" w:rsidRDefault="00394EBA" w:rsidP="00F90C88">
                            <w:pPr>
                              <w:pStyle w:val="ListParagraph"/>
                              <w:numPr>
                                <w:ilvl w:val="0"/>
                                <w:numId w:val="42"/>
                              </w:numPr>
                              <w:spacing w:after="120" w:line="288" w:lineRule="auto"/>
                              <w:rPr>
                                <w:rFonts w:cs="Arial"/>
                                <w:szCs w:val="20"/>
                              </w:rPr>
                            </w:pPr>
                            <w:r w:rsidRPr="001E31D3">
                              <w:rPr>
                                <w:rFonts w:cs="Arial"/>
                                <w:i/>
                                <w:szCs w:val="20"/>
                              </w:rPr>
                              <w:t>The elite minority of tertiary institutions increases the level of all tertiary education:</w:t>
                            </w:r>
                            <w:r w:rsidRPr="001E31D3">
                              <w:rPr>
                                <w:rFonts w:cs="Arial"/>
                                <w:szCs w:val="20"/>
                              </w:rPr>
                              <w:t xml:space="preserve"> France’s system of elite higher education establishments, such at the </w:t>
                            </w:r>
                            <w:r w:rsidRPr="001E31D3">
                              <w:rPr>
                                <w:rFonts w:cs="Arial"/>
                                <w:i/>
                                <w:szCs w:val="20"/>
                              </w:rPr>
                              <w:t xml:space="preserve">Grandes écoles, </w:t>
                            </w:r>
                            <w:r w:rsidRPr="001E31D3">
                              <w:rPr>
                                <w:rFonts w:cs="Arial"/>
                                <w:szCs w:val="20"/>
                              </w:rPr>
                              <w:t xml:space="preserve">may have a positive impact on the achievements of all tertiary education in France, not only the students of their own establishments, by upping the overall level. </w:t>
                            </w:r>
                          </w:p>
                          <w:p w:rsidR="00394EBA" w:rsidRDefault="00394EBA" w:rsidP="0051512A">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0F786041" id="_x0000_s1048" style="width:430.35pt;height:523.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" fillcolor="white [3212]" strokecolor="gray [1629]" strokeweight="1.5pt">
                <v:shadow on="t" type="perspective" color="black" opacity="26214f" origin="-.5,-.5" offset=".74836mm,.74836mm" matrix="65864f,,,65864f"/>
                <v:textbox inset="21.6pt,21.6pt,21.6pt,21.6pt">
                  <w:txbxContent>
                    <w:p w:rsidR="00394EBA" w:rsidRPr="009726A9" w:rsidRDefault="00394EBA" w:rsidP="0051512A">
                      <w:pPr>
                        <w:spacing w:after="120" w:line="288" w:lineRule="auto"/>
                        <w:rPr>
                          <w:rFonts w:eastAsiaTheme="majorEastAsia" w:cs="Arial"/>
                          <w:b/>
                          <w:bCs/>
                          <w:color w:val="1F497D" w:themeColor="text2"/>
                          <w:szCs w:val="20"/>
                          <w:u w:val="single"/>
                        </w:rPr>
                      </w:pPr>
                      <w:r w:rsidRPr="009726A9">
                        <w:rPr>
                          <w:rFonts w:eastAsiaTheme="majorEastAsia" w:cs="Arial"/>
                          <w:b/>
                          <w:bCs/>
                          <w:color w:val="1F497D" w:themeColor="text2"/>
                          <w:szCs w:val="20"/>
                          <w:u w:val="single"/>
                        </w:rPr>
                        <w:t xml:space="preserve">Case study example </w:t>
                      </w:r>
                      <w:r>
                        <w:rPr>
                          <w:rFonts w:eastAsiaTheme="majorEastAsia" w:cs="Arial"/>
                          <w:b/>
                          <w:bCs/>
                          <w:color w:val="1F497D" w:themeColor="text2"/>
                          <w:szCs w:val="20"/>
                          <w:u w:val="single"/>
                        </w:rPr>
                        <w:t>5:</w:t>
                      </w:r>
                      <w:r w:rsidRPr="009726A9">
                        <w:rPr>
                          <w:rFonts w:eastAsiaTheme="majorEastAsia" w:cs="Arial"/>
                          <w:b/>
                          <w:bCs/>
                          <w:color w:val="1F497D" w:themeColor="text2"/>
                          <w:szCs w:val="20"/>
                          <w:u w:val="single"/>
                        </w:rPr>
                        <w:t xml:space="preserve"> Links between basic competences and qualification levels in France (continuation)</w:t>
                      </w:r>
                    </w:p>
                    <w:p w:rsidR="00394EBA" w:rsidRPr="001E31D3" w:rsidRDefault="00394EBA" w:rsidP="0051512A">
                      <w:pPr>
                        <w:spacing w:after="120" w:line="288" w:lineRule="auto"/>
                        <w:rPr>
                          <w:rFonts w:cs="Arial"/>
                          <w:szCs w:val="20"/>
                        </w:rPr>
                      </w:pPr>
                      <w:r w:rsidRPr="001E31D3">
                        <w:rPr>
                          <w:rFonts w:cs="Arial"/>
                          <w:szCs w:val="20"/>
                        </w:rPr>
                        <w:t>Secondly, factors which may explain the relatively stronger added value in terms of basic competences for those having achieved qualifications at tertiary level include:</w:t>
                      </w:r>
                    </w:p>
                    <w:p w:rsidR="00394EBA" w:rsidRPr="001E31D3" w:rsidRDefault="00394EBA" w:rsidP="00F90C88">
                      <w:pPr>
                        <w:pStyle w:val="ListParagraph"/>
                        <w:numPr>
                          <w:ilvl w:val="0"/>
                          <w:numId w:val="42"/>
                        </w:numPr>
                        <w:spacing w:after="120" w:line="288" w:lineRule="auto"/>
                        <w:rPr>
                          <w:rFonts w:cs="Arial"/>
                          <w:szCs w:val="20"/>
                        </w:rPr>
                      </w:pPr>
                      <w:r w:rsidRPr="001E31D3">
                        <w:rPr>
                          <w:rFonts w:cs="Arial"/>
                          <w:i/>
                          <w:szCs w:val="20"/>
                        </w:rPr>
                        <w:t xml:space="preserve">Much stronger selection for the achievement of diplomas at tertiary level. </w:t>
                      </w:r>
                      <w:r w:rsidRPr="001E31D3">
                        <w:rPr>
                          <w:rFonts w:cs="Arial"/>
                          <w:szCs w:val="20"/>
                        </w:rPr>
                        <w:t>Although there is no selection (beyond the successful achievement of the baccalaureate) into higher education in France, there is very strong selection at the end of every academic year: for example, at the end of the academic year 2012-2013, only 40.1% of first year students at university succeeded in the tests allowing access to second year (MENESR 2014). As such, those who complete tertiary education are high performers, and are likely to perform well in tests of basic competences.</w:t>
                      </w:r>
                    </w:p>
                    <w:p w:rsidR="00394EBA" w:rsidRPr="001E31D3" w:rsidRDefault="00394EBA" w:rsidP="00F90C88">
                      <w:pPr>
                        <w:pStyle w:val="ListParagraph"/>
                        <w:numPr>
                          <w:ilvl w:val="0"/>
                          <w:numId w:val="42"/>
                        </w:numPr>
                        <w:spacing w:after="120" w:line="288" w:lineRule="auto"/>
                        <w:rPr>
                          <w:rFonts w:cs="Arial"/>
                          <w:szCs w:val="20"/>
                        </w:rPr>
                      </w:pPr>
                      <w:r w:rsidRPr="001E31D3">
                        <w:rPr>
                          <w:rFonts w:cs="Arial"/>
                          <w:i/>
                          <w:szCs w:val="20"/>
                        </w:rPr>
                        <w:t>Much more autonomous learning style:</w:t>
                      </w:r>
                      <w:r w:rsidRPr="001E31D3">
                        <w:rPr>
                          <w:rFonts w:cs="Arial"/>
                          <w:szCs w:val="20"/>
                        </w:rPr>
                        <w:t xml:space="preserve"> Students at tertiary level in France require a high degree of autonomy in order to be able to study and analyse texts and figures with limited support from teaching staff. This is likely to contribute to the development of improved literacy and numeracy skills.</w:t>
                      </w:r>
                    </w:p>
                    <w:p w:rsidR="00394EBA" w:rsidRPr="001E31D3" w:rsidRDefault="00394EBA" w:rsidP="00F90C88">
                      <w:pPr>
                        <w:pStyle w:val="ListParagraph"/>
                        <w:numPr>
                          <w:ilvl w:val="0"/>
                          <w:numId w:val="42"/>
                        </w:numPr>
                        <w:spacing w:after="120" w:line="288" w:lineRule="auto"/>
                        <w:rPr>
                          <w:rFonts w:cs="Arial"/>
                          <w:szCs w:val="20"/>
                        </w:rPr>
                      </w:pPr>
                      <w:r w:rsidRPr="001E31D3">
                        <w:rPr>
                          <w:rFonts w:cs="Arial"/>
                          <w:i/>
                          <w:szCs w:val="20"/>
                        </w:rPr>
                        <w:t>A high proportion of tertiary graduates with a master’s rather than a bachelor’s degree:</w:t>
                      </w:r>
                      <w:r w:rsidRPr="001E31D3">
                        <w:rPr>
                          <w:rFonts w:cs="Arial"/>
                          <w:szCs w:val="20"/>
                        </w:rPr>
                        <w:t xml:space="preserve"> In France, most tertiary graduates do not stop their studies after a bachelor’s degree, but continue on to complete a master’s degree. Tertiary graduates therefore often have a high level of education. </w:t>
                      </w:r>
                    </w:p>
                    <w:p w:rsidR="00394EBA" w:rsidRPr="001E31D3" w:rsidRDefault="00394EBA" w:rsidP="00F90C88">
                      <w:pPr>
                        <w:pStyle w:val="ListParagraph"/>
                        <w:numPr>
                          <w:ilvl w:val="0"/>
                          <w:numId w:val="42"/>
                        </w:numPr>
                        <w:spacing w:after="120" w:line="288" w:lineRule="auto"/>
                        <w:rPr>
                          <w:rFonts w:cs="Arial"/>
                          <w:szCs w:val="20"/>
                        </w:rPr>
                      </w:pPr>
                      <w:r w:rsidRPr="001E31D3">
                        <w:rPr>
                          <w:rFonts w:cs="Arial"/>
                          <w:i/>
                          <w:szCs w:val="20"/>
                        </w:rPr>
                        <w:t>The elite minority of tertiary institutions increases the level of all tertiary education:</w:t>
                      </w:r>
                      <w:r w:rsidRPr="001E31D3">
                        <w:rPr>
                          <w:rFonts w:cs="Arial"/>
                          <w:szCs w:val="20"/>
                        </w:rPr>
                        <w:t xml:space="preserve"> France’s system of elite higher education establishments, such at the </w:t>
                      </w:r>
                      <w:r w:rsidRPr="001E31D3">
                        <w:rPr>
                          <w:rFonts w:cs="Arial"/>
                          <w:i/>
                          <w:szCs w:val="20"/>
                        </w:rPr>
                        <w:t xml:space="preserve">Grandes écoles, </w:t>
                      </w:r>
                      <w:r w:rsidRPr="001E31D3">
                        <w:rPr>
                          <w:rFonts w:cs="Arial"/>
                          <w:szCs w:val="20"/>
                        </w:rPr>
                        <w:t xml:space="preserve">may have a positive impact on the achievements of all tertiary education in France, not only the students of their own establishments, by upping the overall level. </w:t>
                      </w:r>
                    </w:p>
                    <w:p w:rsidR="00394EBA" w:rsidRDefault="00394EBA" w:rsidP="0051512A">
                      <w:pPr>
                        <w:rPr>
                          <w:color w:val="4F81BD" w:themeColor="accent1"/>
                          <w:szCs w:val="20"/>
                        </w:rPr>
                      </w:pPr>
                    </w:p>
                  </w:txbxContent>
                </v:textbox>
                <w10:anchorlock/>
              </v:rect>
            </w:pict>
          </mc:Fallback>
        </mc:AlternateContent>
      </w:r>
    </w:p>
    <w:p w:rsidR="0051512A" w:rsidRPr="001E31D3" w:rsidRDefault="0051512A" w:rsidP="0051512A">
      <w:pPr>
        <w:pStyle w:val="Caption"/>
        <w:rPr>
          <w:rFonts w:ascii="Verdana" w:hAnsi="Verdana" w:cs="Arial"/>
          <w:b w:val="0"/>
          <w:color w:val="333333"/>
          <w:sz w:val="16"/>
          <w:szCs w:val="16"/>
        </w:rPr>
      </w:pPr>
      <w:r w:rsidRPr="001E31D3">
        <w:rPr>
          <w:rFonts w:ascii="Verdana" w:hAnsi="Verdana"/>
          <w:b w:val="0"/>
          <w:color w:val="333333"/>
          <w:sz w:val="16"/>
          <w:szCs w:val="16"/>
        </w:rPr>
        <w:t>Note: qualitative case study based on key informant interviews; the list of interviewees can be consulted in Annex II.</w:t>
      </w:r>
    </w:p>
    <w:p w:rsidR="0051512A" w:rsidRPr="009726A9" w:rsidRDefault="0051512A" w:rsidP="0051512A">
      <w:pPr>
        <w:pStyle w:val="BodyText"/>
        <w:spacing w:line="288" w:lineRule="auto"/>
        <w:rPr>
          <w:rFonts w:eastAsia="Batang" w:cs="Arial"/>
          <w:color w:val="00000A"/>
          <w:w w:val="110"/>
          <w:szCs w:val="20"/>
        </w:rPr>
      </w:pPr>
    </w:p>
    <w:p w:rsidR="0051512A" w:rsidRDefault="0051512A" w:rsidP="0051512A">
      <w:pPr>
        <w:rPr>
          <w:rFonts w:eastAsia="Batang" w:cs="Arial"/>
          <w:b/>
          <w:bCs/>
          <w:iCs/>
          <w:color w:val="263673"/>
          <w:szCs w:val="28"/>
          <w:highlight w:val="yellow"/>
        </w:rPr>
      </w:pPr>
      <w:r>
        <w:rPr>
          <w:rFonts w:eastAsia="Batang"/>
          <w:highlight w:val="yellow"/>
        </w:rPr>
        <w:br w:type="page"/>
      </w:r>
    </w:p>
    <w:p w:rsidR="00846E0A" w:rsidRPr="00CF412F" w:rsidRDefault="000F4E97" w:rsidP="00F50E55">
      <w:pPr>
        <w:pStyle w:val="Heading1"/>
      </w:pPr>
      <w:bookmarkStart w:id="168" w:name="_Toc427232500"/>
      <w:bookmarkStart w:id="169" w:name="_Toc435802100"/>
      <w:r w:rsidRPr="00CF412F">
        <w:t>6.</w:t>
      </w:r>
      <w:bookmarkEnd w:id="168"/>
      <w:r w:rsidR="00846E0A" w:rsidRPr="00CF412F">
        <w:t xml:space="preserve"> Effects of different education sys</w:t>
      </w:r>
      <w:r w:rsidR="00CF412F" w:rsidRPr="00CF412F">
        <w:t xml:space="preserve">tems and features on competences </w:t>
      </w:r>
      <w:r w:rsidR="00F924EA" w:rsidRPr="00CF412F">
        <w:t>of young people</w:t>
      </w:r>
      <w:bookmarkEnd w:id="169"/>
    </w:p>
    <w:p w:rsidR="00F924EA" w:rsidRPr="00CF412F" w:rsidRDefault="000F4E97" w:rsidP="00F924EA">
      <w:pPr>
        <w:pStyle w:val="BodyText"/>
        <w:spacing w:line="288" w:lineRule="auto"/>
      </w:pPr>
      <w:r w:rsidRPr="00CF412F">
        <w:t xml:space="preserve">We showed in </w:t>
      </w:r>
      <w:r w:rsidR="00445957">
        <w:t>C</w:t>
      </w:r>
      <w:r w:rsidRPr="00CF412F">
        <w:t xml:space="preserve">hapter </w:t>
      </w:r>
      <w:r w:rsidR="00445957">
        <w:t>Five</w:t>
      </w:r>
      <w:r w:rsidRPr="00CF412F">
        <w:t xml:space="preserve"> that there is some variation of the strength of the relationship between educational attainment and qualification levels across countries.</w:t>
      </w:r>
      <w:r w:rsidR="00B65BF9" w:rsidRPr="00CF412F">
        <w:t xml:space="preserve"> Some countries seem to</w:t>
      </w:r>
      <w:r w:rsidR="00F924EA" w:rsidRPr="00CF412F">
        <w:t xml:space="preserve"> be</w:t>
      </w:r>
      <w:r w:rsidR="00B65BF9" w:rsidRPr="00CF412F">
        <w:t xml:space="preserve"> better than others in </w:t>
      </w:r>
      <w:r w:rsidR="00F924EA" w:rsidRPr="00CF412F">
        <w:t>supporting</w:t>
      </w:r>
      <w:r w:rsidR="00065622" w:rsidRPr="00CF412F">
        <w:t xml:space="preserve"> young people in</w:t>
      </w:r>
      <w:r w:rsidR="00B65BF9" w:rsidRPr="00CF412F">
        <w:t xml:space="preserve"> maintain</w:t>
      </w:r>
      <w:r w:rsidR="00065622" w:rsidRPr="00CF412F">
        <w:t>ing</w:t>
      </w:r>
      <w:r w:rsidR="00B65BF9" w:rsidRPr="00CF412F">
        <w:t xml:space="preserve"> or gain</w:t>
      </w:r>
      <w:r w:rsidR="00065622" w:rsidRPr="00CF412F">
        <w:t>ing</w:t>
      </w:r>
      <w:r w:rsidR="00B65BF9" w:rsidRPr="00CF412F">
        <w:t xml:space="preserve"> </w:t>
      </w:r>
      <w:r w:rsidR="00DF6A8D">
        <w:t>competence</w:t>
      </w:r>
      <w:r w:rsidR="00B65BF9" w:rsidRPr="00CF412F">
        <w:t>s at the upper secondary and tertiary level than others.</w:t>
      </w:r>
      <w:r w:rsidR="00F924EA" w:rsidRPr="00CF412F">
        <w:t xml:space="preserve"> However, using the </w:t>
      </w:r>
      <w:r w:rsidR="00235B71">
        <w:t>currently</w:t>
      </w:r>
      <w:r w:rsidR="00F924EA" w:rsidRPr="00CF412F">
        <w:t xml:space="preserve"> only cross-section</w:t>
      </w:r>
      <w:r w:rsidR="00235B71">
        <w:t>al</w:t>
      </w:r>
      <w:r w:rsidR="00F924EA" w:rsidRPr="00CF412F">
        <w:t xml:space="preserve"> PIAAC data, it is not possible to </w:t>
      </w:r>
      <w:r w:rsidR="009B7C56">
        <w:t xml:space="preserve">disentangle </w:t>
      </w:r>
      <w:r w:rsidR="00F924EA" w:rsidRPr="00CF412F">
        <w:t xml:space="preserve">two different – and equally plausible </w:t>
      </w:r>
      <w:r w:rsidR="00235B71">
        <w:t xml:space="preserve">- </w:t>
      </w:r>
      <w:r w:rsidR="00F924EA" w:rsidRPr="00CF412F">
        <w:t>explanations for the observed cross-country variation</w:t>
      </w:r>
      <w:r w:rsidR="00235B71">
        <w:t>.</w:t>
      </w:r>
      <w:r w:rsidR="00F924EA" w:rsidRPr="00CF412F">
        <w:t xml:space="preserve"> </w:t>
      </w:r>
      <w:r w:rsidR="000B25F0">
        <w:t>The</w:t>
      </w:r>
      <w:r w:rsidR="00F924EA" w:rsidRPr="00CF412F">
        <w:t xml:space="preserve"> observed effect could be due to cross-country differences in selecting young people into different education levels, i.e. only the most able may go on to tertiary education in some countries and hence increase average competences of tertiary graduates through selection. </w:t>
      </w:r>
      <w:r w:rsidR="009B7C56">
        <w:t>Or,</w:t>
      </w:r>
      <w:r w:rsidR="00F924EA" w:rsidRPr="00CF412F">
        <w:t xml:space="preserve"> the observed effect could be due to cross-country differences in the quality of education and its effectiveness in equipping young people with the relevant </w:t>
      </w:r>
      <w:r w:rsidR="00DF6A8D">
        <w:t>competence</w:t>
      </w:r>
      <w:r w:rsidR="00F924EA" w:rsidRPr="00CF412F">
        <w:t>s.</w:t>
      </w:r>
      <w:r w:rsidR="000B25F0">
        <w:t xml:space="preserve"> In reality, </w:t>
      </w:r>
      <w:r w:rsidR="009B7C56">
        <w:t>the effect can probably be explained by a combination of both.</w:t>
      </w:r>
      <w:r w:rsidR="000B25F0">
        <w:t xml:space="preserve"> </w:t>
      </w:r>
    </w:p>
    <w:p w:rsidR="0051512A" w:rsidRDefault="004756D6" w:rsidP="0051512A">
      <w:pPr>
        <w:pStyle w:val="BodyText"/>
        <w:spacing w:line="288" w:lineRule="auto"/>
      </w:pPr>
      <w:r w:rsidRPr="00CF412F">
        <w:t>Using a difference-in-difference</w:t>
      </w:r>
      <w:r w:rsidR="00C85123">
        <w:t xml:space="preserve"> (DI</w:t>
      </w:r>
      <w:r w:rsidR="0003048B">
        <w:t>D)</w:t>
      </w:r>
      <w:r w:rsidRPr="00CF412F">
        <w:t xml:space="preserve"> approach, which circumvents the issue of selection bias, this</w:t>
      </w:r>
      <w:r w:rsidR="00B65BF9" w:rsidRPr="00CF412F">
        <w:t xml:space="preserve"> chapter explores the</w:t>
      </w:r>
      <w:r w:rsidR="00CF412F" w:rsidRPr="00CF412F">
        <w:t xml:space="preserve"> effect</w:t>
      </w:r>
      <w:r w:rsidR="00F924EA" w:rsidRPr="00CF412F">
        <w:t xml:space="preserve"> of</w:t>
      </w:r>
      <w:r w:rsidR="00B65BF9" w:rsidRPr="00CF412F">
        <w:t xml:space="preserve"> types of education syste</w:t>
      </w:r>
      <w:r w:rsidR="00F924EA" w:rsidRPr="00CF412F">
        <w:t>ms and features of such systems</w:t>
      </w:r>
      <w:r w:rsidRPr="00CF412F">
        <w:t xml:space="preserve"> on competence development</w:t>
      </w:r>
      <w:r w:rsidR="00F924EA" w:rsidRPr="00CF412F">
        <w:t xml:space="preserve"> of young adults</w:t>
      </w:r>
      <w:r w:rsidRPr="00CF412F">
        <w:t xml:space="preserve"> between the age</w:t>
      </w:r>
      <w:r w:rsidR="00235B71">
        <w:t>s</w:t>
      </w:r>
      <w:r w:rsidRPr="00CF412F">
        <w:t xml:space="preserve"> of 15 and 27</w:t>
      </w:r>
      <w:r w:rsidR="00F924EA" w:rsidRPr="00CF412F">
        <w:t xml:space="preserve">. It first provides an overview of </w:t>
      </w:r>
      <w:r w:rsidR="00CF412F" w:rsidRPr="00CF412F">
        <w:t xml:space="preserve">the methodology, before giving an overview of </w:t>
      </w:r>
      <w:r w:rsidR="00F50E55" w:rsidRPr="00CF412F">
        <w:t>the literature on education system typologies and features which are hyp</w:t>
      </w:r>
      <w:r w:rsidR="00F924EA" w:rsidRPr="00CF412F">
        <w:t xml:space="preserve">othesised to influence </w:t>
      </w:r>
      <w:r w:rsidRPr="00CF412F">
        <w:t xml:space="preserve">competence development of young people. It then analyses which types of education systems and system characteristics </w:t>
      </w:r>
      <w:r w:rsidR="00CF412F" w:rsidRPr="00CF412F">
        <w:t xml:space="preserve">are more successful in </w:t>
      </w:r>
      <w:r w:rsidRPr="00CF412F">
        <w:t>support</w:t>
      </w:r>
      <w:r w:rsidR="00CF412F" w:rsidRPr="00CF412F">
        <w:t>ing</w:t>
      </w:r>
      <w:r w:rsidRPr="00CF412F">
        <w:t xml:space="preserve"> young people in maintaining and developing competences at the upp</w:t>
      </w:r>
      <w:r w:rsidR="00CF412F" w:rsidRPr="00CF412F">
        <w:t>er secondary and tertiary level.</w:t>
      </w:r>
    </w:p>
    <w:p w:rsidR="000F4E97" w:rsidRPr="00CF412F" w:rsidRDefault="000F4E97" w:rsidP="0051512A">
      <w:pPr>
        <w:pStyle w:val="BodyText"/>
        <w:spacing w:line="288" w:lineRule="auto"/>
        <w:rPr>
          <w:rFonts w:cs="Arial"/>
          <w:szCs w:val="20"/>
        </w:rPr>
      </w:pPr>
      <w:r w:rsidRPr="00CF412F">
        <w:rPr>
          <w:rFonts w:cs="Arial"/>
          <w:noProof/>
          <w:szCs w:val="20"/>
          <w:lang w:val="en-US" w:eastAsia="en-US"/>
        </w:rPr>
        <mc:AlternateContent>
          <mc:Choice Requires="wps">
            <w:drawing>
              <wp:inline distT="0" distB="0" distL="0" distR="0" wp14:anchorId="6D381BD1" wp14:editId="1C900901">
                <wp:extent cx="5579745" cy="3538847"/>
                <wp:effectExtent l="38100" t="38100" r="135255" b="138430"/>
                <wp:docPr id="682"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79745" cy="3538847"/>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4756D6" w:rsidRDefault="00394EBA" w:rsidP="000F4E97">
                            <w:pPr>
                              <w:jc w:val="center"/>
                              <w:rPr>
                                <w:b/>
                              </w:rPr>
                            </w:pPr>
                            <w:r w:rsidRPr="004756D6">
                              <w:rPr>
                                <w:b/>
                              </w:rPr>
                              <w:t>Key findings</w:t>
                            </w:r>
                          </w:p>
                          <w:p w:rsidR="00394EBA" w:rsidRPr="004756D6" w:rsidRDefault="00394EBA" w:rsidP="000F4E97">
                            <w:pPr>
                              <w:jc w:val="center"/>
                              <w:rPr>
                                <w:b/>
                              </w:rPr>
                            </w:pPr>
                          </w:p>
                          <w:p w:rsidR="00394EBA" w:rsidRPr="004756D6" w:rsidRDefault="00394EBA" w:rsidP="00F90C88">
                            <w:pPr>
                              <w:pStyle w:val="BodyText"/>
                              <w:numPr>
                                <w:ilvl w:val="0"/>
                                <w:numId w:val="32"/>
                              </w:numPr>
                              <w:spacing w:line="288" w:lineRule="auto"/>
                              <w:ind w:left="426"/>
                              <w:rPr>
                                <w:rFonts w:cs="Arial"/>
                                <w:szCs w:val="20"/>
                              </w:rPr>
                            </w:pPr>
                            <w:r w:rsidRPr="004756D6">
                              <w:t>Looking at changes over the life-course</w:t>
                            </w:r>
                            <w:r>
                              <w:t>,</w:t>
                            </w:r>
                            <w:r w:rsidRPr="004756D6">
                              <w:rPr>
                                <w:rFonts w:cs="Arial"/>
                                <w:szCs w:val="20"/>
                              </w:rPr>
                              <w:t xml:space="preserve"> our results suggest that some types of upper secondary education and training system</w:t>
                            </w:r>
                            <w:r>
                              <w:rPr>
                                <w:rFonts w:cs="Arial"/>
                                <w:szCs w:val="20"/>
                              </w:rPr>
                              <w:t>s</w:t>
                            </w:r>
                            <w:r w:rsidRPr="004756D6">
                              <w:rPr>
                                <w:rFonts w:cs="Arial"/>
                                <w:szCs w:val="20"/>
                              </w:rPr>
                              <w:t xml:space="preserve"> are better at improving or maintaining literacy and numeracy skills than others</w:t>
                            </w:r>
                            <w:r>
                              <w:rPr>
                                <w:rFonts w:cs="Arial"/>
                                <w:szCs w:val="20"/>
                              </w:rPr>
                              <w:t xml:space="preserve">. </w:t>
                            </w:r>
                            <w:r w:rsidRPr="004756D6">
                              <w:rPr>
                                <w:rFonts w:cs="Arial"/>
                                <w:szCs w:val="20"/>
                              </w:rPr>
                              <w:t xml:space="preserve"> Countries with Dual Systems of Apprenticeship and Nordic countries with integrated upper secondary systems show the most gains in literacy and numeracy relative to other countries. By contrast Anglophone countries with mixed systems or North American comprehensive systems </w:t>
                            </w:r>
                            <w:r>
                              <w:rPr>
                                <w:rFonts w:cs="Arial"/>
                                <w:szCs w:val="20"/>
                              </w:rPr>
                              <w:t>appear to be</w:t>
                            </w:r>
                            <w:r w:rsidRPr="004756D6">
                              <w:rPr>
                                <w:rFonts w:cs="Arial"/>
                                <w:szCs w:val="20"/>
                              </w:rPr>
                              <w:t xml:space="preserve"> relatively weak at improving literacy and numeracy skills between the age</w:t>
                            </w:r>
                            <w:r>
                              <w:rPr>
                                <w:rFonts w:cs="Arial"/>
                                <w:szCs w:val="20"/>
                              </w:rPr>
                              <w:t>s</w:t>
                            </w:r>
                            <w:r w:rsidRPr="004756D6">
                              <w:rPr>
                                <w:rFonts w:cs="Arial"/>
                                <w:szCs w:val="20"/>
                              </w:rPr>
                              <w:t xml:space="preserve"> of 15 and 27</w:t>
                            </w:r>
                            <w:r>
                              <w:rPr>
                                <w:rFonts w:cs="Arial"/>
                                <w:szCs w:val="20"/>
                              </w:rPr>
                              <w:t>.</w:t>
                            </w:r>
                            <w:r w:rsidRPr="004756D6">
                              <w:rPr>
                                <w:rFonts w:cs="Arial"/>
                                <w:szCs w:val="20"/>
                              </w:rPr>
                              <w:t xml:space="preserve"> </w:t>
                            </w:r>
                          </w:p>
                          <w:p w:rsidR="00394EBA" w:rsidRPr="004756D6" w:rsidRDefault="00394EBA" w:rsidP="00F90C88">
                            <w:pPr>
                              <w:pStyle w:val="BodyText"/>
                              <w:numPr>
                                <w:ilvl w:val="0"/>
                                <w:numId w:val="32"/>
                              </w:numPr>
                              <w:spacing w:line="288" w:lineRule="auto"/>
                              <w:ind w:left="426"/>
                              <w:rPr>
                                <w:rFonts w:cs="Arial"/>
                                <w:szCs w:val="20"/>
                              </w:rPr>
                            </w:pPr>
                            <w:r w:rsidRPr="004756D6">
                              <w:rPr>
                                <w:rFonts w:cs="Arial"/>
                                <w:szCs w:val="20"/>
                              </w:rPr>
                              <w:t xml:space="preserve">Features of education systems which </w:t>
                            </w:r>
                            <w:r>
                              <w:rPr>
                                <w:rFonts w:cs="Arial"/>
                                <w:szCs w:val="20"/>
                              </w:rPr>
                              <w:t>appear to have a positive link to</w:t>
                            </w:r>
                            <w:r w:rsidRPr="004756D6">
                              <w:rPr>
                                <w:rFonts w:cs="Arial"/>
                                <w:szCs w:val="20"/>
                              </w:rPr>
                              <w:t xml:space="preserve"> improving literacy and numeracy skills between the age of 15 and 27 include: quality and socially prestigious vocational education and more time spen</w:t>
                            </w:r>
                            <w:r>
                              <w:rPr>
                                <w:rFonts w:cs="Arial"/>
                                <w:szCs w:val="20"/>
                              </w:rPr>
                              <w:t>t</w:t>
                            </w:r>
                            <w:r w:rsidRPr="004756D6">
                              <w:rPr>
                                <w:rFonts w:cs="Arial"/>
                                <w:szCs w:val="20"/>
                              </w:rPr>
                              <w:t xml:space="preserve"> learning maths and the national language at upper secondary level.</w:t>
                            </w:r>
                          </w:p>
                          <w:p w:rsidR="00394EBA" w:rsidRPr="000F4E97" w:rsidRDefault="00394EBA" w:rsidP="000F4E97">
                            <w:pPr>
                              <w:spacing w:after="120" w:line="288" w:lineRule="auto"/>
                            </w:pPr>
                          </w:p>
                          <w:p w:rsidR="00394EBA" w:rsidRDefault="00394EBA" w:rsidP="000F4E97">
                            <w:pPr>
                              <w:jc w:val="center"/>
                              <w:rPr>
                                <w:b/>
                              </w:rPr>
                            </w:pPr>
                          </w:p>
                          <w:p w:rsidR="00394EBA" w:rsidRDefault="00394EBA" w:rsidP="000F4E97">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6D381BD1" id="_x0000_s1049" style="width:439.35pt;height:278.6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" fillcolor="#c6d9f1 [671]" strokecolor="gray [1629]" strokeweight="1.5pt">
                <v:shadow on="t" type="perspective" color="black" opacity="26214f" origin="-.5,-.5" offset=".74836mm,.74836mm" matrix="65864f,,,65864f"/>
                <v:textbox inset="21.6pt,21.6pt,21.6pt,21.6pt">
                  <w:txbxContent>
                    <w:p w:rsidR="00394EBA" w:rsidRPr="004756D6" w:rsidRDefault="00394EBA" w:rsidP="000F4E97">
                      <w:pPr>
                        <w:jc w:val="center"/>
                        <w:rPr>
                          <w:b/>
                        </w:rPr>
                      </w:pPr>
                      <w:r w:rsidRPr="004756D6">
                        <w:rPr>
                          <w:b/>
                        </w:rPr>
                        <w:t>Key findings</w:t>
                      </w:r>
                    </w:p>
                    <w:p w:rsidR="00394EBA" w:rsidRPr="004756D6" w:rsidRDefault="00394EBA" w:rsidP="000F4E97">
                      <w:pPr>
                        <w:jc w:val="center"/>
                        <w:rPr>
                          <w:b/>
                        </w:rPr>
                      </w:pPr>
                    </w:p>
                    <w:p w:rsidR="00394EBA" w:rsidRPr="004756D6" w:rsidRDefault="00394EBA" w:rsidP="00F90C88">
                      <w:pPr>
                        <w:pStyle w:val="BodyText"/>
                        <w:numPr>
                          <w:ilvl w:val="0"/>
                          <w:numId w:val="32"/>
                        </w:numPr>
                        <w:spacing w:line="288" w:lineRule="auto"/>
                        <w:ind w:left="426"/>
                        <w:rPr>
                          <w:rFonts w:cs="Arial"/>
                          <w:szCs w:val="20"/>
                        </w:rPr>
                      </w:pPr>
                      <w:r w:rsidRPr="004756D6">
                        <w:t>Looking at changes over the life-course</w:t>
                      </w:r>
                      <w:r>
                        <w:t>,</w:t>
                      </w:r>
                      <w:r w:rsidRPr="004756D6">
                        <w:rPr>
                          <w:rFonts w:cs="Arial"/>
                          <w:szCs w:val="20"/>
                        </w:rPr>
                        <w:t xml:space="preserve"> our results suggest that some types of upper secondary education and training system</w:t>
                      </w:r>
                      <w:r>
                        <w:rPr>
                          <w:rFonts w:cs="Arial"/>
                          <w:szCs w:val="20"/>
                        </w:rPr>
                        <w:t>s</w:t>
                      </w:r>
                      <w:r w:rsidRPr="004756D6">
                        <w:rPr>
                          <w:rFonts w:cs="Arial"/>
                          <w:szCs w:val="20"/>
                        </w:rPr>
                        <w:t xml:space="preserve"> are better at improving or maintaining literacy and numeracy skills than others</w:t>
                      </w:r>
                      <w:r>
                        <w:rPr>
                          <w:rFonts w:cs="Arial"/>
                          <w:szCs w:val="20"/>
                        </w:rPr>
                        <w:t xml:space="preserve">. </w:t>
                      </w:r>
                      <w:r w:rsidRPr="004756D6">
                        <w:rPr>
                          <w:rFonts w:cs="Arial"/>
                          <w:szCs w:val="20"/>
                        </w:rPr>
                        <w:t xml:space="preserve"> Countries with Dual Systems of Apprenticeship and Nordic countries with integrated upper secondary systems show the most gains in literacy and numeracy relative to other countries. By contrast Anglophone countries with mixed systems or North American comprehensive systems </w:t>
                      </w:r>
                      <w:r>
                        <w:rPr>
                          <w:rFonts w:cs="Arial"/>
                          <w:szCs w:val="20"/>
                        </w:rPr>
                        <w:t>appear to be</w:t>
                      </w:r>
                      <w:r w:rsidRPr="004756D6">
                        <w:rPr>
                          <w:rFonts w:cs="Arial"/>
                          <w:szCs w:val="20"/>
                        </w:rPr>
                        <w:t xml:space="preserve"> relatively weak at improving literacy and numeracy skills between the age</w:t>
                      </w:r>
                      <w:r>
                        <w:rPr>
                          <w:rFonts w:cs="Arial"/>
                          <w:szCs w:val="20"/>
                        </w:rPr>
                        <w:t>s</w:t>
                      </w:r>
                      <w:r w:rsidRPr="004756D6">
                        <w:rPr>
                          <w:rFonts w:cs="Arial"/>
                          <w:szCs w:val="20"/>
                        </w:rPr>
                        <w:t xml:space="preserve"> of 15 and 27</w:t>
                      </w:r>
                      <w:r>
                        <w:rPr>
                          <w:rFonts w:cs="Arial"/>
                          <w:szCs w:val="20"/>
                        </w:rPr>
                        <w:t>.</w:t>
                      </w:r>
                      <w:r w:rsidRPr="004756D6">
                        <w:rPr>
                          <w:rFonts w:cs="Arial"/>
                          <w:szCs w:val="20"/>
                        </w:rPr>
                        <w:t xml:space="preserve"> </w:t>
                      </w:r>
                    </w:p>
                    <w:p w:rsidR="00394EBA" w:rsidRPr="004756D6" w:rsidRDefault="00394EBA" w:rsidP="00F90C88">
                      <w:pPr>
                        <w:pStyle w:val="BodyText"/>
                        <w:numPr>
                          <w:ilvl w:val="0"/>
                          <w:numId w:val="32"/>
                        </w:numPr>
                        <w:spacing w:line="288" w:lineRule="auto"/>
                        <w:ind w:left="426"/>
                        <w:rPr>
                          <w:rFonts w:cs="Arial"/>
                          <w:szCs w:val="20"/>
                        </w:rPr>
                      </w:pPr>
                      <w:r w:rsidRPr="004756D6">
                        <w:rPr>
                          <w:rFonts w:cs="Arial"/>
                          <w:szCs w:val="20"/>
                        </w:rPr>
                        <w:t xml:space="preserve">Features of education systems which </w:t>
                      </w:r>
                      <w:r>
                        <w:rPr>
                          <w:rFonts w:cs="Arial"/>
                          <w:szCs w:val="20"/>
                        </w:rPr>
                        <w:t>appear to have a positive link to</w:t>
                      </w:r>
                      <w:r w:rsidRPr="004756D6">
                        <w:rPr>
                          <w:rFonts w:cs="Arial"/>
                          <w:szCs w:val="20"/>
                        </w:rPr>
                        <w:t xml:space="preserve"> improving literacy and numeracy skills between the age of 15 and 27 include: quality and socially prestigious vocational education and more time spen</w:t>
                      </w:r>
                      <w:r>
                        <w:rPr>
                          <w:rFonts w:cs="Arial"/>
                          <w:szCs w:val="20"/>
                        </w:rPr>
                        <w:t>t</w:t>
                      </w:r>
                      <w:r w:rsidRPr="004756D6">
                        <w:rPr>
                          <w:rFonts w:cs="Arial"/>
                          <w:szCs w:val="20"/>
                        </w:rPr>
                        <w:t xml:space="preserve"> learning maths and the national language at upper secondary level.</w:t>
                      </w:r>
                    </w:p>
                    <w:p w:rsidR="00394EBA" w:rsidRPr="000F4E97" w:rsidRDefault="00394EBA" w:rsidP="000F4E97">
                      <w:pPr>
                        <w:spacing w:after="120" w:line="288" w:lineRule="auto"/>
                      </w:pPr>
                    </w:p>
                    <w:p w:rsidR="00394EBA" w:rsidRDefault="00394EBA" w:rsidP="000F4E97">
                      <w:pPr>
                        <w:jc w:val="center"/>
                        <w:rPr>
                          <w:b/>
                        </w:rPr>
                      </w:pPr>
                    </w:p>
                    <w:p w:rsidR="00394EBA" w:rsidRDefault="00394EBA" w:rsidP="000F4E97">
                      <w:pPr>
                        <w:rPr>
                          <w:color w:val="4F81BD" w:themeColor="accent1"/>
                          <w:szCs w:val="20"/>
                        </w:rPr>
                      </w:pPr>
                    </w:p>
                  </w:txbxContent>
                </v:textbox>
                <w10:anchorlock/>
              </v:rect>
            </w:pict>
          </mc:Fallback>
        </mc:AlternateContent>
      </w:r>
    </w:p>
    <w:p w:rsidR="000A6A79" w:rsidRPr="000A6A79" w:rsidRDefault="000A6A79" w:rsidP="00211990">
      <w:pPr>
        <w:pStyle w:val="Heading2"/>
        <w:rPr>
          <w:sz w:val="24"/>
          <w:szCs w:val="24"/>
        </w:rPr>
      </w:pPr>
      <w:bookmarkStart w:id="170" w:name="_Toc435802101"/>
      <w:bookmarkStart w:id="171" w:name="_Toc426636428"/>
      <w:bookmarkStart w:id="172" w:name="_Toc427232507"/>
      <w:r w:rsidRPr="000A6A79">
        <w:t>6.1 Methodology</w:t>
      </w:r>
      <w:bookmarkEnd w:id="170"/>
      <w:r w:rsidRPr="000A6A79">
        <w:t xml:space="preserve"> </w:t>
      </w:r>
    </w:p>
    <w:p w:rsidR="000A6A79" w:rsidRPr="000A6A79" w:rsidRDefault="000A6A79" w:rsidP="000A6A79">
      <w:pPr>
        <w:pStyle w:val="BodyText"/>
        <w:spacing w:line="288" w:lineRule="auto"/>
      </w:pPr>
      <w:r w:rsidRPr="000A6A79">
        <w:t xml:space="preserve">This section explores the effects of different types and characteristics of upper secondary education and training systems on the literacy and numeracy </w:t>
      </w:r>
      <w:r w:rsidR="00DF6A8D">
        <w:t>competence</w:t>
      </w:r>
      <w:r w:rsidRPr="000A6A79">
        <w:t>s of young people in OECD countries during the youth transition phase of the life</w:t>
      </w:r>
      <w:r w:rsidR="00235B71">
        <w:t>-</w:t>
      </w:r>
      <w:r w:rsidRPr="000A6A79">
        <w:t xml:space="preserve">course – that is between the ages of 15 and 27 years. Unlike the analysis </w:t>
      </w:r>
      <w:r w:rsidR="00235B71">
        <w:t>carried out</w:t>
      </w:r>
      <w:r w:rsidR="00235B71" w:rsidRPr="000A6A79">
        <w:t xml:space="preserve"> </w:t>
      </w:r>
      <w:r w:rsidRPr="000A6A79">
        <w:t xml:space="preserve">in Chapter Five, the analysis here is concerned solely with comparisons at the country and system level, using aggregated data. </w:t>
      </w:r>
    </w:p>
    <w:p w:rsidR="000A6A79" w:rsidRPr="000A6A79" w:rsidRDefault="00715788" w:rsidP="000A6A79">
      <w:pPr>
        <w:pStyle w:val="BodyText"/>
        <w:spacing w:line="288" w:lineRule="auto"/>
      </w:pPr>
      <w:r>
        <w:t>Ideally, to explore life-</w:t>
      </w:r>
      <w:r w:rsidR="000A6A79" w:rsidRPr="000A6A79">
        <w:t>course changes in competences across countries we would have comparable longitudinal data for a range countries based on surveys which tested the competences of individuals in a given cohort as they grew older. Unfortunately, such data exists only for a handful of European countries and the surveys from which they derive are not always comparable. In the absence of such data</w:t>
      </w:r>
      <w:r w:rsidR="00235B71">
        <w:t>,</w:t>
      </w:r>
      <w:r w:rsidR="000A6A79" w:rsidRPr="000A6A79">
        <w:t xml:space="preserve"> previous research has relied on cross-sectional time series data on </w:t>
      </w:r>
      <w:r w:rsidR="00DF6A8D">
        <w:t>competence</w:t>
      </w:r>
      <w:r w:rsidR="000A6A79" w:rsidRPr="000A6A79">
        <w:t>s and education system characteristics from international surveys such as PIRLS, TIMSS and PISA. This data allows us to compare across countries the average levels and distributions of literacy and numeracy competences at particular points in time</w:t>
      </w:r>
      <w:r w:rsidR="00235B71">
        <w:t xml:space="preserve">, as well as </w:t>
      </w:r>
      <w:r w:rsidR="000A6A79" w:rsidRPr="000A6A79">
        <w:t xml:space="preserve">the trends across countries over time. Because the surveys also contain data on numerous indicators relating to </w:t>
      </w:r>
      <w:r w:rsidR="00235B71">
        <w:t>national</w:t>
      </w:r>
      <w:r w:rsidR="00235B71" w:rsidRPr="000A6A79">
        <w:t xml:space="preserve"> </w:t>
      </w:r>
      <w:r w:rsidR="000A6A79" w:rsidRPr="000A6A79">
        <w:t>education system characteristics</w:t>
      </w:r>
      <w:r w:rsidR="00235B71">
        <w:t>,</w:t>
      </w:r>
      <w:r w:rsidR="000A6A79" w:rsidRPr="000A6A79">
        <w:t xml:space="preserve"> we can analyse the relationships between these characteristics and the patterns of variation in literacy and numeracy competence across countries. </w:t>
      </w:r>
    </w:p>
    <w:p w:rsidR="000A6A79" w:rsidRDefault="000A6A79" w:rsidP="000A6A79">
      <w:pPr>
        <w:pStyle w:val="BodyText"/>
        <w:spacing w:line="288" w:lineRule="auto"/>
      </w:pPr>
      <w:r w:rsidRPr="000A6A79">
        <w:t xml:space="preserve">However, such analyses cannot say much about the contribution of different phases of education and training to </w:t>
      </w:r>
      <w:r w:rsidR="00235B71">
        <w:t xml:space="preserve">the </w:t>
      </w:r>
      <w:r w:rsidRPr="000A6A79">
        <w:t>acquisition</w:t>
      </w:r>
      <w:r w:rsidR="00235B71">
        <w:t xml:space="preserve"> of competences</w:t>
      </w:r>
      <w:r w:rsidRPr="000A6A79">
        <w:t xml:space="preserve">. </w:t>
      </w:r>
      <w:r w:rsidR="00235B71">
        <w:t>F</w:t>
      </w:r>
      <w:r w:rsidR="00235B71" w:rsidRPr="000A6A79">
        <w:t>or instance</w:t>
      </w:r>
      <w:r w:rsidR="00235B71">
        <w:t>, i</w:t>
      </w:r>
      <w:r w:rsidRPr="000A6A79">
        <w:t xml:space="preserve">n the case of studies based solely on the PISA data for 15 year olds, it is only possible to compare across countries the levels of </w:t>
      </w:r>
      <w:r w:rsidR="00235B71">
        <w:t>competence</w:t>
      </w:r>
      <w:r w:rsidR="00235B71" w:rsidRPr="000A6A79">
        <w:t xml:space="preserve"> </w:t>
      </w:r>
      <w:r w:rsidRPr="000A6A79">
        <w:t xml:space="preserve">accumulated by individuals during the first 15 years of life; not the </w:t>
      </w:r>
      <w:r w:rsidR="00235B71">
        <w:t>competence</w:t>
      </w:r>
      <w:r w:rsidR="00235B71" w:rsidRPr="000A6A79">
        <w:t xml:space="preserve">s </w:t>
      </w:r>
      <w:r w:rsidRPr="000A6A79">
        <w:t>acquired during a particular phase of education. Just a few studies have used international test data on students at different ages from different surveys (for instance PIRLS for students aged about 9 years and PISA for students aged about 15) and conducted  difference-in-difference analyses to assess the changes in levels and distributions of scores between these ages acro</w:t>
      </w:r>
      <w:r w:rsidR="009F6EA3">
        <w:t>ss countries (e.g. Hanushek/</w:t>
      </w:r>
      <w:r w:rsidRPr="000A6A79">
        <w:t xml:space="preserve">Woessmann 2010). Here we seek to apply a similar methodology using the OECD PISA and PIAAC datasets to explore the changes in literacy and numeracy </w:t>
      </w:r>
      <w:r w:rsidR="00DF6A8D">
        <w:t>competence</w:t>
      </w:r>
      <w:r w:rsidRPr="000A6A79">
        <w:t xml:space="preserve">s levels between the ages of 15 and 27 years across countries. </w:t>
      </w:r>
    </w:p>
    <w:p w:rsidR="000A6A79" w:rsidRPr="000A6A79" w:rsidRDefault="000A6A79" w:rsidP="000A6A79">
      <w:pPr>
        <w:pStyle w:val="Heading3"/>
      </w:pPr>
      <w:bookmarkStart w:id="173" w:name="_Toc435620184"/>
      <w:bookmarkStart w:id="174" w:name="_Toc435802102"/>
      <w:r>
        <w:t>6.1.1 Assumptions</w:t>
      </w:r>
      <w:bookmarkEnd w:id="173"/>
      <w:bookmarkEnd w:id="174"/>
    </w:p>
    <w:p w:rsidR="000A6A79" w:rsidRDefault="000A6A79" w:rsidP="000A6A79">
      <w:pPr>
        <w:pStyle w:val="BodyText"/>
        <w:spacing w:line="288" w:lineRule="auto"/>
      </w:pPr>
      <w:r w:rsidRPr="000A6A79">
        <w:t xml:space="preserve">The analysis assumes that most of the change in </w:t>
      </w:r>
      <w:r w:rsidR="00A9744A">
        <w:t>competence</w:t>
      </w:r>
      <w:r w:rsidR="00A9744A" w:rsidRPr="000A6A79">
        <w:t xml:space="preserve"> </w:t>
      </w:r>
      <w:r w:rsidRPr="000A6A79">
        <w:t xml:space="preserve">levels between ages 15 and 27 is attributable to formal education (rather than informal learning) and that the learning which most affects the </w:t>
      </w:r>
      <w:r w:rsidR="00A9744A">
        <w:t>competences</w:t>
      </w:r>
      <w:r w:rsidR="00A9744A" w:rsidRPr="000A6A79">
        <w:t xml:space="preserve"> </w:t>
      </w:r>
      <w:r w:rsidRPr="000A6A79">
        <w:t xml:space="preserve">measured by the PIAAC survey takes place in upper secondary education and training rather than higher education. The justification for the latter assumption is that in most countries the majority still </w:t>
      </w:r>
      <w:r w:rsidR="00A9744A">
        <w:t xml:space="preserve">do </w:t>
      </w:r>
      <w:r w:rsidRPr="000A6A79">
        <w:t>not attend higher education and that</w:t>
      </w:r>
      <w:r w:rsidR="003D1E79">
        <w:t>,</w:t>
      </w:r>
      <w:r w:rsidRPr="000A6A79">
        <w:t xml:space="preserve"> for those who do attend</w:t>
      </w:r>
      <w:r w:rsidR="003D1E79">
        <w:t>,</w:t>
      </w:r>
      <w:r w:rsidRPr="000A6A79">
        <w:t xml:space="preserve"> the experience may not be adding substantially to the literacy and numeracy competences measured in PIAAC. </w:t>
      </w:r>
    </w:p>
    <w:p w:rsidR="000A6A79" w:rsidRPr="000A6A79" w:rsidRDefault="000A6A79" w:rsidP="000A6A79">
      <w:pPr>
        <w:pStyle w:val="BodyText"/>
        <w:spacing w:line="288" w:lineRule="auto"/>
      </w:pPr>
      <w:r w:rsidRPr="000A6A79">
        <w:t xml:space="preserve">As we saw in </w:t>
      </w:r>
      <w:r>
        <w:t>Chapter Five</w:t>
      </w:r>
      <w:r w:rsidR="003D1E79">
        <w:t>,</w:t>
      </w:r>
      <w:r w:rsidRPr="000A6A79">
        <w:t xml:space="preserve"> the difference in mean </w:t>
      </w:r>
      <w:r w:rsidR="00DF6A8D">
        <w:t>competence</w:t>
      </w:r>
      <w:r w:rsidRPr="000A6A79">
        <w:t xml:space="preserve">s between those with </w:t>
      </w:r>
      <w:r w:rsidR="003C2FF8">
        <w:t>tertiary level education</w:t>
      </w:r>
      <w:r w:rsidRPr="000A6A79">
        <w:t xml:space="preserve"> and those with </w:t>
      </w:r>
      <w:r w:rsidR="003D1E79">
        <w:t xml:space="preserve">a </w:t>
      </w:r>
      <w:r w:rsidRPr="000A6A79">
        <w:t xml:space="preserve">highest qualification at </w:t>
      </w:r>
      <w:r w:rsidR="003C2FF8">
        <w:t>upper secondary/post-secondary non-tertiary level</w:t>
      </w:r>
      <w:r w:rsidRPr="000A6A79">
        <w:t xml:space="preserve"> is considerably smaller than the gap between </w:t>
      </w:r>
      <w:r w:rsidR="003D1E79" w:rsidRPr="000A6A79">
        <w:t xml:space="preserve">those with </w:t>
      </w:r>
      <w:r w:rsidR="003D1E79">
        <w:t xml:space="preserve">a </w:t>
      </w:r>
      <w:r w:rsidR="003C2FF8">
        <w:t>upper secondary/post secondary non-tertiary degree</w:t>
      </w:r>
      <w:r w:rsidR="003D1E79" w:rsidRPr="000A6A79">
        <w:t xml:space="preserve"> </w:t>
      </w:r>
      <w:r w:rsidRPr="000A6A79">
        <w:t xml:space="preserve">and those with highest qualifications at lower secondary level </w:t>
      </w:r>
      <w:r w:rsidR="00C86953">
        <w:t>or below. S</w:t>
      </w:r>
      <w:r w:rsidR="003C2FF8">
        <w:t>ome</w:t>
      </w:r>
      <w:r w:rsidR="003C2FF8" w:rsidRPr="000A6A79">
        <w:t xml:space="preserve"> </w:t>
      </w:r>
      <w:r w:rsidRPr="000A6A79">
        <w:t xml:space="preserve">of the gap between those with </w:t>
      </w:r>
      <w:r w:rsidR="003D1E79">
        <w:t xml:space="preserve">a </w:t>
      </w:r>
      <w:r w:rsidRPr="000A6A79">
        <w:t xml:space="preserve">highest qualification at upper secondary level and those qualified to degree level </w:t>
      </w:r>
      <w:r w:rsidR="003D1E79">
        <w:t>can be explained by</w:t>
      </w:r>
      <w:r w:rsidRPr="000A6A79">
        <w:t xml:space="preserve"> selection effects (as shown in Chapter Five). In most countries </w:t>
      </w:r>
      <w:r w:rsidR="003D1E79">
        <w:t>today,</w:t>
      </w:r>
      <w:r w:rsidR="003D1E79" w:rsidRPr="000A6A79">
        <w:t xml:space="preserve"> </w:t>
      </w:r>
      <w:r w:rsidR="003D1E79">
        <w:t>the majority</w:t>
      </w:r>
      <w:r w:rsidR="003D1E79" w:rsidRPr="000A6A79">
        <w:t xml:space="preserve"> </w:t>
      </w:r>
      <w:r w:rsidRPr="000A6A79">
        <w:t xml:space="preserve">of those qualifying </w:t>
      </w:r>
      <w:r w:rsidR="003C2FF8">
        <w:t>with upper secondary education</w:t>
      </w:r>
      <w:r w:rsidRPr="000A6A79">
        <w:t xml:space="preserve"> go on to higher education, and those who don’t are likely to be the least skilled amongst upper secondary graduates. </w:t>
      </w:r>
    </w:p>
    <w:p w:rsidR="000A6A79" w:rsidRPr="000A6A79" w:rsidRDefault="000A6A79" w:rsidP="000A6A79">
      <w:pPr>
        <w:pStyle w:val="Heading3"/>
      </w:pPr>
      <w:bookmarkStart w:id="175" w:name="_Toc432873784"/>
      <w:bookmarkStart w:id="176" w:name="_Toc427154781"/>
      <w:bookmarkStart w:id="177" w:name="_Toc427232508"/>
      <w:bookmarkStart w:id="178" w:name="_Toc435620185"/>
      <w:bookmarkStart w:id="179" w:name="_Toc435802103"/>
      <w:r>
        <w:t>6.1.2</w:t>
      </w:r>
      <w:r w:rsidRPr="000A6A79">
        <w:t xml:space="preserve"> </w:t>
      </w:r>
      <w:bookmarkEnd w:id="175"/>
      <w:bookmarkEnd w:id="176"/>
      <w:bookmarkEnd w:id="177"/>
      <w:r w:rsidR="0003048B" w:rsidRPr="000A6A79">
        <w:t>Com</w:t>
      </w:r>
      <w:r w:rsidR="0003048B">
        <w:t>parability of</w:t>
      </w:r>
      <w:r w:rsidR="0003048B" w:rsidRPr="000A6A79">
        <w:t xml:space="preserve"> </w:t>
      </w:r>
      <w:r w:rsidRPr="000A6A79">
        <w:t>PISA and PIAAC data</w:t>
      </w:r>
      <w:bookmarkEnd w:id="178"/>
      <w:bookmarkEnd w:id="179"/>
    </w:p>
    <w:p w:rsidR="000A6A79" w:rsidRPr="001E31D3" w:rsidRDefault="000A6A79" w:rsidP="000A6A79">
      <w:pPr>
        <w:pStyle w:val="BodyText"/>
        <w:spacing w:line="288" w:lineRule="auto"/>
        <w:rPr>
          <w:rFonts w:eastAsia="Batang"/>
        </w:rPr>
      </w:pPr>
      <w:r w:rsidRPr="001E31D3">
        <w:rPr>
          <w:rFonts w:eastAsia="Batang"/>
        </w:rPr>
        <w:t xml:space="preserve">To analyse changes in mean competences over this phase, we use a pseudo-cohort derived from the 15 year old sample in PISA 2000 and the 25-29 year old sample in PIAAC (2011/12), who are roughly at the age that the PISA sample would have been 11/12 years later. Because of the difficulties of comparing scores in differently designed tests, we compare across countries the relative changes in mean scores rather than absolute changes. </w:t>
      </w:r>
      <w:r w:rsidRPr="001E31D3">
        <w:rPr>
          <w:b/>
          <w:color w:val="1F497D" w:themeColor="text2"/>
        </w:rPr>
        <w:t xml:space="preserve">In this analysis, we include OECD countries beyond the EU Member States. </w:t>
      </w:r>
      <w:r w:rsidRPr="001E31D3">
        <w:t>This is crucial to generate meaningful results in a context where we have only a limited numbers of countries available and therefore limited degrees of freedom of our analysis</w:t>
      </w:r>
      <w:r w:rsidRPr="001E31D3">
        <w:rPr>
          <w:rFonts w:eastAsia="Batang"/>
          <w:w w:val="110"/>
        </w:rPr>
        <w:t xml:space="preserve">. </w:t>
      </w:r>
      <w:r w:rsidRPr="001E31D3">
        <w:t xml:space="preserve">Australia is not included in the analysis since its data </w:t>
      </w:r>
      <w:r w:rsidR="003D1E79" w:rsidRPr="001E31D3">
        <w:t>is</w:t>
      </w:r>
      <w:r w:rsidRPr="001E31D3">
        <w:t xml:space="preserve"> not publicly available.</w:t>
      </w:r>
    </w:p>
    <w:p w:rsidR="000A6A79" w:rsidRPr="001E31D3" w:rsidRDefault="000A6A79" w:rsidP="000A6A79">
      <w:pPr>
        <w:pStyle w:val="BodyText"/>
        <w:spacing w:line="288" w:lineRule="auto"/>
        <w:rPr>
          <w:rFonts w:eastAsia="Batang"/>
          <w:w w:val="110"/>
        </w:rPr>
      </w:pPr>
      <w:r w:rsidRPr="001E31D3">
        <w:t xml:space="preserve">PIAAC and PISA draw on similar underlying constructs of literacy and numeracy competence and both assess the ability to apply literacy and numeracy </w:t>
      </w:r>
      <w:r w:rsidR="00DF6A8D" w:rsidRPr="001E31D3">
        <w:t>competence</w:t>
      </w:r>
      <w:r w:rsidRPr="001E31D3">
        <w:t>s in real world contexts. The contexts of questions in the two tests are adjusted to reflect the different life experiences of those aged 15 and adults. However, there is still a considerable overlap in the contexts of the question</w:t>
      </w:r>
      <w:r w:rsidR="003D1E79" w:rsidRPr="001E31D3">
        <w:t>s</w:t>
      </w:r>
      <w:r w:rsidRPr="001E31D3">
        <w:t xml:space="preserve"> acro</w:t>
      </w:r>
      <w:r w:rsidR="009F6EA3">
        <w:t>ss the two surveys (see Gal/</w:t>
      </w:r>
      <w:r w:rsidRPr="001E31D3">
        <w:t>Tout 2014). They are both large surveys using nationally representative samples derived from standardised stratified sampling. Both surveys use a battery of questions of different levels of complexity and compute scores based on the principles of item response theory in order to take into account both the number of correct answers and the difficulty of the items. The proportion of less complex questions tends to be hig</w:t>
      </w:r>
      <w:r w:rsidR="009F6EA3">
        <w:t>her in PIAAC than PISA (Gal/</w:t>
      </w:r>
      <w:r w:rsidRPr="001E31D3">
        <w:t>Tout 2014), just as PISA tests conducted in different countries include varying proportions of more or less complex questions, but the scoring system in theory takes this into account. PIAAC relies somewhat less than PISA on the explicit use of the terminology and procedures of formal mathematics, since adults are more removed from the learning of the latter, but both are testing the ability to solve similar real world problems</w:t>
      </w:r>
      <w:r w:rsidRPr="001E31D3">
        <w:rPr>
          <w:rFonts w:eastAsia="Batang"/>
          <w:w w:val="110"/>
        </w:rPr>
        <w:t xml:space="preserve">.   </w:t>
      </w:r>
    </w:p>
    <w:p w:rsidR="000A6A79" w:rsidRPr="001E31D3" w:rsidRDefault="000A6A79" w:rsidP="000A6A79">
      <w:pPr>
        <w:pStyle w:val="BodyText"/>
        <w:spacing w:line="288" w:lineRule="auto"/>
      </w:pPr>
      <w:r w:rsidRPr="001E31D3">
        <w:t>Given these underlying similarities in the tests, how far can their results be compared across countries? One view is that international surveys of achievement are often testing similar underlying competences and are thus comparable even when they have different design features (R</w:t>
      </w:r>
      <w:r w:rsidR="009F6EA3">
        <w:t>indermann H. 2007, Hanushek/</w:t>
      </w:r>
      <w:r w:rsidRPr="001E31D3">
        <w:t>W</w:t>
      </w:r>
      <w:r w:rsidR="009F6EA3">
        <w:t>oessmann 2006). As Hanushek  and Woessmann write, even “</w:t>
      </w:r>
      <w:r w:rsidRPr="001E31D3">
        <w:t>(t)ests with very different foci and perspectives tend to be highly related, suggesting that they are measuring a common dime</w:t>
      </w:r>
      <w:r w:rsidR="00715788">
        <w:t>nsion of skills.” (Hanushek/</w:t>
      </w:r>
      <w:r w:rsidRPr="001E31D3">
        <w:t xml:space="preserve">Woessmann 2010: 9). It is interesting to note the very high level of correlation across countries between the results of a range of tests with significantly different designs, including the more curriculum-based TIMSS surveys and PISA tests with their focus on real-world application of knowledge and </w:t>
      </w:r>
      <w:r w:rsidR="00DF6A8D" w:rsidRPr="001E31D3">
        <w:t>competence</w:t>
      </w:r>
      <w:r w:rsidRPr="001E31D3">
        <w:t>s. For instance, the correlation coefficients between the results TIMSS 2003 tests of 8</w:t>
      </w:r>
      <w:r w:rsidRPr="001E31D3">
        <w:rPr>
          <w:vertAlign w:val="superscript"/>
        </w:rPr>
        <w:t>th</w:t>
      </w:r>
      <w:r w:rsidRPr="001E31D3">
        <w:t xml:space="preserve"> graders and the PISA 2003 tests of 15 year olds across 19 countries participating in both are 0.97 in maths/numeracy a</w:t>
      </w:r>
      <w:r w:rsidR="009F6EA3">
        <w:t>nd 0.97 in science (Hanushek/</w:t>
      </w:r>
      <w:r w:rsidRPr="001E31D3">
        <w:t xml:space="preserve"> Woessmann 2010)</w:t>
      </w:r>
      <w:r w:rsidR="003D1E79" w:rsidRPr="001E31D3">
        <w:rPr>
          <w:rStyle w:val="FootnoteReference"/>
          <w:szCs w:val="20"/>
        </w:rPr>
        <w:footnoteReference w:id="23"/>
      </w:r>
      <w:r w:rsidRPr="001E31D3">
        <w:t>. There is also a high correlation at the country level between the curriculum-based student tests of TIMSS and the practical literacy adult examinat</w:t>
      </w:r>
      <w:r w:rsidR="009F6EA3">
        <w:t>ions of IALS (Hanushek/</w:t>
      </w:r>
      <w:r w:rsidRPr="001E31D3">
        <w:t xml:space="preserve">Zhang 2009). Some studies indeed make use of a variety of international surveys of different age groups (such as PIRLS and TIMSS) to analyse cross-country variation in changes in </w:t>
      </w:r>
      <w:r w:rsidR="00DF6A8D" w:rsidRPr="001E31D3">
        <w:t>competence</w:t>
      </w:r>
      <w:r w:rsidRPr="001E31D3">
        <w:t>s levels and skills inequality between primary and secondary education (e.g.</w:t>
      </w:r>
      <w:r w:rsidR="009F6EA3">
        <w:t xml:space="preserve"> Annermuller 2005; Hanushek/</w:t>
      </w:r>
      <w:r w:rsidRPr="001E31D3">
        <w:t>Woess</w:t>
      </w:r>
      <w:r w:rsidR="009F6EA3">
        <w:t>mann 2006; Van de Werfhorst/</w:t>
      </w:r>
      <w:r w:rsidRPr="001E31D3">
        <w:t xml:space="preserve">Mifs 2010). On this basis it should also be possible to make meaningful comparisons across countries between results in PISA and PIAAC. </w:t>
      </w:r>
    </w:p>
    <w:p w:rsidR="000A6A79" w:rsidRPr="001E31D3" w:rsidRDefault="000A6A79" w:rsidP="000A6A79">
      <w:pPr>
        <w:pStyle w:val="BodyText"/>
        <w:spacing w:line="288" w:lineRule="auto"/>
      </w:pPr>
      <w:r w:rsidRPr="001E31D3">
        <w:t xml:space="preserve">However, there are important differences between the assessment and reporting methods in PIAAC and PISA tests which need to be taken into account. PISA is a school and classroom based assessment which uses pencil and paper responses, whereas PIAAC is a household survey where responses are predominantly computer-based. The range of response formats in the PISA tests is also wider than is possible with the computer based PIAAC tests. The mode of reporting results is also different in the two tests. PISA </w:t>
      </w:r>
      <w:r w:rsidR="0003048B" w:rsidRPr="001E31D3">
        <w:t xml:space="preserve">uses </w:t>
      </w:r>
      <w:r w:rsidRPr="001E31D3">
        <w:t>six different levels and scores are on a scale of 200-800. PIAAC employs five levels and is scored on a scale from 0-500. According to Gal and Tout’s study of the comparability of the two tests (2014), such differences mean that ‘…a comparison of reported results from PISA and PIAAC has to be done</w:t>
      </w:r>
      <w:r w:rsidR="009F6EA3">
        <w:t xml:space="preserve"> with much caution...’ (Gal/</w:t>
      </w:r>
      <w:r w:rsidRPr="001E31D3">
        <w:t>Tout 2014</w:t>
      </w:r>
      <w:r w:rsidR="0003048B" w:rsidRPr="001E31D3">
        <w:t>:</w:t>
      </w:r>
      <w:r w:rsidRPr="001E31D3">
        <w:t xml:space="preserve"> 26). They also note that the sample size for a single year group in PIAAC would be too small for a reliable analysis of the distribution of scores. </w:t>
      </w:r>
    </w:p>
    <w:p w:rsidR="000A6A79" w:rsidRPr="001E31D3" w:rsidRDefault="000A6A79" w:rsidP="000A6A79">
      <w:pPr>
        <w:pStyle w:val="BodyText"/>
        <w:spacing w:line="288" w:lineRule="auto"/>
      </w:pPr>
      <w:r w:rsidRPr="001E31D3">
        <w:t xml:space="preserve">In this analysis we err on the side of caution. Firstly, in order to increase our PIAAC sample size to an acceptable level, we take the five-year 25-29 age range in PIAAC to proxy for the 27 year olds in our pseudo cohort. Secondly, we avoid comparisons based on absolute differences in mean scores between the two tests. Instead we rank order the countries by average competence levels for each test and then compare the changes in rank order position for each country between the two tests representing achievements at 15 and 27 years respectively. Thirdly, score distributions are divided into five quintiles so as not to overstate the significance of small differences in average scores. The changes in rank order position are measured in terms of changes in quintile positions. So, for instance, if country A scores in literacy in the lowest quintile of country scores (position 1) in PISA and in the top quintile (position 5) in the PIAAC survey, we say that the change between the two relative to other countries is + 4. Obversely, if a country B scores in the highest quintile in PISA and the lowest in PIAAC we say that the change relative to other countries between the two tests is – 4.  Whilst we cannot say for sure that the average score in literacy for country A is higher amongst 27 year olds in 2011 than it was amongst 15 year olds in 2000, we can say that country A improved its rank order position relative to Country B as the 15 year old cohort in 2000 reached 27 years in 2011. Given that the tests are measuring similar things, we can say that Country A is doing better than country B in increasing or maintaining literacy competence amongst young people during this phase of the life course. Using the data we have on the different system types and system characteristics of upper secondary education and training in the different countries, we can then use a </w:t>
      </w:r>
      <w:r w:rsidR="0003048B" w:rsidRPr="001E31D3">
        <w:t>d</w:t>
      </w:r>
      <w:r w:rsidRPr="001E31D3">
        <w:t>ifference-in-</w:t>
      </w:r>
      <w:r w:rsidR="0003048B" w:rsidRPr="001E31D3">
        <w:t>d</w:t>
      </w:r>
      <w:r w:rsidRPr="001E31D3">
        <w:t>ifference approach to explore the impact of these on relative changes in rank order position for literacy and numeracy during the life</w:t>
      </w:r>
      <w:r w:rsidR="0003048B" w:rsidRPr="001E31D3">
        <w:t>-</w:t>
      </w:r>
      <w:r w:rsidRPr="001E31D3">
        <w:t>course</w:t>
      </w:r>
      <w:r w:rsidRPr="001E31D3">
        <w:rPr>
          <w:rFonts w:eastAsia="Batang"/>
          <w:w w:val="110"/>
        </w:rPr>
        <w:t>.</w:t>
      </w:r>
    </w:p>
    <w:p w:rsidR="000A6A79" w:rsidRPr="000A6A79" w:rsidRDefault="000A6A79" w:rsidP="000A6A79">
      <w:pPr>
        <w:pStyle w:val="Heading3"/>
        <w:jc w:val="left"/>
      </w:pPr>
      <w:bookmarkStart w:id="180" w:name="_Toc432873785"/>
      <w:bookmarkStart w:id="181" w:name="_Toc427069146"/>
      <w:bookmarkStart w:id="182" w:name="_Toc427154782"/>
      <w:bookmarkStart w:id="183" w:name="_Toc427232509"/>
      <w:bookmarkStart w:id="184" w:name="_Toc435620186"/>
      <w:bookmarkStart w:id="185" w:name="_Toc435802104"/>
      <w:r>
        <w:t>6.1.3</w:t>
      </w:r>
      <w:r w:rsidRPr="000A6A79">
        <w:t xml:space="preserve"> The longitudinal approach and the </w:t>
      </w:r>
      <w:bookmarkEnd w:id="180"/>
      <w:bookmarkEnd w:id="181"/>
      <w:bookmarkEnd w:id="182"/>
      <w:bookmarkEnd w:id="183"/>
      <w:r>
        <w:t xml:space="preserve">DID </w:t>
      </w:r>
      <w:r w:rsidRPr="000A6A79">
        <w:t>methodology</w:t>
      </w:r>
      <w:bookmarkEnd w:id="184"/>
      <w:bookmarkEnd w:id="185"/>
    </w:p>
    <w:p w:rsidR="000A6A79" w:rsidRDefault="000A6A79" w:rsidP="000A6A79">
      <w:pPr>
        <w:pStyle w:val="BodyText"/>
        <w:spacing w:line="288" w:lineRule="auto"/>
      </w:pPr>
      <w:r w:rsidRPr="000A6A79">
        <w:t xml:space="preserve">To address these questions empirically, this section analyses the cross-country variation in changes in </w:t>
      </w:r>
      <w:r w:rsidR="0003048B">
        <w:t>competence</w:t>
      </w:r>
      <w:r w:rsidR="0003048B" w:rsidRPr="000A6A79">
        <w:t xml:space="preserve"> </w:t>
      </w:r>
      <w:r w:rsidRPr="000A6A79">
        <w:t>proficiency/levels between 15 and 27 years of age in relation to the differences in post lower secondary provision across countries, both in terms of the different system types and the individual characteristics of systems. The use of data</w:t>
      </w:r>
      <w:r w:rsidR="0003048B">
        <w:t xml:space="preserve"> on competences</w:t>
      </w:r>
      <w:r w:rsidRPr="000A6A79">
        <w:t xml:space="preserve"> at different points in time enables us to define country profiles of </w:t>
      </w:r>
      <w:r w:rsidR="00C85123">
        <w:t>competence</w:t>
      </w:r>
      <w:r w:rsidR="00C85123" w:rsidRPr="000A6A79">
        <w:t xml:space="preserve"> </w:t>
      </w:r>
      <w:r w:rsidRPr="000A6A79">
        <w:t xml:space="preserve">development over the life course. This longitudinal design has the advantage of controlling the initial level of </w:t>
      </w:r>
      <w:r w:rsidR="00C85123">
        <w:t>competence</w:t>
      </w:r>
      <w:r w:rsidR="00C85123" w:rsidRPr="000A6A79">
        <w:t xml:space="preserve">s </w:t>
      </w:r>
      <w:r w:rsidRPr="000A6A79">
        <w:t xml:space="preserve">at age 15, which means that our results regarding the effect of upper secondary education characteristics are not confounded by the fact that countries have low or high levels of </w:t>
      </w:r>
      <w:r w:rsidR="00C85123">
        <w:t>competence</w:t>
      </w:r>
      <w:r w:rsidR="00C85123" w:rsidRPr="000A6A79">
        <w:t xml:space="preserve">s </w:t>
      </w:r>
      <w:r w:rsidRPr="000A6A79">
        <w:t xml:space="preserve">to start with. Apart from the longitudinal variation, we exploit the country variation in </w:t>
      </w:r>
      <w:r w:rsidR="00C85123">
        <w:t>competence</w:t>
      </w:r>
      <w:r w:rsidR="00C85123" w:rsidRPr="000A6A79">
        <w:t>s</w:t>
      </w:r>
      <w:r w:rsidRPr="000A6A79">
        <w:t>. Some countries improve (or deteriorate) more than others between the age</w:t>
      </w:r>
      <w:r w:rsidR="00C85123">
        <w:t>s</w:t>
      </w:r>
      <w:r w:rsidRPr="000A6A79">
        <w:t xml:space="preserve"> of 15 and 27 in terms of </w:t>
      </w:r>
      <w:r w:rsidR="00C85123">
        <w:t>competence</w:t>
      </w:r>
      <w:r w:rsidR="00C85123" w:rsidRPr="000A6A79">
        <w:t xml:space="preserve"> </w:t>
      </w:r>
      <w:r w:rsidRPr="000A6A79">
        <w:t>level</w:t>
      </w:r>
      <w:r w:rsidR="00C85123">
        <w:t>s</w:t>
      </w:r>
      <w:r w:rsidRPr="000A6A79">
        <w:t xml:space="preserve"> and the objective of the analysis is to quantify the effect of the upper secondary education and tertiary education characteristics in accounting for this country variation in </w:t>
      </w:r>
      <w:r w:rsidR="00C85123">
        <w:t>competence</w:t>
      </w:r>
      <w:r w:rsidR="00C85123" w:rsidRPr="000A6A79">
        <w:t xml:space="preserve"> </w:t>
      </w:r>
      <w:r w:rsidRPr="000A6A79">
        <w:t>development over the life-course. We use a differences-in-difference (DID) strategy to quantify the effects of those character</w:t>
      </w:r>
      <w:r w:rsidR="009F6EA3">
        <w:t>istics (Hanushek/</w:t>
      </w:r>
      <w:r>
        <w:t xml:space="preserve">Woessmann </w:t>
      </w:r>
      <w:r w:rsidR="009F6EA3">
        <w:t>2006, Card/</w:t>
      </w:r>
      <w:r w:rsidRPr="000A6A79">
        <w:t>Krueger 1994, 2000). DID is a form of regression analysis that effectively solves the problem that some relevant factor which are specific to each country can be omitted and therefore affect and bias the results</w:t>
      </w:r>
      <w:r w:rsidRPr="000A6A79">
        <w:rPr>
          <w:rStyle w:val="FootnoteReference"/>
        </w:rPr>
        <w:footnoteReference w:id="24"/>
      </w:r>
      <w:r w:rsidR="00715788">
        <w:t>.</w:t>
      </w:r>
    </w:p>
    <w:p w:rsidR="00E62AE7" w:rsidRDefault="00E62AE7" w:rsidP="000A6A79">
      <w:pPr>
        <w:pStyle w:val="BodyText"/>
        <w:spacing w:line="288" w:lineRule="auto"/>
      </w:pPr>
      <w:r w:rsidRPr="00B664E6">
        <w:rPr>
          <w:b/>
          <w:noProof/>
          <w:color w:val="1F497D" w:themeColor="text2"/>
          <w:lang w:val="en-US" w:eastAsia="en-US"/>
        </w:rPr>
        <mc:AlternateContent>
          <mc:Choice Requires="wps">
            <w:drawing>
              <wp:inline distT="0" distB="0" distL="0" distR="0" wp14:anchorId="5CB62A60" wp14:editId="53849BDC">
                <wp:extent cx="5580000" cy="6534150"/>
                <wp:effectExtent l="38100" t="38100" r="135255" b="133350"/>
                <wp:docPr id="35"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6534150"/>
                        </a:xfrm>
                        <a:prstGeom prst="rect">
                          <a:avLst/>
                        </a:prstGeom>
                        <a:solidFill>
                          <a:schemeClr val="bg1">
                            <a:lumMod val="85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E62AE7" w:rsidRDefault="00394EBA" w:rsidP="00E62AE7">
                            <w:pPr>
                              <w:pStyle w:val="BodyText"/>
                              <w:spacing w:line="288" w:lineRule="auto"/>
                              <w:rPr>
                                <w:b/>
                                <w:color w:val="1F497D" w:themeColor="text2"/>
                              </w:rPr>
                            </w:pPr>
                            <w:r w:rsidRPr="00E62AE7">
                              <w:rPr>
                                <w:b/>
                                <w:color w:val="1F497D" w:themeColor="text2"/>
                              </w:rPr>
                              <w:t>The difference-in-difference (DID) estimator</w:t>
                            </w:r>
                          </w:p>
                          <w:p w:rsidR="00394EBA" w:rsidRPr="001E31D3" w:rsidRDefault="00394EBA" w:rsidP="00E62AE7">
                            <w:pPr>
                              <w:pStyle w:val="BodyText"/>
                              <w:spacing w:line="288" w:lineRule="auto"/>
                              <w:rPr>
                                <w:rFonts w:eastAsia="Batang" w:cs="Arial"/>
                                <w:w w:val="110"/>
                                <w:szCs w:val="20"/>
                              </w:rPr>
                            </w:pPr>
                            <w:r w:rsidRPr="001E31D3">
                              <w:t>The DID estimator is defined as the difference in average outcome in the treatment group before and after treatment minus the difference in average outcome in the control group before and after treatment (equation 5). In other terms, it consists in comparing  the over-time  changes in mean scores across countries which have and do not  have  – say – a dual apprenticeship system (or any other explanatory factor),  where  the  countries  without indicate  the expected  outcome in the absence of a Dual System. The impact of the Dual System can then be estimated by comparing the average change in countries with a Dual System to that in countries without a Dual System</w:t>
                            </w:r>
                            <w:r w:rsidRPr="001E31D3">
                              <w:rPr>
                                <w:rFonts w:eastAsia="Batang" w:cs="Arial"/>
                                <w:w w:val="110"/>
                                <w:szCs w:val="20"/>
                              </w:rPr>
                              <w:t>.</w:t>
                            </w:r>
                          </w:p>
                          <w:p w:rsidR="00394EBA" w:rsidRPr="001E31D3" w:rsidRDefault="00394EBA" w:rsidP="00F90C88">
                            <w:pPr>
                              <w:pStyle w:val="ListParagraph"/>
                              <w:numPr>
                                <w:ilvl w:val="0"/>
                                <w:numId w:val="34"/>
                              </w:numPr>
                              <w:autoSpaceDE w:val="0"/>
                              <w:autoSpaceDN w:val="0"/>
                              <w:adjustRightInd w:val="0"/>
                              <w:spacing w:after="120" w:line="288" w:lineRule="auto"/>
                              <w:contextualSpacing/>
                              <w:jc w:val="center"/>
                              <w:rPr>
                                <w:rFonts w:ascii="Cambria Math" w:hAnsi="Cambria Math" w:cs="Cambria Math"/>
                              </w:rPr>
                            </w:pPr>
                            <w:r w:rsidRPr="001E31D3">
                              <w:rPr>
                                <w:rFonts w:ascii="Cambria Math" w:hAnsi="Cambria Math" w:cs="Cambria Math"/>
                              </w:rPr>
                              <w:t>γ = (¯itreat,after − ¯itreat,before ) − (¯icontrol,after − ¯icontrol,before )</w:t>
                            </w:r>
                          </w:p>
                          <w:p w:rsidR="00394EBA" w:rsidRPr="001E31D3" w:rsidRDefault="00394EBA" w:rsidP="00E62AE7">
                            <w:pPr>
                              <w:pStyle w:val="BodyText"/>
                              <w:spacing w:line="288" w:lineRule="auto"/>
                              <w:rPr>
                                <w:rFonts w:eastAsia="Batang"/>
                                <w:w w:val="110"/>
                              </w:rPr>
                            </w:pPr>
                            <w:r w:rsidRPr="001E31D3">
                              <w:t>This is a legitimate  strategy to control  for unobserved  country  level factors under  the  assumption that the  unobserved  country  characteristics do not change  between  the  lower  secondary  and  end  of upper  secondary  school grades.  We implement the DID technique using equation 6, which pools together the skill measures at age 15 and 27 in a regression framework</w:t>
                            </w:r>
                            <w:r w:rsidRPr="001E31D3">
                              <w:rPr>
                                <w:w w:val="110"/>
                                <w:vertAlign w:val="superscript"/>
                              </w:rPr>
                              <w:footnoteRef/>
                            </w:r>
                            <w:r w:rsidRPr="001E31D3">
                              <w:rPr>
                                <w:rFonts w:eastAsia="Batang"/>
                                <w:w w:val="110"/>
                                <w:vertAlign w:val="superscript"/>
                              </w:rPr>
                              <w:t>.</w:t>
                            </w:r>
                            <w:r w:rsidRPr="001E31D3">
                              <w:rPr>
                                <w:rFonts w:eastAsia="Batang"/>
                                <w:w w:val="110"/>
                              </w:rPr>
                              <w:t xml:space="preserve"> </w:t>
                            </w:r>
                          </w:p>
                          <w:p w:rsidR="00394EBA" w:rsidRPr="001E31D3" w:rsidRDefault="00394EBA" w:rsidP="00F90C88">
                            <w:pPr>
                              <w:pStyle w:val="ListParagraph"/>
                              <w:numPr>
                                <w:ilvl w:val="0"/>
                                <w:numId w:val="34"/>
                              </w:numPr>
                              <w:autoSpaceDE w:val="0"/>
                              <w:autoSpaceDN w:val="0"/>
                              <w:adjustRightInd w:val="0"/>
                              <w:spacing w:after="120" w:line="288" w:lineRule="auto"/>
                              <w:contextualSpacing/>
                              <w:jc w:val="center"/>
                              <w:rPr>
                                <w:rFonts w:ascii="Cambria Math" w:hAnsi="Cambria Math" w:cs="Cambria Math"/>
                              </w:rPr>
                            </w:pPr>
                            <m:oMath>
                              <m:r>
                                <m:rPr>
                                  <m:sty m:val="p"/>
                                </m:rPr>
                                <w:rPr>
                                  <w:rFonts w:ascii="Cambria Math" w:hAnsi="Cambria Math" w:cs="Cambria Math"/>
                                </w:rPr>
                                <m:t>Proficiency</m:t>
                              </m:r>
                              <m:sSub>
                                <m:sSubPr>
                                  <m:ctrlPr>
                                    <w:rPr>
                                      <w:rFonts w:ascii="Cambria Math" w:hAnsi="Cambria Math" w:cs="Cambria Math"/>
                                    </w:rPr>
                                  </m:ctrlPr>
                                </m:sSubPr>
                                <m:e>
                                  <m:r>
                                    <m:rPr>
                                      <m:sty m:val="p"/>
                                    </m:rPr>
                                    <w:rPr>
                                      <w:rFonts w:ascii="Cambria Math" w:hAnsi="Cambria Math" w:cs="Cambria Math"/>
                                    </w:rPr>
                                    <m:t xml:space="preserve"> index</m:t>
                                  </m:r>
                                </m:e>
                                <m:sub>
                                  <m:r>
                                    <m:rPr>
                                      <m:sty m:val="p"/>
                                    </m:rPr>
                                    <w:rPr>
                                      <w:rFonts w:ascii="Cambria Math" w:hAnsi="Cambria Math" w:cs="Cambria Math"/>
                                    </w:rPr>
                                    <m:t>pooled</m:t>
                                  </m:r>
                                </m:sub>
                              </m:sSub>
                              <m:r>
                                <m:rPr>
                                  <m:sty m:val="p"/>
                                </m:rPr>
                                <w:rPr>
                                  <w:rFonts w:ascii="Cambria Math" w:hAnsi="Cambria Math" w:cs="Cambria Math"/>
                                </w:rPr>
                                <m:t>=</m:t>
                              </m:r>
                              <m:sSub>
                                <m:sSubPr>
                                  <m:ctrlPr>
                                    <w:rPr>
                                      <w:rFonts w:ascii="Cambria Math" w:hAnsi="Cambria Math" w:cs="Cambria Math"/>
                                    </w:rPr>
                                  </m:ctrlPr>
                                </m:sSubPr>
                                <m:e>
                                  <m:r>
                                    <m:rPr>
                                      <m:sty m:val="p"/>
                                    </m:rPr>
                                    <w:rPr>
                                      <w:rFonts w:ascii="Cambria Math" w:hAnsi="Cambria Math" w:cs="Cambria Math"/>
                                    </w:rPr>
                                    <m:t>β</m:t>
                                  </m:r>
                                </m:e>
                                <m:sub>
                                  <m:r>
                                    <m:rPr>
                                      <m:sty m:val="p"/>
                                    </m:rPr>
                                    <w:rPr>
                                      <w:rFonts w:ascii="Cambria Math" w:hAnsi="Cambria Math" w:cs="Cambria Math"/>
                                    </w:rPr>
                                    <m:t>0</m:t>
                                  </m:r>
                                </m:sub>
                              </m:sSub>
                              <m:r>
                                <m:rPr>
                                  <m:sty m:val="p"/>
                                </m:rPr>
                                <w:rPr>
                                  <w:rFonts w:ascii="Cambria Math" w:hAnsi="Cambria Math" w:cs="Cambria Math"/>
                                </w:rPr>
                                <m:t>+</m:t>
                              </m:r>
                              <m:sSub>
                                <m:sSubPr>
                                  <m:ctrlPr>
                                    <w:rPr>
                                      <w:rFonts w:ascii="Cambria Math" w:hAnsi="Cambria Math" w:cs="Cambria Math"/>
                                    </w:rPr>
                                  </m:ctrlPr>
                                </m:sSubPr>
                                <m:e>
                                  <m:r>
                                    <m:rPr>
                                      <m:sty m:val="p"/>
                                    </m:rPr>
                                    <w:rPr>
                                      <w:rFonts w:ascii="Cambria Math" w:hAnsi="Cambria Math" w:cs="Cambria Math"/>
                                    </w:rPr>
                                    <m:t>γ</m:t>
                                  </m:r>
                                </m:e>
                                <m:sub>
                                  <m:r>
                                    <m:rPr>
                                      <m:sty m:val="p"/>
                                    </m:rPr>
                                    <w:rPr>
                                      <w:rFonts w:ascii="Cambria Math" w:hAnsi="Cambria Math" w:cs="Cambria Math"/>
                                    </w:rPr>
                                    <m:t>0</m:t>
                                  </m:r>
                                </m:sub>
                              </m:sSub>
                              <m:r>
                                <m:rPr>
                                  <m:sty m:val="p"/>
                                </m:rPr>
                                <w:rPr>
                                  <w:rFonts w:ascii="Cambria Math" w:hAnsi="Cambria Math" w:cs="Cambria Math"/>
                                </w:rPr>
                                <m:t>age27+</m:t>
                              </m:r>
                              <m:sSub>
                                <m:sSubPr>
                                  <m:ctrlPr>
                                    <w:rPr>
                                      <w:rFonts w:ascii="Cambria Math" w:hAnsi="Cambria Math" w:cs="Cambria Math"/>
                                    </w:rPr>
                                  </m:ctrlPr>
                                </m:sSubPr>
                                <m:e>
                                  <m:r>
                                    <m:rPr>
                                      <m:sty m:val="p"/>
                                    </m:rPr>
                                    <w:rPr>
                                      <w:rFonts w:ascii="Cambria Math" w:hAnsi="Cambria Math" w:cs="Cambria Math"/>
                                    </w:rPr>
                                    <m:t>β</m:t>
                                  </m:r>
                                </m:e>
                                <m:sub>
                                  <m:r>
                                    <m:rPr>
                                      <m:sty m:val="p"/>
                                    </m:rPr>
                                    <w:rPr>
                                      <w:rFonts w:ascii="Cambria Math" w:hAnsi="Cambria Math" w:cs="Cambria Math"/>
                                    </w:rPr>
                                    <m:t>1</m:t>
                                  </m:r>
                                </m:sub>
                              </m:sSub>
                              <m:r>
                                <m:rPr>
                                  <m:sty m:val="p"/>
                                </m:rPr>
                                <w:rPr>
                                  <w:rFonts w:ascii="Cambria Math" w:hAnsi="Cambria Math" w:cs="Cambria Math"/>
                                </w:rPr>
                                <m:t>Y+</m:t>
                              </m:r>
                              <m:sSub>
                                <m:sSubPr>
                                  <m:ctrlPr>
                                    <w:rPr>
                                      <w:rFonts w:ascii="Cambria Math" w:hAnsi="Cambria Math" w:cs="Cambria Math"/>
                                    </w:rPr>
                                  </m:ctrlPr>
                                </m:sSubPr>
                                <m:e>
                                  <m:r>
                                    <m:rPr>
                                      <m:sty m:val="p"/>
                                    </m:rPr>
                                    <w:rPr>
                                      <w:rFonts w:ascii="Cambria Math" w:hAnsi="Cambria Math" w:cs="Cambria Math"/>
                                    </w:rPr>
                                    <m:t>γ</m:t>
                                  </m:r>
                                </m:e>
                                <m:sub>
                                  <m:r>
                                    <m:rPr>
                                      <m:sty m:val="p"/>
                                    </m:rPr>
                                    <w:rPr>
                                      <w:rFonts w:ascii="Cambria Math" w:hAnsi="Cambria Math" w:cs="Cambria Math"/>
                                    </w:rPr>
                                    <m:t>1</m:t>
                                  </m:r>
                                </m:sub>
                              </m:sSub>
                              <m:r>
                                <m:rPr>
                                  <m:sty m:val="p"/>
                                </m:rPr>
                                <w:rPr>
                                  <w:rFonts w:ascii="Cambria Math" w:hAnsi="Cambria Math" w:cs="Cambria Math"/>
                                </w:rPr>
                                <m:t>Y.age27+residual</m:t>
                              </m:r>
                            </m:oMath>
                          </w:p>
                          <w:p w:rsidR="00394EBA" w:rsidRPr="001E31D3" w:rsidRDefault="00394EBA" w:rsidP="00E62AE7">
                            <w:pPr>
                              <w:pStyle w:val="FootnoteText"/>
                              <w:spacing w:after="120" w:line="288" w:lineRule="auto"/>
                            </w:pPr>
                            <w:r w:rsidRPr="001E31D3">
                              <w:rPr>
                                <w:szCs w:val="24"/>
                              </w:rPr>
                              <w:t xml:space="preserve">The parameter of interest is the change of position in the rank ordering of countries over the interval, which is captured by </w:t>
                            </w:r>
                            <m:oMath>
                              <m:sSub>
                                <m:sSubPr>
                                  <m:ctrlPr>
                                    <w:rPr>
                                      <w:rFonts w:ascii="Cambria Math" w:hAnsi="Cambria Math"/>
                                      <w:szCs w:val="24"/>
                                    </w:rPr>
                                  </m:ctrlPr>
                                </m:sSubPr>
                                <m:e>
                                  <m:r>
                                    <m:rPr>
                                      <m:sty m:val="p"/>
                                    </m:rPr>
                                    <w:rPr>
                                      <w:rFonts w:ascii="Cambria Math" w:hAnsi="Cambria Math"/>
                                      <w:szCs w:val="24"/>
                                    </w:rPr>
                                    <m:t>γ</m:t>
                                  </m:r>
                                </m:e>
                                <m:sub>
                                  <m:r>
                                    <m:rPr>
                                      <m:sty m:val="p"/>
                                    </m:rPr>
                                    <w:rPr>
                                      <w:rFonts w:ascii="Cambria Math" w:hAnsi="Cambria Math"/>
                                      <w:szCs w:val="24"/>
                                    </w:rPr>
                                    <m:t>1</m:t>
                                  </m:r>
                                </m:sub>
                              </m:sSub>
                            </m:oMath>
                            <w:r w:rsidRPr="001E31D3">
                              <w:rPr>
                                <w:szCs w:val="24"/>
                              </w:rPr>
                              <w:t xml:space="preserve"> in equation 6. </w:t>
                            </w:r>
                            <m:oMath>
                              <m:r>
                                <m:rPr>
                                  <m:sty m:val="p"/>
                                </m:rPr>
                                <w:rPr>
                                  <w:rFonts w:ascii="Cambria Math" w:hAnsi="Cambria Math"/>
                                  <w:szCs w:val="24"/>
                                </w:rPr>
                                <m:t>age27</m:t>
                              </m:r>
                            </m:oMath>
                            <w:r w:rsidRPr="001E31D3">
                              <w:rPr>
                                <w:szCs w:val="24"/>
                              </w:rPr>
                              <w:t xml:space="preserve"> is an indicator set to 0 for the 15 year-old observations and 1 for the 27 year-old observations. As the outcome of interest is the change in proficiency relative to other countries, it should be noted that the interpretation of the effect of each independent factor also assumes a relative connotation. That is, any estimated impact represents the change that would occur to a given country had it introduced a given change in the upper secondary system (along one of the relevant indicators), provided that the other countries do not improve their aggregate proficiency.</w:t>
                            </w:r>
                          </w:p>
                          <w:p w:rsidR="00394EBA" w:rsidRPr="001E31D3" w:rsidRDefault="00394EBA" w:rsidP="00E62AE7">
                            <w:pPr>
                              <w:shd w:val="clear" w:color="auto" w:fill="D9D9D9" w:themeFill="background1" w:themeFillShade="D9"/>
                              <w:rPr>
                                <w:szCs w:val="20"/>
                              </w:rPr>
                            </w:pPr>
                          </w:p>
                        </w:txbxContent>
                      </wps:txbx>
                      <wps:bodyPr rot="0" vert="horz" wrap="square" lIns="274320" tIns="274320" rIns="274320" bIns="274320" anchor="ctr" anchorCtr="0">
                        <a:noAutofit/>
                      </wps:bodyPr>
                    </wps:wsp>
                  </a:graphicData>
                </a:graphic>
              </wp:inline>
            </w:drawing>
          </mc:Choice>
          <mc:Fallback>
            <w:pict>
              <v:rect w14:anchorId="5CB62A60" id="_x0000_s1050" style="width:439.35pt;height:514.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" fillcolor="#d8d8d8 [2732]" strokecolor="gray [1629]" strokeweight="1.5pt">
                <v:shadow on="t" type="perspective" color="black" opacity="26214f" origin="-.5,-.5" offset=".74836mm,.74836mm" matrix="65864f,,,65864f"/>
                <v:textbox inset="21.6pt,21.6pt,21.6pt,21.6pt">
                  <w:txbxContent>
                    <w:p w:rsidR="00394EBA" w:rsidRPr="00E62AE7" w:rsidRDefault="00394EBA" w:rsidP="00E62AE7">
                      <w:pPr>
                        <w:pStyle w:val="BodyText"/>
                        <w:spacing w:line="288" w:lineRule="auto"/>
                        <w:rPr>
                          <w:b/>
                          <w:color w:val="1F497D" w:themeColor="text2"/>
                        </w:rPr>
                      </w:pPr>
                      <w:r w:rsidRPr="00E62AE7">
                        <w:rPr>
                          <w:b/>
                          <w:color w:val="1F497D" w:themeColor="text2"/>
                        </w:rPr>
                        <w:t>The difference-in-difference (DID) estimator</w:t>
                      </w:r>
                    </w:p>
                    <w:p w:rsidR="00394EBA" w:rsidRPr="001E31D3" w:rsidRDefault="00394EBA" w:rsidP="00E62AE7">
                      <w:pPr>
                        <w:pStyle w:val="BodyText"/>
                        <w:spacing w:line="288" w:lineRule="auto"/>
                        <w:rPr>
                          <w:rFonts w:eastAsia="Batang" w:cs="Arial"/>
                          <w:w w:val="110"/>
                          <w:szCs w:val="20"/>
                        </w:rPr>
                      </w:pPr>
                      <w:r w:rsidRPr="001E31D3">
                        <w:t>The DID estimator is defined as the difference in average outcome in the treatment group before and after treatment minus the difference in average outcome in the control group before and after treatment (equation 5). In other terms, it consists in comparing  the over-time  changes in mean scores across countries which have and do not  have  – say – a dual apprenticeship system (or any other explanatory factor),  where  the  countries  without indicate  the expected  outcome in the absence of a Dual System. The impact of the Dual System can then be estimated by comparing the average change in countries with a Dual System to that in countries without a Dual System</w:t>
                      </w:r>
                      <w:r w:rsidRPr="001E31D3">
                        <w:rPr>
                          <w:rFonts w:eastAsia="Batang" w:cs="Arial"/>
                          <w:w w:val="110"/>
                          <w:szCs w:val="20"/>
                        </w:rPr>
                        <w:t>.</w:t>
                      </w:r>
                    </w:p>
                    <w:p w:rsidR="00394EBA" w:rsidRPr="001E31D3" w:rsidRDefault="00394EBA" w:rsidP="00F90C88">
                      <w:pPr>
                        <w:pStyle w:val="ListParagraph"/>
                        <w:numPr>
                          <w:ilvl w:val="0"/>
                          <w:numId w:val="34"/>
                        </w:numPr>
                        <w:autoSpaceDE w:val="0"/>
                        <w:autoSpaceDN w:val="0"/>
                        <w:adjustRightInd w:val="0"/>
                        <w:spacing w:after="120" w:line="288" w:lineRule="auto"/>
                        <w:contextualSpacing/>
                        <w:jc w:val="center"/>
                        <w:rPr>
                          <w:rFonts w:ascii="Cambria Math" w:hAnsi="Cambria Math" w:cs="Cambria Math"/>
                        </w:rPr>
                      </w:pPr>
                      <w:r w:rsidRPr="001E31D3">
                        <w:rPr>
                          <w:rFonts w:ascii="Cambria Math" w:hAnsi="Cambria Math" w:cs="Cambria Math"/>
                        </w:rPr>
                        <w:t>γ = (¯itreat,after − ¯itreat,before ) − (¯icontrol,after − ¯icontrol,before )</w:t>
                      </w:r>
                    </w:p>
                    <w:p w:rsidR="00394EBA" w:rsidRPr="001E31D3" w:rsidRDefault="00394EBA" w:rsidP="00E62AE7">
                      <w:pPr>
                        <w:pStyle w:val="BodyText"/>
                        <w:spacing w:line="288" w:lineRule="auto"/>
                        <w:rPr>
                          <w:rFonts w:eastAsia="Batang"/>
                          <w:w w:val="110"/>
                        </w:rPr>
                      </w:pPr>
                      <w:r w:rsidRPr="001E31D3">
                        <w:t>This is a legitimate  strategy to control  for unobserved  country  level factors under  the  assumption that the  unobserved  country  characteristics do not change  between  the  lower  secondary  and  end  of upper  secondary  school grades.  We implement the DID technique using equation 6, which pools together the skill measures at age 15 and 27 in a regression framework</w:t>
                      </w:r>
                      <w:r w:rsidRPr="001E31D3">
                        <w:rPr>
                          <w:w w:val="110"/>
                          <w:vertAlign w:val="superscript"/>
                        </w:rPr>
                        <w:footnoteRef/>
                      </w:r>
                      <w:r w:rsidRPr="001E31D3">
                        <w:rPr>
                          <w:rFonts w:eastAsia="Batang"/>
                          <w:w w:val="110"/>
                          <w:vertAlign w:val="superscript"/>
                        </w:rPr>
                        <w:t>.</w:t>
                      </w:r>
                      <w:r w:rsidRPr="001E31D3">
                        <w:rPr>
                          <w:rFonts w:eastAsia="Batang"/>
                          <w:w w:val="110"/>
                        </w:rPr>
                        <w:t xml:space="preserve"> </w:t>
                      </w:r>
                    </w:p>
                    <w:p w:rsidR="00394EBA" w:rsidRPr="001E31D3" w:rsidRDefault="00394EBA" w:rsidP="00F90C88">
                      <w:pPr>
                        <w:pStyle w:val="ListParagraph"/>
                        <w:numPr>
                          <w:ilvl w:val="0"/>
                          <w:numId w:val="34"/>
                        </w:numPr>
                        <w:autoSpaceDE w:val="0"/>
                        <w:autoSpaceDN w:val="0"/>
                        <w:adjustRightInd w:val="0"/>
                        <w:spacing w:after="120" w:line="288" w:lineRule="auto"/>
                        <w:contextualSpacing/>
                        <w:jc w:val="center"/>
                        <w:rPr>
                          <w:rFonts w:ascii="Cambria Math" w:hAnsi="Cambria Math" w:cs="Cambria Math"/>
                        </w:rPr>
                      </w:pPr>
                      <m:oMath>
                        <m:r>
                          <m:rPr>
                            <m:sty m:val="p"/>
                          </m:rPr>
                          <w:rPr>
                            <w:rFonts w:ascii="Cambria Math" w:hAnsi="Cambria Math" w:cs="Cambria Math"/>
                          </w:rPr>
                          <m:t>Proficiency</m:t>
                        </m:r>
                        <m:sSub>
                          <m:sSubPr>
                            <m:ctrlPr>
                              <w:rPr>
                                <w:rFonts w:ascii="Cambria Math" w:hAnsi="Cambria Math" w:cs="Cambria Math"/>
                              </w:rPr>
                            </m:ctrlPr>
                          </m:sSubPr>
                          <m:e>
                            <m:r>
                              <m:rPr>
                                <m:sty m:val="p"/>
                              </m:rPr>
                              <w:rPr>
                                <w:rFonts w:ascii="Cambria Math" w:hAnsi="Cambria Math" w:cs="Cambria Math"/>
                              </w:rPr>
                              <m:t xml:space="preserve"> index</m:t>
                            </m:r>
                          </m:e>
                          <m:sub>
                            <m:r>
                              <m:rPr>
                                <m:sty m:val="p"/>
                              </m:rPr>
                              <w:rPr>
                                <w:rFonts w:ascii="Cambria Math" w:hAnsi="Cambria Math" w:cs="Cambria Math"/>
                              </w:rPr>
                              <m:t>pooled</m:t>
                            </m:r>
                          </m:sub>
                        </m:sSub>
                        <m:r>
                          <m:rPr>
                            <m:sty m:val="p"/>
                          </m:rPr>
                          <w:rPr>
                            <w:rFonts w:ascii="Cambria Math" w:hAnsi="Cambria Math" w:cs="Cambria Math"/>
                          </w:rPr>
                          <m:t>=</m:t>
                        </m:r>
                        <m:sSub>
                          <m:sSubPr>
                            <m:ctrlPr>
                              <w:rPr>
                                <w:rFonts w:ascii="Cambria Math" w:hAnsi="Cambria Math" w:cs="Cambria Math"/>
                              </w:rPr>
                            </m:ctrlPr>
                          </m:sSubPr>
                          <m:e>
                            <m:r>
                              <m:rPr>
                                <m:sty m:val="p"/>
                              </m:rPr>
                              <w:rPr>
                                <w:rFonts w:ascii="Cambria Math" w:hAnsi="Cambria Math" w:cs="Cambria Math"/>
                              </w:rPr>
                              <m:t>β</m:t>
                            </m:r>
                          </m:e>
                          <m:sub>
                            <m:r>
                              <m:rPr>
                                <m:sty m:val="p"/>
                              </m:rPr>
                              <w:rPr>
                                <w:rFonts w:ascii="Cambria Math" w:hAnsi="Cambria Math" w:cs="Cambria Math"/>
                              </w:rPr>
                              <m:t>0</m:t>
                            </m:r>
                          </m:sub>
                        </m:sSub>
                        <m:r>
                          <m:rPr>
                            <m:sty m:val="p"/>
                          </m:rPr>
                          <w:rPr>
                            <w:rFonts w:ascii="Cambria Math" w:hAnsi="Cambria Math" w:cs="Cambria Math"/>
                          </w:rPr>
                          <m:t>+</m:t>
                        </m:r>
                        <m:sSub>
                          <m:sSubPr>
                            <m:ctrlPr>
                              <w:rPr>
                                <w:rFonts w:ascii="Cambria Math" w:hAnsi="Cambria Math" w:cs="Cambria Math"/>
                              </w:rPr>
                            </m:ctrlPr>
                          </m:sSubPr>
                          <m:e>
                            <m:r>
                              <m:rPr>
                                <m:sty m:val="p"/>
                              </m:rPr>
                              <w:rPr>
                                <w:rFonts w:ascii="Cambria Math" w:hAnsi="Cambria Math" w:cs="Cambria Math"/>
                              </w:rPr>
                              <m:t>γ</m:t>
                            </m:r>
                          </m:e>
                          <m:sub>
                            <m:r>
                              <m:rPr>
                                <m:sty m:val="p"/>
                              </m:rPr>
                              <w:rPr>
                                <w:rFonts w:ascii="Cambria Math" w:hAnsi="Cambria Math" w:cs="Cambria Math"/>
                              </w:rPr>
                              <m:t>0</m:t>
                            </m:r>
                          </m:sub>
                        </m:sSub>
                        <m:r>
                          <m:rPr>
                            <m:sty m:val="p"/>
                          </m:rPr>
                          <w:rPr>
                            <w:rFonts w:ascii="Cambria Math" w:hAnsi="Cambria Math" w:cs="Cambria Math"/>
                          </w:rPr>
                          <m:t>age27+</m:t>
                        </m:r>
                        <m:sSub>
                          <m:sSubPr>
                            <m:ctrlPr>
                              <w:rPr>
                                <w:rFonts w:ascii="Cambria Math" w:hAnsi="Cambria Math" w:cs="Cambria Math"/>
                              </w:rPr>
                            </m:ctrlPr>
                          </m:sSubPr>
                          <m:e>
                            <m:r>
                              <m:rPr>
                                <m:sty m:val="p"/>
                              </m:rPr>
                              <w:rPr>
                                <w:rFonts w:ascii="Cambria Math" w:hAnsi="Cambria Math" w:cs="Cambria Math"/>
                              </w:rPr>
                              <m:t>β</m:t>
                            </m:r>
                          </m:e>
                          <m:sub>
                            <m:r>
                              <m:rPr>
                                <m:sty m:val="p"/>
                              </m:rPr>
                              <w:rPr>
                                <w:rFonts w:ascii="Cambria Math" w:hAnsi="Cambria Math" w:cs="Cambria Math"/>
                              </w:rPr>
                              <m:t>1</m:t>
                            </m:r>
                          </m:sub>
                        </m:sSub>
                        <m:r>
                          <m:rPr>
                            <m:sty m:val="p"/>
                          </m:rPr>
                          <w:rPr>
                            <w:rFonts w:ascii="Cambria Math" w:hAnsi="Cambria Math" w:cs="Cambria Math"/>
                          </w:rPr>
                          <m:t>Y+</m:t>
                        </m:r>
                        <m:sSub>
                          <m:sSubPr>
                            <m:ctrlPr>
                              <w:rPr>
                                <w:rFonts w:ascii="Cambria Math" w:hAnsi="Cambria Math" w:cs="Cambria Math"/>
                              </w:rPr>
                            </m:ctrlPr>
                          </m:sSubPr>
                          <m:e>
                            <m:r>
                              <m:rPr>
                                <m:sty m:val="p"/>
                              </m:rPr>
                              <w:rPr>
                                <w:rFonts w:ascii="Cambria Math" w:hAnsi="Cambria Math" w:cs="Cambria Math"/>
                              </w:rPr>
                              <m:t>γ</m:t>
                            </m:r>
                          </m:e>
                          <m:sub>
                            <m:r>
                              <m:rPr>
                                <m:sty m:val="p"/>
                              </m:rPr>
                              <w:rPr>
                                <w:rFonts w:ascii="Cambria Math" w:hAnsi="Cambria Math" w:cs="Cambria Math"/>
                              </w:rPr>
                              <m:t>1</m:t>
                            </m:r>
                          </m:sub>
                        </m:sSub>
                        <m:r>
                          <m:rPr>
                            <m:sty m:val="p"/>
                          </m:rPr>
                          <w:rPr>
                            <w:rFonts w:ascii="Cambria Math" w:hAnsi="Cambria Math" w:cs="Cambria Math"/>
                          </w:rPr>
                          <m:t>Y.age27+residual</m:t>
                        </m:r>
                      </m:oMath>
                    </w:p>
                    <w:p w:rsidR="00394EBA" w:rsidRPr="001E31D3" w:rsidRDefault="00394EBA" w:rsidP="00E62AE7">
                      <w:pPr>
                        <w:pStyle w:val="FootnoteText"/>
                        <w:spacing w:after="120" w:line="288" w:lineRule="auto"/>
                      </w:pPr>
                      <w:r w:rsidRPr="001E31D3">
                        <w:rPr>
                          <w:szCs w:val="24"/>
                        </w:rPr>
                        <w:t xml:space="preserve">The parameter of interest is the change of position in the rank ordering of countries over the interval, which is captured by </w:t>
                      </w:r>
                      <m:oMath>
                        <m:sSub>
                          <m:sSubPr>
                            <m:ctrlPr>
                              <w:rPr>
                                <w:rFonts w:ascii="Cambria Math" w:hAnsi="Cambria Math"/>
                                <w:szCs w:val="24"/>
                              </w:rPr>
                            </m:ctrlPr>
                          </m:sSubPr>
                          <m:e>
                            <m:r>
                              <m:rPr>
                                <m:sty m:val="p"/>
                              </m:rPr>
                              <w:rPr>
                                <w:rFonts w:ascii="Cambria Math" w:hAnsi="Cambria Math"/>
                                <w:szCs w:val="24"/>
                              </w:rPr>
                              <m:t>γ</m:t>
                            </m:r>
                          </m:e>
                          <m:sub>
                            <m:r>
                              <m:rPr>
                                <m:sty m:val="p"/>
                              </m:rPr>
                              <w:rPr>
                                <w:rFonts w:ascii="Cambria Math" w:hAnsi="Cambria Math"/>
                                <w:szCs w:val="24"/>
                              </w:rPr>
                              <m:t>1</m:t>
                            </m:r>
                          </m:sub>
                        </m:sSub>
                      </m:oMath>
                      <w:r w:rsidRPr="001E31D3">
                        <w:rPr>
                          <w:szCs w:val="24"/>
                        </w:rPr>
                        <w:t xml:space="preserve"> in equation 6. </w:t>
                      </w:r>
                      <m:oMath>
                        <m:r>
                          <m:rPr>
                            <m:sty m:val="p"/>
                          </m:rPr>
                          <w:rPr>
                            <w:rFonts w:ascii="Cambria Math" w:hAnsi="Cambria Math"/>
                            <w:szCs w:val="24"/>
                          </w:rPr>
                          <m:t>age27</m:t>
                        </m:r>
                      </m:oMath>
                      <w:r w:rsidRPr="001E31D3">
                        <w:rPr>
                          <w:szCs w:val="24"/>
                        </w:rPr>
                        <w:t xml:space="preserve"> is an indicator set to 0 for the 15 year-old observations and 1 for the 27 year-old observations. As the outcome of interest is the change in proficiency relative to other countries, it should be noted that the interpretation of the effect of each independent factor also assumes a relative connotation. That is, any estimated impact represents the change that would occur to a given country had it introduced a given change in the upper secondary system (along one of the relevant indicators), provided that the other countries do not improve their aggregate proficiency.</w:t>
                      </w:r>
                    </w:p>
                    <w:p w:rsidR="00394EBA" w:rsidRPr="001E31D3" w:rsidRDefault="00394EBA" w:rsidP="00E62AE7">
                      <w:pPr>
                        <w:shd w:val="clear" w:color="auto" w:fill="D9D9D9" w:themeFill="background1" w:themeFillShade="D9"/>
                        <w:rPr>
                          <w:szCs w:val="20"/>
                        </w:rPr>
                      </w:pPr>
                    </w:p>
                  </w:txbxContent>
                </v:textbox>
                <w10:anchorlock/>
              </v:rect>
            </w:pict>
          </mc:Fallback>
        </mc:AlternateContent>
      </w:r>
    </w:p>
    <w:p w:rsidR="00E62AE7" w:rsidRPr="000A6A79" w:rsidRDefault="00E62AE7" w:rsidP="000A6A79">
      <w:pPr>
        <w:pStyle w:val="BodyText"/>
        <w:spacing w:line="288" w:lineRule="auto"/>
      </w:pPr>
    </w:p>
    <w:p w:rsidR="00A206D5" w:rsidRDefault="00A206D5">
      <w:pPr>
        <w:jc w:val="left"/>
        <w:rPr>
          <w:rFonts w:cs="Arial"/>
          <w:b/>
          <w:bCs/>
          <w:iCs/>
          <w:color w:val="263673"/>
          <w:sz w:val="22"/>
          <w:szCs w:val="28"/>
          <w:highlight w:val="yellow"/>
        </w:rPr>
      </w:pPr>
      <w:r>
        <w:rPr>
          <w:highlight w:val="yellow"/>
        </w:rPr>
        <w:br w:type="page"/>
      </w:r>
    </w:p>
    <w:p w:rsidR="00BF65F7" w:rsidRPr="00CF412F" w:rsidRDefault="00CF412F" w:rsidP="00BF65F7">
      <w:pPr>
        <w:pStyle w:val="Heading2"/>
        <w:rPr>
          <w:sz w:val="24"/>
          <w:szCs w:val="24"/>
        </w:rPr>
      </w:pPr>
      <w:bookmarkStart w:id="186" w:name="_Toc435802105"/>
      <w:r w:rsidRPr="00CF412F">
        <w:t>6.2</w:t>
      </w:r>
      <w:r w:rsidR="00BF65F7" w:rsidRPr="00CF412F">
        <w:t xml:space="preserve"> Brief overview of the literature</w:t>
      </w:r>
      <w:bookmarkEnd w:id="186"/>
      <w:r w:rsidR="00BF65F7" w:rsidRPr="00CF412F">
        <w:t xml:space="preserve"> </w:t>
      </w:r>
    </w:p>
    <w:p w:rsidR="00BF65F7" w:rsidRPr="001E31D3" w:rsidRDefault="00BF65F7" w:rsidP="00BF65F7">
      <w:pPr>
        <w:pStyle w:val="BodyText"/>
        <w:spacing w:line="288" w:lineRule="auto"/>
      </w:pPr>
      <w:r w:rsidRPr="001E31D3">
        <w:t>The section</w:t>
      </w:r>
      <w:r w:rsidR="00CF412F" w:rsidRPr="001E31D3">
        <w:t xml:space="preserve"> </w:t>
      </w:r>
      <w:r w:rsidRPr="001E31D3">
        <w:t>present</w:t>
      </w:r>
      <w:r w:rsidR="00C85123" w:rsidRPr="001E31D3">
        <w:t>s</w:t>
      </w:r>
      <w:r w:rsidRPr="001E31D3">
        <w:t xml:space="preserve"> a brief overview of the literature on education system typologies and features hypothesised to impact on </w:t>
      </w:r>
      <w:r w:rsidR="00C85123" w:rsidRPr="001E31D3">
        <w:t xml:space="preserve">the </w:t>
      </w:r>
      <w:r w:rsidRPr="001E31D3">
        <w:t>competence development of young people. These</w:t>
      </w:r>
      <w:r w:rsidR="00C85123" w:rsidRPr="001E31D3">
        <w:t xml:space="preserve"> features and typologies</w:t>
      </w:r>
      <w:r w:rsidRPr="001E31D3">
        <w:t xml:space="preserve"> may consequently help to explain why some countries are better than others at maintaining or improving competence levels during the upper secondary and tertiary phases of education and hence the observed cross-country variation.</w:t>
      </w:r>
      <w:r w:rsidR="00347A4B" w:rsidRPr="001E31D3">
        <w:t xml:space="preserve"> It should be noted that t</w:t>
      </w:r>
      <w:r w:rsidRPr="001E31D3">
        <w:t>he literature</w:t>
      </w:r>
      <w:r w:rsidR="00347A4B" w:rsidRPr="001E31D3">
        <w:t xml:space="preserve"> review </w:t>
      </w:r>
      <w:r w:rsidRPr="001E31D3">
        <w:t xml:space="preserve">below </w:t>
      </w:r>
      <w:r w:rsidR="00347A4B" w:rsidRPr="001E31D3">
        <w:t xml:space="preserve">also </w:t>
      </w:r>
      <w:r w:rsidRPr="001E31D3">
        <w:t>includes non-EU (OECD) countries</w:t>
      </w:r>
      <w:r w:rsidR="00C85123" w:rsidRPr="001E31D3">
        <w:t>,</w:t>
      </w:r>
      <w:r w:rsidRPr="001E31D3">
        <w:t xml:space="preserve"> </w:t>
      </w:r>
      <w:r w:rsidR="001C5B42" w:rsidRPr="001E31D3">
        <w:t xml:space="preserve">in order </w:t>
      </w:r>
      <w:r w:rsidRPr="001E31D3">
        <w:t xml:space="preserve">to draw on a larger body of evidence on education and training systems and their features. </w:t>
      </w:r>
    </w:p>
    <w:p w:rsidR="00BF65F7" w:rsidRPr="00CF412F" w:rsidRDefault="00BF65F7" w:rsidP="00BF65F7">
      <w:pPr>
        <w:pStyle w:val="Heading3"/>
        <w:rPr>
          <w:rFonts w:eastAsia="Batang"/>
        </w:rPr>
      </w:pPr>
      <w:bookmarkStart w:id="187" w:name="_Toc432873778"/>
      <w:bookmarkStart w:id="188" w:name="_Toc426636424"/>
      <w:bookmarkStart w:id="189" w:name="_Toc426718871"/>
      <w:bookmarkStart w:id="190" w:name="_Toc426719067"/>
      <w:bookmarkStart w:id="191" w:name="_Toc427069140"/>
      <w:bookmarkStart w:id="192" w:name="_Toc427154776"/>
      <w:bookmarkStart w:id="193" w:name="_Toc427232502"/>
      <w:bookmarkStart w:id="194" w:name="_Toc435620188"/>
      <w:bookmarkStart w:id="195" w:name="_Toc435802106"/>
      <w:r w:rsidRPr="00CF412F">
        <w:rPr>
          <w:rFonts w:eastAsia="Batang"/>
        </w:rPr>
        <w:t>6.1.1 Typologies of upper secondary education and training systems</w:t>
      </w:r>
      <w:bookmarkEnd w:id="187"/>
      <w:bookmarkEnd w:id="188"/>
      <w:bookmarkEnd w:id="189"/>
      <w:bookmarkEnd w:id="190"/>
      <w:bookmarkEnd w:id="191"/>
      <w:bookmarkEnd w:id="192"/>
      <w:bookmarkEnd w:id="193"/>
      <w:bookmarkEnd w:id="194"/>
      <w:bookmarkEnd w:id="195"/>
    </w:p>
    <w:p w:rsidR="00BF65F7" w:rsidRPr="00CF412F" w:rsidRDefault="00BF65F7" w:rsidP="00BF65F7">
      <w:pPr>
        <w:pStyle w:val="BodyText"/>
        <w:spacing w:line="288" w:lineRule="auto"/>
        <w:rPr>
          <w:rFonts w:eastAsia="Calibri"/>
          <w:szCs w:val="20"/>
        </w:rPr>
      </w:pPr>
      <w:r w:rsidRPr="00CF412F">
        <w:rPr>
          <w:rFonts w:eastAsia="Batang"/>
          <w:szCs w:val="20"/>
        </w:rPr>
        <w:t xml:space="preserve">The literature identifies four broad types of upper secondary education and training systems in EU and OECD countries by classifying systems according to their institutional structures, forms of curriculum and assessment and modes of governance and regulation </w:t>
      </w:r>
      <w:r w:rsidR="00484F3A" w:rsidRPr="00CF412F">
        <w:rPr>
          <w:rFonts w:eastAsia="Batang"/>
          <w:w w:val="107"/>
          <w:szCs w:val="20"/>
        </w:rPr>
        <w:t>(</w:t>
      </w:r>
      <w:r w:rsidR="001C5B42" w:rsidRPr="00CF412F">
        <w:rPr>
          <w:rFonts w:eastAsia="Batang"/>
          <w:w w:val="107"/>
          <w:szCs w:val="20"/>
        </w:rPr>
        <w:t>e.g.</w:t>
      </w:r>
      <w:r w:rsidR="009F6EA3">
        <w:rPr>
          <w:rFonts w:eastAsia="Batang"/>
          <w:w w:val="107"/>
          <w:szCs w:val="20"/>
        </w:rPr>
        <w:t xml:space="preserve"> Busemeyer/Iversen 2011, CEDEFOP 2008,</w:t>
      </w:r>
      <w:r w:rsidR="00484F3A" w:rsidRPr="00CF412F">
        <w:rPr>
          <w:rFonts w:eastAsia="Batang"/>
          <w:w w:val="107"/>
          <w:szCs w:val="20"/>
        </w:rPr>
        <w:t xml:space="preserve"> Dumas et al</w:t>
      </w:r>
      <w:r w:rsidR="009F6EA3">
        <w:rPr>
          <w:rFonts w:eastAsia="Batang"/>
          <w:w w:val="107"/>
          <w:szCs w:val="20"/>
        </w:rPr>
        <w:t xml:space="preserve"> 2013,</w:t>
      </w:r>
      <w:r w:rsidRPr="00CF412F">
        <w:rPr>
          <w:rFonts w:eastAsia="Batang"/>
          <w:w w:val="107"/>
          <w:szCs w:val="20"/>
        </w:rPr>
        <w:t xml:space="preserve"> </w:t>
      </w:r>
      <w:r w:rsidR="00484F3A" w:rsidRPr="00CF412F">
        <w:rPr>
          <w:szCs w:val="20"/>
        </w:rPr>
        <w:t>Green 2</w:t>
      </w:r>
      <w:r w:rsidR="003E14B7">
        <w:rPr>
          <w:szCs w:val="20"/>
        </w:rPr>
        <w:t>003, Greinert 2004,</w:t>
      </w:r>
      <w:r w:rsidR="009F6EA3">
        <w:rPr>
          <w:szCs w:val="20"/>
        </w:rPr>
        <w:t xml:space="preserve"> Lasonen/</w:t>
      </w:r>
      <w:r w:rsidR="003E14B7">
        <w:rPr>
          <w:szCs w:val="20"/>
        </w:rPr>
        <w:t>Young 1998,</w:t>
      </w:r>
      <w:r w:rsidR="00484F3A" w:rsidRPr="00CF412F">
        <w:rPr>
          <w:szCs w:val="20"/>
        </w:rPr>
        <w:t xml:space="preserve"> McLean</w:t>
      </w:r>
      <w:r w:rsidR="003E14B7">
        <w:rPr>
          <w:szCs w:val="20"/>
        </w:rPr>
        <w:t xml:space="preserve"> 1999,</w:t>
      </w:r>
      <w:r w:rsidRPr="00CF412F">
        <w:rPr>
          <w:szCs w:val="20"/>
        </w:rPr>
        <w:t xml:space="preserve"> </w:t>
      </w:r>
      <w:r w:rsidR="003E14B7">
        <w:rPr>
          <w:rFonts w:eastAsia="Batang"/>
          <w:w w:val="107"/>
          <w:szCs w:val="20"/>
        </w:rPr>
        <w:t>OECD 1985; Raffe et al 2001,</w:t>
      </w:r>
      <w:r w:rsidR="00484F3A" w:rsidRPr="00CF412F">
        <w:rPr>
          <w:rFonts w:eastAsia="Batang"/>
          <w:w w:val="107"/>
          <w:szCs w:val="20"/>
        </w:rPr>
        <w:t xml:space="preserve"> Verdier</w:t>
      </w:r>
      <w:r w:rsidRPr="00CF412F">
        <w:rPr>
          <w:rFonts w:eastAsia="Batang"/>
          <w:w w:val="107"/>
          <w:szCs w:val="20"/>
        </w:rPr>
        <w:t xml:space="preserve"> 2013). The country groupings emerging from this bear a close resemblance to the classifications of economies and welfare systems in the comparative political economy literature, with liberal Anglophone countries representing one type, the social market and social democratic countries representing two further types, and southern Europe and East Asia, in some of the literature at least, being accredited with separate though less distinctive political econ</w:t>
      </w:r>
      <w:r w:rsidR="00484F3A" w:rsidRPr="00CF412F">
        <w:rPr>
          <w:rFonts w:eastAsia="Batang"/>
          <w:w w:val="107"/>
          <w:szCs w:val="20"/>
        </w:rPr>
        <w:t>o</w:t>
      </w:r>
      <w:r w:rsidR="003E14B7">
        <w:rPr>
          <w:rFonts w:eastAsia="Batang"/>
          <w:w w:val="107"/>
          <w:szCs w:val="20"/>
        </w:rPr>
        <w:t>my models (Esping-Andersen 1990,</w:t>
      </w:r>
      <w:r w:rsidR="00484F3A" w:rsidRPr="00CF412F">
        <w:rPr>
          <w:rFonts w:eastAsia="Batang"/>
          <w:w w:val="107"/>
          <w:szCs w:val="20"/>
        </w:rPr>
        <w:t xml:space="preserve"> Green et al</w:t>
      </w:r>
      <w:r w:rsidRPr="00CF412F">
        <w:rPr>
          <w:rFonts w:eastAsia="Batang"/>
          <w:w w:val="107"/>
          <w:szCs w:val="20"/>
        </w:rPr>
        <w:t xml:space="preserve"> 2011; </w:t>
      </w:r>
      <w:r w:rsidR="003E14B7">
        <w:rPr>
          <w:rFonts w:eastAsia="Calibri"/>
          <w:szCs w:val="20"/>
        </w:rPr>
        <w:t>Hall/</w:t>
      </w:r>
      <w:r w:rsidR="00484F3A" w:rsidRPr="00CF412F">
        <w:rPr>
          <w:rFonts w:eastAsia="Calibri"/>
          <w:szCs w:val="20"/>
        </w:rPr>
        <w:t>Soskice</w:t>
      </w:r>
      <w:r w:rsidR="003E14B7">
        <w:rPr>
          <w:rFonts w:eastAsia="Calibri"/>
          <w:szCs w:val="20"/>
        </w:rPr>
        <w:t xml:space="preserve"> 2001,</w:t>
      </w:r>
      <w:r w:rsidRPr="00CF412F">
        <w:rPr>
          <w:rFonts w:eastAsia="Calibri"/>
          <w:szCs w:val="20"/>
        </w:rPr>
        <w:t xml:space="preserve"> Pontussen 2008). The connection between the two forms of classification developed in more recent literature should not be surprising since education systems form an integral part of welfare systems in general and since their functioning is substantially affected by the way the external contexts, such as labour market and welfare institutions, interact with them (Gr</w:t>
      </w:r>
      <w:r w:rsidR="003E14B7">
        <w:rPr>
          <w:rFonts w:eastAsia="Calibri"/>
          <w:szCs w:val="20"/>
        </w:rPr>
        <w:t>een/Janmaat 2011,</w:t>
      </w:r>
      <w:r w:rsidR="00484F3A" w:rsidRPr="00CF412F">
        <w:rPr>
          <w:rFonts w:eastAsia="Calibri"/>
          <w:szCs w:val="20"/>
        </w:rPr>
        <w:t xml:space="preserve"> Busemeyer</w:t>
      </w:r>
      <w:r w:rsidRPr="00CF412F">
        <w:rPr>
          <w:rFonts w:eastAsia="Calibri"/>
          <w:szCs w:val="20"/>
        </w:rPr>
        <w:t xml:space="preserve"> 2014).  </w:t>
      </w:r>
    </w:p>
    <w:p w:rsidR="00347A4B" w:rsidRPr="00CF412F" w:rsidRDefault="00347A4B" w:rsidP="00BF65F7">
      <w:pPr>
        <w:pStyle w:val="BodyText"/>
        <w:spacing w:line="288" w:lineRule="auto"/>
        <w:rPr>
          <w:szCs w:val="20"/>
        </w:rPr>
      </w:pPr>
      <w:r w:rsidRPr="00CF412F">
        <w:rPr>
          <w:rFonts w:eastAsia="Calibri"/>
          <w:szCs w:val="20"/>
        </w:rPr>
        <w:t>The literature distinguishes between the following four types:</w:t>
      </w:r>
    </w:p>
    <w:p w:rsidR="00347A4B" w:rsidRPr="00CF412F" w:rsidRDefault="00BF65F7" w:rsidP="00F90C88">
      <w:pPr>
        <w:pStyle w:val="ListParagraph"/>
        <w:numPr>
          <w:ilvl w:val="0"/>
          <w:numId w:val="36"/>
        </w:numPr>
        <w:spacing w:after="120" w:line="288" w:lineRule="auto"/>
        <w:rPr>
          <w:rFonts w:eastAsia="Batang"/>
          <w:szCs w:val="20"/>
        </w:rPr>
      </w:pPr>
      <w:r w:rsidRPr="00CF412F">
        <w:rPr>
          <w:b/>
          <w:color w:val="1F497D" w:themeColor="text2"/>
          <w:szCs w:val="20"/>
        </w:rPr>
        <w:t>Differentiated school-based systems</w:t>
      </w:r>
      <w:r w:rsidR="00347A4B" w:rsidRPr="00CF412F">
        <w:rPr>
          <w:b/>
          <w:color w:val="1F497D" w:themeColor="text2"/>
          <w:szCs w:val="20"/>
        </w:rPr>
        <w:t xml:space="preserve"> (</w:t>
      </w:r>
      <w:r w:rsidR="001C5B42">
        <w:rPr>
          <w:b/>
          <w:color w:val="1F497D" w:themeColor="text2"/>
          <w:szCs w:val="20"/>
        </w:rPr>
        <w:t>T</w:t>
      </w:r>
      <w:r w:rsidR="00347A4B" w:rsidRPr="00CF412F">
        <w:rPr>
          <w:b/>
          <w:color w:val="1F497D" w:themeColor="text2"/>
          <w:szCs w:val="20"/>
        </w:rPr>
        <w:t>ype 1):</w:t>
      </w:r>
      <w:r w:rsidRPr="00CF412F">
        <w:rPr>
          <w:rFonts w:eastAsia="Batang"/>
          <w:szCs w:val="20"/>
        </w:rPr>
        <w:t xml:space="preserve"> These </w:t>
      </w:r>
      <w:r w:rsidRPr="00CF412F">
        <w:rPr>
          <w:rFonts w:eastAsia="Batang"/>
          <w:w w:val="108"/>
          <w:szCs w:val="20"/>
        </w:rPr>
        <w:t>are predomina</w:t>
      </w:r>
      <w:r w:rsidRPr="00CF412F">
        <w:rPr>
          <w:rFonts w:eastAsia="Batang"/>
          <w:spacing w:val="-5"/>
          <w:w w:val="108"/>
          <w:szCs w:val="20"/>
        </w:rPr>
        <w:t>n</w:t>
      </w:r>
      <w:r w:rsidRPr="00CF412F">
        <w:rPr>
          <w:rFonts w:eastAsia="Batang"/>
          <w:w w:val="108"/>
          <w:szCs w:val="20"/>
        </w:rPr>
        <w:t>tly</w:t>
      </w:r>
      <w:r w:rsidRPr="00CF412F">
        <w:rPr>
          <w:rFonts w:eastAsia="Batang"/>
          <w:spacing w:val="5"/>
          <w:w w:val="108"/>
          <w:szCs w:val="20"/>
        </w:rPr>
        <w:t xml:space="preserve"> </w:t>
      </w:r>
      <w:r w:rsidRPr="00CF412F">
        <w:rPr>
          <w:rFonts w:eastAsia="Batang"/>
          <w:szCs w:val="20"/>
        </w:rPr>
        <w:t>s</w:t>
      </w:r>
      <w:r w:rsidRPr="00CF412F">
        <w:rPr>
          <w:rFonts w:eastAsia="Batang"/>
          <w:spacing w:val="-6"/>
          <w:szCs w:val="20"/>
        </w:rPr>
        <w:t>c</w:t>
      </w:r>
      <w:r w:rsidRPr="00CF412F">
        <w:rPr>
          <w:rFonts w:eastAsia="Batang"/>
          <w:szCs w:val="20"/>
        </w:rPr>
        <w:t>h</w:t>
      </w:r>
      <w:r w:rsidRPr="00CF412F">
        <w:rPr>
          <w:rFonts w:eastAsia="Batang"/>
          <w:spacing w:val="6"/>
          <w:szCs w:val="20"/>
        </w:rPr>
        <w:t>o</w:t>
      </w:r>
      <w:r w:rsidRPr="00CF412F">
        <w:rPr>
          <w:rFonts w:eastAsia="Batang"/>
          <w:szCs w:val="20"/>
        </w:rPr>
        <w:t>ol-based</w:t>
      </w:r>
      <w:r w:rsidRPr="00CF412F">
        <w:rPr>
          <w:rFonts w:eastAsia="Batang"/>
          <w:spacing w:val="36"/>
          <w:szCs w:val="20"/>
        </w:rPr>
        <w:t xml:space="preserve"> </w:t>
      </w:r>
      <w:r w:rsidRPr="00CF412F">
        <w:rPr>
          <w:rFonts w:eastAsia="Batang"/>
          <w:szCs w:val="20"/>
        </w:rPr>
        <w:t>systems</w:t>
      </w:r>
      <w:r w:rsidRPr="00CF412F">
        <w:rPr>
          <w:rFonts w:eastAsia="Batang"/>
          <w:spacing w:val="34"/>
          <w:szCs w:val="20"/>
        </w:rPr>
        <w:t xml:space="preserve"> </w:t>
      </w:r>
      <w:r w:rsidRPr="00CF412F">
        <w:rPr>
          <w:rFonts w:eastAsia="Batang"/>
          <w:szCs w:val="20"/>
        </w:rPr>
        <w:t>with</w:t>
      </w:r>
      <w:r w:rsidRPr="00CF412F">
        <w:rPr>
          <w:rFonts w:eastAsia="Batang"/>
          <w:spacing w:val="31"/>
          <w:szCs w:val="20"/>
        </w:rPr>
        <w:t xml:space="preserve"> </w:t>
      </w:r>
      <w:r w:rsidRPr="00CF412F">
        <w:rPr>
          <w:rFonts w:eastAsia="Batang"/>
          <w:szCs w:val="20"/>
        </w:rPr>
        <w:t>general academic and vocational provision in different types of dedicated upper secondary institution and with apprenticeships representing separate but residual systems.</w:t>
      </w:r>
      <w:r w:rsidRPr="00CF412F">
        <w:rPr>
          <w:rFonts w:eastAsia="Batang"/>
          <w:w w:val="110"/>
          <w:szCs w:val="20"/>
        </w:rPr>
        <w:t xml:space="preserve"> This is the modal type in southern European countries and other western countries influenced historically by the French education system and also, through more complex genealogies, in C</w:t>
      </w:r>
      <w:r w:rsidR="003C2FF8">
        <w:rPr>
          <w:rFonts w:eastAsia="Batang"/>
          <w:w w:val="110"/>
          <w:szCs w:val="20"/>
        </w:rPr>
        <w:t>entral and Eastern Europe</w:t>
      </w:r>
      <w:r w:rsidRPr="00CF412F">
        <w:rPr>
          <w:rFonts w:eastAsia="Batang"/>
          <w:w w:val="110"/>
          <w:szCs w:val="20"/>
        </w:rPr>
        <w:t xml:space="preserve"> and East</w:t>
      </w:r>
      <w:r w:rsidR="00484F3A" w:rsidRPr="00CF412F">
        <w:rPr>
          <w:rFonts w:eastAsia="Batang"/>
          <w:w w:val="110"/>
          <w:szCs w:val="20"/>
        </w:rPr>
        <w:t xml:space="preserve"> Asian countries (Green</w:t>
      </w:r>
      <w:r w:rsidRPr="00CF412F">
        <w:rPr>
          <w:rFonts w:eastAsia="Batang"/>
          <w:w w:val="110"/>
          <w:szCs w:val="20"/>
        </w:rPr>
        <w:t xml:space="preserve"> 2013). Programmes in upper secondary instituti</w:t>
      </w:r>
      <w:r w:rsidR="00347A4B" w:rsidRPr="00CF412F">
        <w:rPr>
          <w:rFonts w:eastAsia="Batang"/>
          <w:w w:val="110"/>
          <w:szCs w:val="20"/>
        </w:rPr>
        <w:t xml:space="preserve">ons normally last for two or - </w:t>
      </w:r>
      <w:r w:rsidRPr="00CF412F">
        <w:rPr>
          <w:rFonts w:eastAsia="Batang"/>
          <w:w w:val="110"/>
          <w:szCs w:val="20"/>
        </w:rPr>
        <w:t xml:space="preserve">more usually - three years from the age of 15, as in the original model of the modern French </w:t>
      </w:r>
      <w:r w:rsidRPr="003F0A8D">
        <w:rPr>
          <w:rFonts w:eastAsia="Batang"/>
          <w:i/>
          <w:w w:val="110"/>
          <w:szCs w:val="20"/>
        </w:rPr>
        <w:t>lycé</w:t>
      </w:r>
      <w:r w:rsidRPr="00CF412F">
        <w:rPr>
          <w:rFonts w:eastAsia="Batang"/>
          <w:w w:val="110"/>
          <w:szCs w:val="20"/>
        </w:rPr>
        <w:t xml:space="preserve">e, and end with a qualification which gives access to general university higher education (ISCED 5A) in the case of general education students, and vocational tertiary education (at ISCED Level 4 or 5B) for vocational students. The curricula in different general and vocational programmes share certain common core elements but programmes are typically organised around a cluster of subjects specific to the disciplinary or vocational orientation of programme. Diplomas are normally based on externally administered ‘grouped examinations’ which require passes in a range of subjects, including core areas of language and Maths. </w:t>
      </w:r>
      <w:r w:rsidRPr="00CF412F">
        <w:rPr>
          <w:rFonts w:eastAsia="Batang"/>
          <w:szCs w:val="20"/>
        </w:rPr>
        <w:t xml:space="preserve">The majority of </w:t>
      </w:r>
      <w:r w:rsidRPr="00CF412F">
        <w:rPr>
          <w:rFonts w:eastAsia="Batang"/>
          <w:w w:val="102"/>
          <w:szCs w:val="20"/>
        </w:rPr>
        <w:t>con</w:t>
      </w:r>
      <w:r w:rsidRPr="00CF412F">
        <w:rPr>
          <w:rFonts w:eastAsia="Batang"/>
          <w:w w:val="111"/>
          <w:szCs w:val="20"/>
        </w:rPr>
        <w:t>tine</w:t>
      </w:r>
      <w:r w:rsidRPr="00CF412F">
        <w:rPr>
          <w:rFonts w:eastAsia="Batang"/>
          <w:spacing w:val="-6"/>
          <w:w w:val="111"/>
          <w:szCs w:val="20"/>
        </w:rPr>
        <w:t>n</w:t>
      </w:r>
      <w:r w:rsidRPr="00CF412F">
        <w:rPr>
          <w:rFonts w:eastAsia="Batang"/>
          <w:w w:val="111"/>
          <w:szCs w:val="20"/>
        </w:rPr>
        <w:t>tal</w:t>
      </w:r>
      <w:r w:rsidRPr="00CF412F">
        <w:rPr>
          <w:rFonts w:eastAsia="Batang"/>
          <w:spacing w:val="17"/>
          <w:w w:val="111"/>
          <w:szCs w:val="20"/>
        </w:rPr>
        <w:t xml:space="preserve"> </w:t>
      </w:r>
      <w:r w:rsidRPr="00CF412F">
        <w:rPr>
          <w:rFonts w:eastAsia="Batang"/>
          <w:szCs w:val="20"/>
        </w:rPr>
        <w:t>Euro</w:t>
      </w:r>
      <w:r w:rsidRPr="00CF412F">
        <w:rPr>
          <w:rFonts w:eastAsia="Batang"/>
          <w:spacing w:val="7"/>
          <w:szCs w:val="20"/>
        </w:rPr>
        <w:t>p</w:t>
      </w:r>
      <w:r w:rsidRPr="00CF412F">
        <w:rPr>
          <w:rFonts w:eastAsia="Batang"/>
          <w:szCs w:val="20"/>
        </w:rPr>
        <w:t>ean and East Asian OECD cou</w:t>
      </w:r>
      <w:r w:rsidRPr="00CF412F">
        <w:rPr>
          <w:rFonts w:eastAsia="Batang"/>
          <w:spacing w:val="-6"/>
          <w:szCs w:val="20"/>
        </w:rPr>
        <w:t>n</w:t>
      </w:r>
      <w:r w:rsidRPr="00CF412F">
        <w:rPr>
          <w:rFonts w:eastAsia="Batang"/>
          <w:szCs w:val="20"/>
        </w:rPr>
        <w:t>tries have systems of this type (e.g. in our sample - the Czech Republic, Denmark, Estonia, France, Finland, Greece, Italy, Netherlands, Japan, Poland and Russia).</w:t>
      </w:r>
      <w:r w:rsidRPr="00CF412F">
        <w:rPr>
          <w:rStyle w:val="FootnoteReference"/>
          <w:rFonts w:eastAsia="Batang"/>
          <w:szCs w:val="20"/>
        </w:rPr>
        <w:footnoteReference w:id="25"/>
      </w:r>
    </w:p>
    <w:p w:rsidR="00347A4B" w:rsidRPr="00CF412F" w:rsidRDefault="00BF65F7" w:rsidP="00F90C88">
      <w:pPr>
        <w:pStyle w:val="ListParagraph"/>
        <w:numPr>
          <w:ilvl w:val="0"/>
          <w:numId w:val="36"/>
        </w:numPr>
        <w:spacing w:after="120" w:line="288" w:lineRule="auto"/>
        <w:rPr>
          <w:rFonts w:eastAsia="Batang"/>
          <w:szCs w:val="20"/>
        </w:rPr>
      </w:pPr>
      <w:r w:rsidRPr="00CF412F">
        <w:rPr>
          <w:b/>
          <w:color w:val="1F497D" w:themeColor="text2"/>
        </w:rPr>
        <w:t>Comprehensive school-based systems</w:t>
      </w:r>
      <w:r w:rsidR="00347A4B" w:rsidRPr="00CF412F">
        <w:rPr>
          <w:b/>
          <w:color w:val="1F497D" w:themeColor="text2"/>
        </w:rPr>
        <w:t xml:space="preserve"> (</w:t>
      </w:r>
      <w:r w:rsidR="001C5B42">
        <w:rPr>
          <w:b/>
          <w:color w:val="1F497D" w:themeColor="text2"/>
        </w:rPr>
        <w:t>T</w:t>
      </w:r>
      <w:r w:rsidR="00347A4B" w:rsidRPr="00CF412F">
        <w:rPr>
          <w:b/>
          <w:color w:val="1F497D" w:themeColor="text2"/>
        </w:rPr>
        <w:t>ype 2)</w:t>
      </w:r>
      <w:r w:rsidRPr="00CF412F">
        <w:t xml:space="preserve"> </w:t>
      </w:r>
      <w:r w:rsidRPr="00CF412F">
        <w:rPr>
          <w:rFonts w:eastAsia="Batang"/>
          <w:szCs w:val="20"/>
        </w:rPr>
        <w:t xml:space="preserve">have academic and vocational provision within the same institution, with apprenticeships either integrated into the school-based vocational programmes (as in Norway) or constituting a separate but residual institutional route (as in the USA). Provision is organised either as a standardized, core plus options programme, as in most </w:t>
      </w:r>
      <w:r w:rsidR="001C5B42">
        <w:rPr>
          <w:rFonts w:eastAsia="Batang"/>
          <w:szCs w:val="20"/>
        </w:rPr>
        <w:t>N</w:t>
      </w:r>
      <w:r w:rsidRPr="00CF412F">
        <w:rPr>
          <w:rFonts w:eastAsia="Batang"/>
          <w:szCs w:val="20"/>
        </w:rPr>
        <w:t>orth American high schools, or in differentiated programmes with distinctive subject specialisms but overlapping cores of general education, as in Norway or Sweden. These systems share most of the</w:t>
      </w:r>
      <w:r w:rsidRPr="00CF412F">
        <w:rPr>
          <w:rFonts w:eastAsia="Batang"/>
          <w:w w:val="111"/>
          <w:szCs w:val="20"/>
        </w:rPr>
        <w:t xml:space="preserve"> characteristics of Type 1 systems, but tend to have a higher degree of integration of curricula and assessment across the r</w:t>
      </w:r>
      <w:r w:rsidR="00484F3A" w:rsidRPr="00CF412F">
        <w:rPr>
          <w:rFonts w:eastAsia="Batang"/>
          <w:w w:val="111"/>
          <w:szCs w:val="20"/>
        </w:rPr>
        <w:t>ange of provision (Raffe et al.</w:t>
      </w:r>
      <w:r w:rsidRPr="00CF412F">
        <w:rPr>
          <w:rFonts w:eastAsia="Batang"/>
          <w:w w:val="111"/>
          <w:szCs w:val="20"/>
        </w:rPr>
        <w:t xml:space="preserve"> 2001</w:t>
      </w:r>
      <w:r w:rsidR="003E14B7">
        <w:rPr>
          <w:rFonts w:eastAsia="Batang"/>
          <w:w w:val="111"/>
          <w:szCs w:val="20"/>
        </w:rPr>
        <w:t>,</w:t>
      </w:r>
      <w:r w:rsidRPr="00CF412F">
        <w:rPr>
          <w:rFonts w:eastAsia="Batang"/>
          <w:w w:val="111"/>
          <w:szCs w:val="20"/>
        </w:rPr>
        <w:t xml:space="preserve"> Raffe et al. 1999). They can be regarded generally as relatively standardised on one level – since there is only one main type of upper secondary institution. However, governance and regulation varies considerably between the US and Scandinavian contexts, with school choice and diversity policies in the former leading to greater institutional variation than would be found in the more standardised Nordic systems. A number of countries have a few such institution</w:t>
      </w:r>
      <w:r w:rsidRPr="00CF412F">
        <w:rPr>
          <w:rFonts w:eastAsia="Batang"/>
          <w:szCs w:val="20"/>
        </w:rPr>
        <w:t>s (</w:t>
      </w:r>
      <w:r w:rsidRPr="003C2FF8">
        <w:rPr>
          <w:rFonts w:eastAsia="Batang"/>
          <w:i/>
          <w:szCs w:val="20"/>
        </w:rPr>
        <w:t xml:space="preserve">eniaia lykeio </w:t>
      </w:r>
      <w:r w:rsidRPr="00CF412F">
        <w:rPr>
          <w:rFonts w:eastAsia="Batang"/>
          <w:szCs w:val="20"/>
        </w:rPr>
        <w:t xml:space="preserve">in Greece; </w:t>
      </w:r>
      <w:r w:rsidRPr="003C2FF8">
        <w:rPr>
          <w:rFonts w:eastAsia="Batang"/>
          <w:i/>
          <w:szCs w:val="20"/>
        </w:rPr>
        <w:t>lycées polyvalents</w:t>
      </w:r>
      <w:r w:rsidRPr="00CF412F">
        <w:rPr>
          <w:rFonts w:eastAsia="Batang"/>
          <w:szCs w:val="20"/>
        </w:rPr>
        <w:t xml:space="preserve"> in France and tertiary colleges in England) but only </w:t>
      </w:r>
      <w:r w:rsidRPr="00CF412F">
        <w:rPr>
          <w:rFonts w:eastAsia="Batang"/>
          <w:w w:val="111"/>
          <w:szCs w:val="20"/>
        </w:rPr>
        <w:t>four OECD countries in our samp</w:t>
      </w:r>
      <w:r w:rsidR="001C5B42">
        <w:rPr>
          <w:rFonts w:eastAsia="Batang"/>
          <w:w w:val="111"/>
          <w:szCs w:val="20"/>
        </w:rPr>
        <w:t>l</w:t>
      </w:r>
      <w:r w:rsidRPr="00CF412F">
        <w:rPr>
          <w:rFonts w:eastAsia="Batang"/>
          <w:w w:val="111"/>
          <w:szCs w:val="20"/>
        </w:rPr>
        <w:t>e have this type of institution as the dominant institutional form (</w:t>
      </w:r>
      <w:r w:rsidRPr="00CF412F">
        <w:rPr>
          <w:rFonts w:eastAsia="Batang"/>
          <w:szCs w:val="20"/>
        </w:rPr>
        <w:t>Canada</w:t>
      </w:r>
      <w:r w:rsidR="001C5B42">
        <w:rPr>
          <w:rFonts w:eastAsia="Batang"/>
          <w:szCs w:val="20"/>
        </w:rPr>
        <w:t>,</w:t>
      </w:r>
      <w:r w:rsidRPr="00CF412F">
        <w:rPr>
          <w:rFonts w:eastAsia="Batang"/>
          <w:szCs w:val="20"/>
        </w:rPr>
        <w:t xml:space="preserve"> </w:t>
      </w:r>
      <w:r w:rsidRPr="00CF412F">
        <w:rPr>
          <w:rFonts w:eastAsia="Batang"/>
          <w:w w:val="103"/>
          <w:szCs w:val="20"/>
        </w:rPr>
        <w:t>Nor</w:t>
      </w:r>
      <w:r w:rsidRPr="00CF412F">
        <w:rPr>
          <w:rFonts w:eastAsia="Batang"/>
          <w:spacing w:val="-6"/>
          <w:w w:val="99"/>
          <w:szCs w:val="20"/>
        </w:rPr>
        <w:t>w</w:t>
      </w:r>
      <w:r w:rsidRPr="00CF412F">
        <w:rPr>
          <w:rFonts w:eastAsia="Batang"/>
          <w:spacing w:val="-6"/>
          <w:w w:val="111"/>
          <w:szCs w:val="20"/>
        </w:rPr>
        <w:t>a</w:t>
      </w:r>
      <w:r w:rsidRPr="00CF412F">
        <w:rPr>
          <w:rFonts w:eastAsia="Batang"/>
          <w:spacing w:val="-18"/>
          <w:w w:val="104"/>
          <w:szCs w:val="20"/>
        </w:rPr>
        <w:t>y</w:t>
      </w:r>
      <w:r w:rsidR="001C5B42">
        <w:rPr>
          <w:rFonts w:eastAsia="Batang"/>
          <w:szCs w:val="20"/>
        </w:rPr>
        <w:t>,</w:t>
      </w:r>
      <w:r w:rsidRPr="00CF412F">
        <w:rPr>
          <w:rFonts w:eastAsia="Batang"/>
          <w:spacing w:val="15"/>
          <w:szCs w:val="20"/>
        </w:rPr>
        <w:t xml:space="preserve"> </w:t>
      </w:r>
      <w:r w:rsidRPr="00CF412F">
        <w:rPr>
          <w:rFonts w:eastAsia="Batang"/>
          <w:szCs w:val="20"/>
        </w:rPr>
        <w:t>S</w:t>
      </w:r>
      <w:r w:rsidRPr="00CF412F">
        <w:rPr>
          <w:rFonts w:eastAsia="Batang"/>
          <w:spacing w:val="-6"/>
          <w:szCs w:val="20"/>
        </w:rPr>
        <w:t>w</w:t>
      </w:r>
      <w:r w:rsidRPr="00CF412F">
        <w:rPr>
          <w:rFonts w:eastAsia="Batang"/>
          <w:szCs w:val="20"/>
        </w:rPr>
        <w:t>eden and the USA</w:t>
      </w:r>
      <w:r w:rsidRPr="00CF412F">
        <w:rPr>
          <w:rFonts w:eastAsia="Batang"/>
          <w:spacing w:val="-18"/>
          <w:w w:val="104"/>
          <w:szCs w:val="20"/>
        </w:rPr>
        <w:t xml:space="preserve">). </w:t>
      </w:r>
      <w:r w:rsidRPr="00CF412F">
        <w:rPr>
          <w:rFonts w:eastAsia="Batang"/>
          <w:szCs w:val="20"/>
        </w:rPr>
        <w:t>Because of differences in governance and regulation</w:t>
      </w:r>
      <w:r w:rsidR="001C5B42">
        <w:rPr>
          <w:rFonts w:eastAsia="Batang"/>
          <w:szCs w:val="20"/>
        </w:rPr>
        <w:t>,</w:t>
      </w:r>
      <w:r w:rsidRPr="00CF412F">
        <w:rPr>
          <w:rFonts w:eastAsia="Batang"/>
          <w:szCs w:val="20"/>
        </w:rPr>
        <w:t xml:space="preserve"> Type 2 systems are best divided between </w:t>
      </w:r>
      <w:r w:rsidR="00846E0A" w:rsidRPr="00CF412F">
        <w:rPr>
          <w:rFonts w:eastAsia="Batang"/>
          <w:b/>
          <w:color w:val="1F497D" w:themeColor="text2"/>
          <w:szCs w:val="20"/>
        </w:rPr>
        <w:t>Type 2a for the N</w:t>
      </w:r>
      <w:r w:rsidRPr="00CF412F">
        <w:rPr>
          <w:rFonts w:eastAsia="Batang"/>
          <w:b/>
          <w:color w:val="1F497D" w:themeColor="text2"/>
          <w:szCs w:val="20"/>
        </w:rPr>
        <w:t>orth American variant</w:t>
      </w:r>
      <w:r w:rsidRPr="00CF412F">
        <w:rPr>
          <w:rFonts w:eastAsia="Batang"/>
          <w:color w:val="1F497D" w:themeColor="text2"/>
          <w:szCs w:val="20"/>
        </w:rPr>
        <w:t xml:space="preserve"> </w:t>
      </w:r>
      <w:r w:rsidRPr="00CF412F">
        <w:rPr>
          <w:rFonts w:eastAsia="Batang"/>
          <w:szCs w:val="20"/>
        </w:rPr>
        <w:t xml:space="preserve">and </w:t>
      </w:r>
      <w:r w:rsidRPr="00CF412F">
        <w:rPr>
          <w:rFonts w:eastAsia="Batang"/>
          <w:b/>
          <w:color w:val="1F497D" w:themeColor="text2"/>
          <w:szCs w:val="20"/>
        </w:rPr>
        <w:t>Type 2b for the Nordic variant</w:t>
      </w:r>
      <w:r w:rsidRPr="00CF412F">
        <w:rPr>
          <w:rFonts w:eastAsia="Batang"/>
          <w:szCs w:val="20"/>
        </w:rPr>
        <w:t xml:space="preserve">. </w:t>
      </w:r>
    </w:p>
    <w:p w:rsidR="00347A4B" w:rsidRPr="00CF412F" w:rsidRDefault="00BF65F7" w:rsidP="00F90C88">
      <w:pPr>
        <w:pStyle w:val="ListParagraph"/>
        <w:numPr>
          <w:ilvl w:val="0"/>
          <w:numId w:val="36"/>
        </w:numPr>
        <w:spacing w:after="120" w:line="288" w:lineRule="auto"/>
        <w:rPr>
          <w:rFonts w:eastAsia="Batang"/>
          <w:szCs w:val="20"/>
        </w:rPr>
      </w:pPr>
      <w:r w:rsidRPr="00CF412F">
        <w:rPr>
          <w:rFonts w:eastAsia="Batang"/>
          <w:b/>
          <w:color w:val="1F497D" w:themeColor="text2"/>
        </w:rPr>
        <w:t>Tracked academic and apprenticeship provision</w:t>
      </w:r>
      <w:r w:rsidR="00347A4B" w:rsidRPr="00CF412F">
        <w:rPr>
          <w:rFonts w:eastAsia="Batang"/>
          <w:b/>
          <w:color w:val="1F497D" w:themeColor="text2"/>
        </w:rPr>
        <w:t xml:space="preserve"> systems (</w:t>
      </w:r>
      <w:r w:rsidR="001C5B42">
        <w:rPr>
          <w:rFonts w:eastAsia="Batang"/>
          <w:b/>
          <w:color w:val="1F497D" w:themeColor="text2"/>
        </w:rPr>
        <w:t>T</w:t>
      </w:r>
      <w:r w:rsidR="00347A4B" w:rsidRPr="00CF412F">
        <w:rPr>
          <w:rFonts w:eastAsia="Batang"/>
          <w:b/>
          <w:color w:val="1F497D" w:themeColor="text2"/>
        </w:rPr>
        <w:t>ype 3)</w:t>
      </w:r>
      <w:r w:rsidRPr="00CF412F">
        <w:rPr>
          <w:rFonts w:eastAsia="Batang"/>
          <w:b/>
        </w:rPr>
        <w:t>:</w:t>
      </w:r>
      <w:r w:rsidRPr="00CF412F">
        <w:rPr>
          <w:rFonts w:eastAsia="Batang"/>
        </w:rPr>
        <w:t xml:space="preserve"> </w:t>
      </w:r>
      <w:r w:rsidRPr="00CF412F">
        <w:rPr>
          <w:rFonts w:eastAsia="Batang"/>
          <w:szCs w:val="20"/>
        </w:rPr>
        <w:t>these are systems with participation distributed relatively equally between s</w:t>
      </w:r>
      <w:r w:rsidRPr="00CF412F">
        <w:rPr>
          <w:rFonts w:eastAsia="Batang"/>
          <w:spacing w:val="-6"/>
          <w:szCs w:val="20"/>
        </w:rPr>
        <w:t>c</w:t>
      </w:r>
      <w:r w:rsidRPr="00CF412F">
        <w:rPr>
          <w:rFonts w:eastAsia="Batang"/>
          <w:szCs w:val="20"/>
        </w:rPr>
        <w:t>h</w:t>
      </w:r>
      <w:r w:rsidRPr="00CF412F">
        <w:rPr>
          <w:rFonts w:eastAsia="Batang"/>
          <w:spacing w:val="6"/>
          <w:szCs w:val="20"/>
        </w:rPr>
        <w:t>o</w:t>
      </w:r>
      <w:r w:rsidRPr="00CF412F">
        <w:rPr>
          <w:rFonts w:eastAsia="Batang"/>
          <w:szCs w:val="20"/>
        </w:rPr>
        <w:t xml:space="preserve">ol-based </w:t>
      </w:r>
      <w:r w:rsidRPr="00CF412F">
        <w:rPr>
          <w:rFonts w:eastAsia="Batang"/>
          <w:spacing w:val="20"/>
          <w:szCs w:val="20"/>
        </w:rPr>
        <w:t xml:space="preserve">general education </w:t>
      </w:r>
      <w:r w:rsidRPr="00CF412F">
        <w:rPr>
          <w:rFonts w:eastAsia="Batang"/>
          <w:szCs w:val="20"/>
        </w:rPr>
        <w:t xml:space="preserve">and </w:t>
      </w:r>
      <w:r w:rsidRPr="00CF412F">
        <w:rPr>
          <w:rFonts w:eastAsia="Batang"/>
          <w:w w:val="105"/>
          <w:szCs w:val="20"/>
        </w:rPr>
        <w:t>empl</w:t>
      </w:r>
      <w:r w:rsidRPr="00CF412F">
        <w:rPr>
          <w:rFonts w:eastAsia="Batang"/>
          <w:spacing w:val="-6"/>
          <w:w w:val="105"/>
          <w:szCs w:val="20"/>
        </w:rPr>
        <w:t>o</w:t>
      </w:r>
      <w:r w:rsidRPr="00CF412F">
        <w:rPr>
          <w:rFonts w:eastAsia="Batang"/>
          <w:w w:val="105"/>
          <w:szCs w:val="20"/>
        </w:rPr>
        <w:t>yme</w:t>
      </w:r>
      <w:r w:rsidRPr="00CF412F">
        <w:rPr>
          <w:rFonts w:eastAsia="Batang"/>
          <w:spacing w:val="-6"/>
          <w:w w:val="105"/>
          <w:szCs w:val="20"/>
        </w:rPr>
        <w:t>n</w:t>
      </w:r>
      <w:r w:rsidRPr="00CF412F">
        <w:rPr>
          <w:rFonts w:eastAsia="Batang"/>
          <w:w w:val="105"/>
          <w:szCs w:val="20"/>
        </w:rPr>
        <w:t>t-based</w:t>
      </w:r>
      <w:r w:rsidRPr="00CF412F">
        <w:rPr>
          <w:rFonts w:eastAsia="Batang"/>
          <w:spacing w:val="31"/>
          <w:w w:val="105"/>
          <w:szCs w:val="20"/>
        </w:rPr>
        <w:t xml:space="preserve"> </w:t>
      </w:r>
      <w:r w:rsidRPr="00CF412F">
        <w:rPr>
          <w:rFonts w:eastAsia="Batang"/>
          <w:szCs w:val="20"/>
        </w:rPr>
        <w:t>Dual Systems of</w:t>
      </w:r>
      <w:r w:rsidRPr="00CF412F">
        <w:rPr>
          <w:rFonts w:eastAsia="Batang"/>
          <w:spacing w:val="16"/>
          <w:szCs w:val="20"/>
        </w:rPr>
        <w:t xml:space="preserve"> </w:t>
      </w:r>
      <w:r w:rsidRPr="00CF412F">
        <w:rPr>
          <w:rFonts w:eastAsia="Batang"/>
          <w:w w:val="107"/>
          <w:szCs w:val="20"/>
        </w:rPr>
        <w:t>appre</w:t>
      </w:r>
      <w:r w:rsidRPr="00CF412F">
        <w:rPr>
          <w:rFonts w:eastAsia="Batang"/>
          <w:spacing w:val="-5"/>
          <w:w w:val="107"/>
          <w:szCs w:val="20"/>
        </w:rPr>
        <w:t>n</w:t>
      </w:r>
      <w:r w:rsidRPr="00CF412F">
        <w:rPr>
          <w:rFonts w:eastAsia="Batang"/>
          <w:w w:val="107"/>
          <w:szCs w:val="20"/>
        </w:rPr>
        <w:t xml:space="preserve">ticeship and are found exclusively in social market political economies. In this kind of system the provision at upper secondary level may be of similar duration across the different tracks, and the vocational track may contain significant mandatory components of general </w:t>
      </w:r>
      <w:r w:rsidRPr="00CF412F">
        <w:rPr>
          <w:rFonts w:eastAsia="Batang"/>
          <w:szCs w:val="20"/>
        </w:rPr>
        <w:t>education (as in all Dual Syste</w:t>
      </w:r>
      <w:r w:rsidR="00484F3A" w:rsidRPr="00CF412F">
        <w:rPr>
          <w:rFonts w:eastAsia="Batang"/>
          <w:szCs w:val="20"/>
        </w:rPr>
        <w:t>m apprenticeships (Solga et al.</w:t>
      </w:r>
      <w:r w:rsidRPr="00CF412F">
        <w:rPr>
          <w:rFonts w:eastAsia="Batang"/>
          <w:szCs w:val="20"/>
        </w:rPr>
        <w:t xml:space="preserve"> 2014)). However, the general and vocational</w:t>
      </w:r>
      <w:r w:rsidRPr="00CF412F">
        <w:rPr>
          <w:rFonts w:eastAsia="Batang"/>
          <w:w w:val="107"/>
          <w:szCs w:val="20"/>
        </w:rPr>
        <w:t xml:space="preserve"> tracks remain very distinctive, with sharp differences in forms of regulation, curricula and assessment, and with clearly differentiated final qualifications and subsequent progression possibilities in education, training and work (e.g. in Germany, university for </w:t>
      </w:r>
      <w:r w:rsidRPr="003C2FF8">
        <w:rPr>
          <w:rFonts w:eastAsia="Batang"/>
          <w:i/>
          <w:w w:val="107"/>
          <w:szCs w:val="20"/>
        </w:rPr>
        <w:t>Abitur</w:t>
      </w:r>
      <w:r w:rsidRPr="00CF412F">
        <w:rPr>
          <w:rFonts w:eastAsia="Batang"/>
          <w:w w:val="107"/>
          <w:szCs w:val="20"/>
        </w:rPr>
        <w:t xml:space="preserve"> graduates from the </w:t>
      </w:r>
      <w:r w:rsidRPr="003C2FF8">
        <w:rPr>
          <w:rFonts w:eastAsia="Batang"/>
          <w:i/>
          <w:w w:val="107"/>
          <w:szCs w:val="20"/>
        </w:rPr>
        <w:t>Gymnasium</w:t>
      </w:r>
      <w:r w:rsidRPr="00CF412F">
        <w:rPr>
          <w:rFonts w:eastAsia="Batang"/>
          <w:w w:val="107"/>
          <w:szCs w:val="20"/>
        </w:rPr>
        <w:t xml:space="preserve"> and </w:t>
      </w:r>
      <w:r w:rsidRPr="003C2FF8">
        <w:rPr>
          <w:rFonts w:eastAsia="Batang"/>
          <w:i/>
          <w:w w:val="107"/>
          <w:szCs w:val="20"/>
        </w:rPr>
        <w:t>Realschule</w:t>
      </w:r>
      <w:r w:rsidRPr="00CF412F">
        <w:rPr>
          <w:rFonts w:eastAsia="Batang"/>
          <w:w w:val="107"/>
          <w:szCs w:val="20"/>
        </w:rPr>
        <w:t xml:space="preserve"> and skilled jobs or higher technical courses for apprentice graduates). In respect of their Dual Systems, </w:t>
      </w:r>
      <w:r w:rsidRPr="00CF412F">
        <w:rPr>
          <w:rFonts w:eastAsia="Batang"/>
          <w:szCs w:val="20"/>
        </w:rPr>
        <w:t>Type 3 systems have distinctive forms of regulation based on social partner organisations. This means that apprenticeship systems are closely integrated with labour market institutions and the world of work, and this has important effects on the labour market value of the qualifications they offer and the consequent incentives this provides for app</w:t>
      </w:r>
      <w:r w:rsidR="003E14B7">
        <w:rPr>
          <w:rFonts w:eastAsia="Batang"/>
          <w:szCs w:val="20"/>
        </w:rPr>
        <w:t>rentices (Busemeyer/</w:t>
      </w:r>
      <w:r w:rsidR="00484F3A" w:rsidRPr="00CF412F">
        <w:rPr>
          <w:rFonts w:eastAsia="Batang"/>
          <w:szCs w:val="20"/>
        </w:rPr>
        <w:t>Iversen</w:t>
      </w:r>
      <w:r w:rsidRPr="00CF412F">
        <w:rPr>
          <w:rFonts w:eastAsia="Batang"/>
          <w:szCs w:val="20"/>
        </w:rPr>
        <w:t xml:space="preserve"> 2012). </w:t>
      </w:r>
      <w:r w:rsidRPr="00CF412F">
        <w:rPr>
          <w:rFonts w:eastAsia="Batang"/>
          <w:w w:val="107"/>
          <w:szCs w:val="20"/>
        </w:rPr>
        <w:t>A number of countries have traditional Dual Systems of apprenticeship, where provision is regulated by the social partners, and with apprentices recruited by firms and placed on employment contracts (including Austria, Belgium, Denmark, Germany, Ireland, Luxembourg, Netherlands, Switzerland and the UK). But it is only in Austria, Germany and Switzerland where a third or more of young p</w:t>
      </w:r>
      <w:r w:rsidR="00484F3A" w:rsidRPr="00CF412F">
        <w:rPr>
          <w:rFonts w:eastAsia="Batang"/>
          <w:w w:val="107"/>
          <w:szCs w:val="20"/>
        </w:rPr>
        <w:t>eople participate in them (OECD</w:t>
      </w:r>
      <w:r w:rsidRPr="00CF412F">
        <w:rPr>
          <w:rFonts w:eastAsia="Batang"/>
          <w:w w:val="107"/>
          <w:szCs w:val="20"/>
        </w:rPr>
        <w:t xml:space="preserve"> 2008</w:t>
      </w:r>
      <w:r w:rsidR="001C5B42">
        <w:rPr>
          <w:rFonts w:eastAsia="Batang"/>
          <w:w w:val="107"/>
          <w:szCs w:val="20"/>
        </w:rPr>
        <w:t>:</w:t>
      </w:r>
      <w:r w:rsidR="00081F21">
        <w:rPr>
          <w:rFonts w:eastAsia="Batang"/>
          <w:w w:val="107"/>
          <w:szCs w:val="20"/>
        </w:rPr>
        <w:t xml:space="preserve"> 331 (</w:t>
      </w:r>
      <w:r w:rsidR="003E14B7">
        <w:rPr>
          <w:rFonts w:eastAsia="Batang"/>
          <w:w w:val="107"/>
          <w:szCs w:val="20"/>
        </w:rPr>
        <w:t>Table C1.1</w:t>
      </w:r>
      <w:r w:rsidR="00081F21">
        <w:rPr>
          <w:rFonts w:eastAsia="Batang"/>
          <w:w w:val="107"/>
          <w:szCs w:val="20"/>
        </w:rPr>
        <w:t>)</w:t>
      </w:r>
      <w:r w:rsidR="003E14B7">
        <w:rPr>
          <w:rFonts w:eastAsia="Batang"/>
          <w:w w:val="107"/>
          <w:szCs w:val="20"/>
        </w:rPr>
        <w:t>,</w:t>
      </w:r>
      <w:r w:rsidR="00484F3A" w:rsidRPr="00CF412F">
        <w:rPr>
          <w:rFonts w:eastAsia="Batang"/>
          <w:w w:val="107"/>
          <w:szCs w:val="20"/>
        </w:rPr>
        <w:t xml:space="preserve"> Steedman</w:t>
      </w:r>
      <w:r w:rsidRPr="00CF412F">
        <w:rPr>
          <w:rFonts w:eastAsia="Batang"/>
          <w:w w:val="107"/>
          <w:szCs w:val="20"/>
        </w:rPr>
        <w:t xml:space="preserve"> 2001, 2010). </w:t>
      </w:r>
    </w:p>
    <w:p w:rsidR="00BF65F7" w:rsidRPr="00CF412F" w:rsidRDefault="00BF65F7" w:rsidP="00F90C88">
      <w:pPr>
        <w:pStyle w:val="ListParagraph"/>
        <w:numPr>
          <w:ilvl w:val="0"/>
          <w:numId w:val="36"/>
        </w:numPr>
        <w:spacing w:after="120" w:line="288" w:lineRule="auto"/>
        <w:rPr>
          <w:rFonts w:eastAsia="Batang"/>
          <w:szCs w:val="20"/>
        </w:rPr>
      </w:pPr>
      <w:r w:rsidRPr="00CF412F">
        <w:rPr>
          <w:b/>
          <w:color w:val="1F497D" w:themeColor="text2"/>
        </w:rPr>
        <w:t>Mixed systems</w:t>
      </w:r>
      <w:r w:rsidR="00347A4B" w:rsidRPr="00CF412F">
        <w:rPr>
          <w:b/>
          <w:color w:val="1F497D" w:themeColor="text2"/>
        </w:rPr>
        <w:t xml:space="preserve"> (</w:t>
      </w:r>
      <w:r w:rsidR="001C5B42">
        <w:rPr>
          <w:b/>
          <w:color w:val="1F497D" w:themeColor="text2"/>
        </w:rPr>
        <w:t>T</w:t>
      </w:r>
      <w:r w:rsidR="00347A4B" w:rsidRPr="00CF412F">
        <w:rPr>
          <w:b/>
          <w:color w:val="1F497D" w:themeColor="text2"/>
        </w:rPr>
        <w:t>ype 4)</w:t>
      </w:r>
      <w:r w:rsidRPr="00CF412F">
        <w:t xml:space="preserve">: </w:t>
      </w:r>
      <w:r w:rsidRPr="00CF412F">
        <w:rPr>
          <w:rFonts w:eastAsia="Batang"/>
          <w:szCs w:val="20"/>
        </w:rPr>
        <w:t>these are systems whi</w:t>
      </w:r>
      <w:r w:rsidRPr="00CF412F">
        <w:rPr>
          <w:rFonts w:eastAsia="Batang"/>
          <w:spacing w:val="-6"/>
          <w:szCs w:val="20"/>
        </w:rPr>
        <w:t>c</w:t>
      </w:r>
      <w:r w:rsidRPr="00CF412F">
        <w:rPr>
          <w:rFonts w:eastAsia="Batang"/>
          <w:szCs w:val="20"/>
        </w:rPr>
        <w:t>h</w:t>
      </w:r>
      <w:r w:rsidRPr="00CF412F">
        <w:rPr>
          <w:rFonts w:eastAsia="Batang"/>
          <w:spacing w:val="25"/>
          <w:szCs w:val="20"/>
        </w:rPr>
        <w:t xml:space="preserve"> </w:t>
      </w:r>
      <w:r w:rsidRPr="00CF412F">
        <w:rPr>
          <w:rFonts w:eastAsia="Batang"/>
          <w:szCs w:val="20"/>
        </w:rPr>
        <w:t>inclu</w:t>
      </w:r>
      <w:r w:rsidRPr="00CF412F">
        <w:rPr>
          <w:rFonts w:eastAsia="Batang"/>
          <w:spacing w:val="1"/>
          <w:szCs w:val="20"/>
        </w:rPr>
        <w:t>d</w:t>
      </w:r>
      <w:r w:rsidRPr="00CF412F">
        <w:rPr>
          <w:rFonts w:eastAsia="Batang"/>
          <w:szCs w:val="20"/>
        </w:rPr>
        <w:t>e</w:t>
      </w:r>
      <w:r w:rsidRPr="00CF412F">
        <w:rPr>
          <w:rFonts w:eastAsia="Batang"/>
          <w:spacing w:val="32"/>
          <w:szCs w:val="20"/>
        </w:rPr>
        <w:t xml:space="preserve"> </w:t>
      </w:r>
      <w:r w:rsidRPr="00CF412F">
        <w:rPr>
          <w:rFonts w:eastAsia="Batang"/>
          <w:szCs w:val="20"/>
        </w:rPr>
        <w:t>ma</w:t>
      </w:r>
      <w:r w:rsidRPr="00CF412F">
        <w:rPr>
          <w:rFonts w:eastAsia="Batang"/>
          <w:spacing w:val="-6"/>
          <w:szCs w:val="20"/>
        </w:rPr>
        <w:t>n</w:t>
      </w:r>
      <w:r w:rsidRPr="00CF412F">
        <w:rPr>
          <w:rFonts w:eastAsia="Batang"/>
          <w:szCs w:val="20"/>
        </w:rPr>
        <w:t>y</w:t>
      </w:r>
      <w:r w:rsidRPr="00CF412F">
        <w:rPr>
          <w:rFonts w:eastAsia="Batang"/>
          <w:spacing w:val="40"/>
          <w:szCs w:val="20"/>
        </w:rPr>
        <w:t xml:space="preserve"> </w:t>
      </w:r>
      <w:r w:rsidRPr="00CF412F">
        <w:rPr>
          <w:rFonts w:eastAsia="Batang"/>
          <w:w w:val="101"/>
          <w:szCs w:val="20"/>
        </w:rPr>
        <w:t>differe</w:t>
      </w:r>
      <w:r w:rsidRPr="00CF412F">
        <w:rPr>
          <w:rFonts w:eastAsia="Batang"/>
          <w:spacing w:val="-5"/>
          <w:w w:val="101"/>
          <w:szCs w:val="20"/>
        </w:rPr>
        <w:t>n</w:t>
      </w:r>
      <w:r w:rsidRPr="00CF412F">
        <w:rPr>
          <w:rFonts w:eastAsia="Batang"/>
          <w:w w:val="138"/>
          <w:szCs w:val="20"/>
        </w:rPr>
        <w:t>t</w:t>
      </w:r>
      <w:r w:rsidRPr="00CF412F">
        <w:rPr>
          <w:rFonts w:eastAsia="Batang"/>
          <w:spacing w:val="6"/>
          <w:w w:val="138"/>
          <w:szCs w:val="20"/>
        </w:rPr>
        <w:t xml:space="preserve"> </w:t>
      </w:r>
      <w:r w:rsidRPr="00CF412F">
        <w:rPr>
          <w:rFonts w:eastAsia="Batang"/>
          <w:szCs w:val="20"/>
        </w:rPr>
        <w:t>s</w:t>
      </w:r>
      <w:r w:rsidRPr="00CF412F">
        <w:rPr>
          <w:rFonts w:eastAsia="Batang"/>
          <w:spacing w:val="-6"/>
          <w:szCs w:val="20"/>
        </w:rPr>
        <w:t>c</w:t>
      </w:r>
      <w:r w:rsidRPr="00CF412F">
        <w:rPr>
          <w:rFonts w:eastAsia="Batang"/>
          <w:szCs w:val="20"/>
        </w:rPr>
        <w:t>h</w:t>
      </w:r>
      <w:r w:rsidRPr="00CF412F">
        <w:rPr>
          <w:rFonts w:eastAsia="Batang"/>
          <w:spacing w:val="6"/>
          <w:szCs w:val="20"/>
        </w:rPr>
        <w:t>o</w:t>
      </w:r>
      <w:r w:rsidRPr="00CF412F">
        <w:rPr>
          <w:rFonts w:eastAsia="Batang"/>
          <w:szCs w:val="20"/>
        </w:rPr>
        <w:t>ol-</w:t>
      </w:r>
      <w:r w:rsidRPr="00CF412F">
        <w:rPr>
          <w:rFonts w:eastAsia="Batang"/>
          <w:spacing w:val="11"/>
          <w:szCs w:val="20"/>
        </w:rPr>
        <w:t xml:space="preserve"> </w:t>
      </w:r>
      <w:r w:rsidRPr="00CF412F">
        <w:rPr>
          <w:rFonts w:eastAsia="Batang"/>
          <w:szCs w:val="20"/>
        </w:rPr>
        <w:t>and</w:t>
      </w:r>
      <w:r w:rsidRPr="00CF412F">
        <w:rPr>
          <w:rFonts w:eastAsia="Batang"/>
          <w:spacing w:val="38"/>
          <w:szCs w:val="20"/>
        </w:rPr>
        <w:t xml:space="preserve"> </w:t>
      </w:r>
      <w:r w:rsidRPr="00CF412F">
        <w:rPr>
          <w:rFonts w:eastAsia="Batang"/>
          <w:w w:val="103"/>
          <w:szCs w:val="20"/>
        </w:rPr>
        <w:t>empl</w:t>
      </w:r>
      <w:r w:rsidRPr="00CF412F">
        <w:rPr>
          <w:rFonts w:eastAsia="Batang"/>
          <w:spacing w:val="-6"/>
          <w:w w:val="103"/>
          <w:szCs w:val="20"/>
        </w:rPr>
        <w:t>o</w:t>
      </w:r>
      <w:r w:rsidRPr="00CF412F">
        <w:rPr>
          <w:rFonts w:eastAsia="Batang"/>
          <w:w w:val="105"/>
          <w:szCs w:val="20"/>
        </w:rPr>
        <w:t>yme</w:t>
      </w:r>
      <w:r w:rsidRPr="00CF412F">
        <w:rPr>
          <w:rFonts w:eastAsia="Batang"/>
          <w:spacing w:val="-6"/>
          <w:w w:val="105"/>
          <w:szCs w:val="20"/>
        </w:rPr>
        <w:t>n</w:t>
      </w:r>
      <w:r w:rsidRPr="00CF412F">
        <w:rPr>
          <w:rFonts w:eastAsia="Batang"/>
          <w:w w:val="117"/>
          <w:szCs w:val="20"/>
        </w:rPr>
        <w:t xml:space="preserve">t- </w:t>
      </w:r>
      <w:r w:rsidRPr="00CF412F">
        <w:rPr>
          <w:rFonts w:eastAsia="Batang"/>
          <w:szCs w:val="20"/>
        </w:rPr>
        <w:t>based</w:t>
      </w:r>
      <w:r w:rsidRPr="00CF412F">
        <w:rPr>
          <w:rFonts w:eastAsia="Batang"/>
          <w:spacing w:val="37"/>
          <w:szCs w:val="20"/>
        </w:rPr>
        <w:t xml:space="preserve"> </w:t>
      </w:r>
      <w:r w:rsidRPr="00CF412F">
        <w:rPr>
          <w:rFonts w:eastAsia="Batang"/>
          <w:szCs w:val="20"/>
        </w:rPr>
        <w:t>programmes of variable length and quality</w:t>
      </w:r>
      <w:r w:rsidRPr="00CF412F">
        <w:rPr>
          <w:rFonts w:eastAsia="Batang"/>
          <w:spacing w:val="47"/>
          <w:szCs w:val="20"/>
        </w:rPr>
        <w:t xml:space="preserve"> </w:t>
      </w:r>
      <w:r w:rsidRPr="00CF412F">
        <w:rPr>
          <w:rFonts w:eastAsia="Batang"/>
          <w:szCs w:val="20"/>
        </w:rPr>
        <w:t>but</w:t>
      </w:r>
      <w:r w:rsidRPr="00CF412F">
        <w:rPr>
          <w:rFonts w:eastAsia="Batang"/>
          <w:spacing w:val="52"/>
          <w:szCs w:val="20"/>
        </w:rPr>
        <w:t xml:space="preserve"> </w:t>
      </w:r>
      <w:r w:rsidRPr="00CF412F">
        <w:rPr>
          <w:rFonts w:eastAsia="Batang"/>
          <w:szCs w:val="20"/>
        </w:rPr>
        <w:t>with</w:t>
      </w:r>
      <w:r w:rsidRPr="00CF412F">
        <w:rPr>
          <w:rFonts w:eastAsia="Batang"/>
          <w:spacing w:val="39"/>
          <w:szCs w:val="20"/>
        </w:rPr>
        <w:t xml:space="preserve"> </w:t>
      </w:r>
      <w:r w:rsidRPr="00CF412F">
        <w:rPr>
          <w:rFonts w:eastAsia="Batang"/>
          <w:w w:val="107"/>
          <w:szCs w:val="20"/>
        </w:rPr>
        <w:t>domina</w:t>
      </w:r>
      <w:r w:rsidRPr="00CF412F">
        <w:rPr>
          <w:rFonts w:eastAsia="Batang"/>
          <w:spacing w:val="-5"/>
          <w:w w:val="107"/>
          <w:szCs w:val="20"/>
        </w:rPr>
        <w:t>n</w:t>
      </w:r>
      <w:r w:rsidRPr="00CF412F">
        <w:rPr>
          <w:rFonts w:eastAsia="Batang"/>
          <w:w w:val="138"/>
          <w:szCs w:val="20"/>
        </w:rPr>
        <w:t>t</w:t>
      </w:r>
      <w:r w:rsidRPr="00CF412F">
        <w:rPr>
          <w:rFonts w:eastAsia="Batang"/>
          <w:spacing w:val="7"/>
          <w:szCs w:val="20"/>
        </w:rPr>
        <w:t xml:space="preserve"> </w:t>
      </w:r>
      <w:r w:rsidRPr="00CF412F">
        <w:rPr>
          <w:rFonts w:eastAsia="Batang"/>
          <w:szCs w:val="20"/>
        </w:rPr>
        <w:t>academic</w:t>
      </w:r>
      <w:r w:rsidRPr="00CF412F">
        <w:rPr>
          <w:rFonts w:eastAsia="Batang"/>
          <w:spacing w:val="49"/>
          <w:szCs w:val="20"/>
        </w:rPr>
        <w:t xml:space="preserve"> </w:t>
      </w:r>
      <w:r w:rsidRPr="00CF412F">
        <w:rPr>
          <w:rFonts w:eastAsia="Batang"/>
          <w:szCs w:val="20"/>
        </w:rPr>
        <w:t>tra</w:t>
      </w:r>
      <w:r w:rsidRPr="00CF412F">
        <w:rPr>
          <w:rFonts w:eastAsia="Batang"/>
          <w:spacing w:val="-6"/>
          <w:szCs w:val="20"/>
        </w:rPr>
        <w:t>c</w:t>
      </w:r>
      <w:r w:rsidRPr="00CF412F">
        <w:rPr>
          <w:rFonts w:eastAsia="Batang"/>
          <w:szCs w:val="20"/>
        </w:rPr>
        <w:t xml:space="preserve">ks. Programmes in these systems are often organised on a modular basis, to promote flexible combinations of options. Assessment in general subjects can be through elective single subject awards (as with the English ‘A’ levels) or, in some cases, by grouped awards which specify a given combination of subjects to be assessed, as in </w:t>
      </w:r>
      <w:r w:rsidRPr="003C2FF8">
        <w:rPr>
          <w:rFonts w:eastAsia="Batang"/>
          <w:i/>
          <w:szCs w:val="20"/>
        </w:rPr>
        <w:t>Bachillerato</w:t>
      </w:r>
      <w:r w:rsidRPr="00CF412F">
        <w:rPr>
          <w:rFonts w:eastAsia="Batang"/>
          <w:szCs w:val="20"/>
        </w:rPr>
        <w:t xml:space="preserve"> in Spain.  On vocational courses students are often assessed on the basis of their ability to demonstrate competences rather than on their knowledge of a syllabus, and programmes often do not have a prescribed duration. Regulation and governance in mixed systems is generally more liberal and market-oriented than in other systems, with much diversity in programmes and types of providers, including private training organisations and, in the case of the UK, private awarding bodies. Systems in this group tend to have higher rates of early school leaving (defined by the European Commission as those who leave education without qualifications above the ISCED 3 C (short) level)</w:t>
      </w:r>
      <w:r w:rsidRPr="00CF412F">
        <w:rPr>
          <w:rStyle w:val="FootnoteReference"/>
          <w:rFonts w:eastAsia="Batang"/>
          <w:szCs w:val="20"/>
        </w:rPr>
        <w:footnoteReference w:id="26"/>
      </w:r>
      <w:r w:rsidR="00081F21">
        <w:rPr>
          <w:rFonts w:eastAsia="Batang"/>
          <w:szCs w:val="20"/>
        </w:rPr>
        <w:t>.</w:t>
      </w:r>
      <w:r w:rsidRPr="00CF412F">
        <w:rPr>
          <w:rFonts w:eastAsia="Batang"/>
          <w:szCs w:val="20"/>
        </w:rPr>
        <w:t xml:space="preserve">  </w:t>
      </w:r>
      <w:r w:rsidRPr="00CF412F">
        <w:rPr>
          <w:rFonts w:eastAsia="Batang"/>
          <w:w w:val="109"/>
          <w:szCs w:val="20"/>
        </w:rPr>
        <w:t xml:space="preserve">Systems broadly conforming to this type can be found in </w:t>
      </w:r>
      <w:r w:rsidRPr="00CF412F">
        <w:rPr>
          <w:rFonts w:eastAsia="Batang"/>
          <w:spacing w:val="18"/>
          <w:szCs w:val="20"/>
        </w:rPr>
        <w:t xml:space="preserve">Australia, </w:t>
      </w:r>
      <w:r w:rsidRPr="00CF412F">
        <w:rPr>
          <w:rFonts w:eastAsia="Batang"/>
          <w:w w:val="109"/>
          <w:szCs w:val="20"/>
        </w:rPr>
        <w:t>England,</w:t>
      </w:r>
      <w:r w:rsidRPr="00CF412F">
        <w:rPr>
          <w:rFonts w:eastAsia="Batang"/>
          <w:spacing w:val="-5"/>
          <w:w w:val="109"/>
          <w:szCs w:val="20"/>
        </w:rPr>
        <w:t xml:space="preserve"> </w:t>
      </w:r>
      <w:r w:rsidRPr="00CF412F">
        <w:rPr>
          <w:rFonts w:eastAsia="Batang"/>
          <w:w w:val="109"/>
          <w:szCs w:val="20"/>
        </w:rPr>
        <w:t xml:space="preserve">Northern </w:t>
      </w:r>
      <w:r w:rsidRPr="00CF412F">
        <w:rPr>
          <w:rFonts w:eastAsia="Batang"/>
          <w:szCs w:val="20"/>
        </w:rPr>
        <w:t>Ireland,</w:t>
      </w:r>
      <w:r w:rsidRPr="00CF412F">
        <w:rPr>
          <w:rFonts w:eastAsia="Batang"/>
          <w:spacing w:val="18"/>
          <w:szCs w:val="20"/>
        </w:rPr>
        <w:t xml:space="preserve"> Ireland, Scotland, Spain and </w:t>
      </w:r>
      <w:r w:rsidRPr="00CF412F">
        <w:rPr>
          <w:rFonts w:eastAsia="Batang"/>
          <w:szCs w:val="20"/>
        </w:rPr>
        <w:t>New</w:t>
      </w:r>
      <w:r w:rsidRPr="00CF412F">
        <w:rPr>
          <w:rFonts w:eastAsia="Batang"/>
          <w:spacing w:val="19"/>
          <w:szCs w:val="20"/>
        </w:rPr>
        <w:t xml:space="preserve"> </w:t>
      </w:r>
      <w:r w:rsidRPr="00CF412F">
        <w:rPr>
          <w:rFonts w:eastAsia="Batang"/>
          <w:szCs w:val="20"/>
        </w:rPr>
        <w:t>Zealand</w:t>
      </w:r>
      <w:r w:rsidRPr="00CF412F">
        <w:rPr>
          <w:rFonts w:eastAsia="Batang"/>
          <w:w w:val="110"/>
          <w:szCs w:val="20"/>
        </w:rPr>
        <w:t xml:space="preserve">. With the exception of Spain, these countries all belong to the liberal model of political economy identified in the varieties of capitalism literature. </w:t>
      </w:r>
    </w:p>
    <w:p w:rsidR="00BF65F7" w:rsidRPr="001E31D3" w:rsidRDefault="00BF65F7" w:rsidP="00BF65F7">
      <w:pPr>
        <w:spacing w:after="120" w:line="288" w:lineRule="auto"/>
        <w:rPr>
          <w:rFonts w:eastAsiaTheme="minorHAnsi"/>
          <w:szCs w:val="20"/>
        </w:rPr>
      </w:pPr>
      <w:bookmarkStart w:id="196" w:name="_Toc432873779"/>
      <w:bookmarkStart w:id="197" w:name="_Toc426636425"/>
      <w:bookmarkStart w:id="198" w:name="_Toc426718872"/>
      <w:bookmarkStart w:id="199" w:name="_Toc426719068"/>
      <w:bookmarkStart w:id="200" w:name="_Toc427069141"/>
      <w:bookmarkStart w:id="201" w:name="_Toc427154777"/>
      <w:bookmarkStart w:id="202" w:name="_Toc427232503"/>
      <w:r w:rsidRPr="001E31D3">
        <w:rPr>
          <w:szCs w:val="20"/>
        </w:rPr>
        <w:t xml:space="preserve">Comparative research on the outcomes of the different types of upper secondary education and training systems has tended to focus on their relative effectiveness in facilitating youth transitions to the labour market. A series of Anglo-German comparative studies (e.g. </w:t>
      </w:r>
      <w:r w:rsidR="00484F3A" w:rsidRPr="001E31D3">
        <w:rPr>
          <w:rFonts w:eastAsiaTheme="minorEastAsia"/>
          <w:kern w:val="24"/>
          <w:szCs w:val="20"/>
        </w:rPr>
        <w:t>Evans and Heinz</w:t>
      </w:r>
      <w:r w:rsidR="003E14B7">
        <w:rPr>
          <w:rFonts w:eastAsiaTheme="minorEastAsia"/>
          <w:kern w:val="24"/>
          <w:szCs w:val="20"/>
        </w:rPr>
        <w:t xml:space="preserve"> 1994, Bynner/</w:t>
      </w:r>
      <w:r w:rsidRPr="001E31D3">
        <w:rPr>
          <w:rFonts w:eastAsiaTheme="minorEastAsia"/>
          <w:kern w:val="24"/>
          <w:szCs w:val="20"/>
        </w:rPr>
        <w:t>Roberts 1991</w:t>
      </w:r>
      <w:r w:rsidRPr="001E31D3">
        <w:rPr>
          <w:szCs w:val="20"/>
        </w:rPr>
        <w:t>) have suggested that apprenticeship systems provide smoother transitions into work for young people, with more certainty about entry into employment in skilled and relatively well-paid occupations. The rather mixed and diversified system in England, by contrast, has been associated with less clearly defined transition pathways which can be both circuitous and frequently disrupted. Other research has made wider claims for the effects of apprenticeship systems. Research in the comparative political economy tradition, for instance, has frequently argued that Dual Systems of apprenticeship not only provide smoother transitions into employment and lower rates of y</w:t>
      </w:r>
      <w:r w:rsidR="00484F3A" w:rsidRPr="001E31D3">
        <w:rPr>
          <w:szCs w:val="20"/>
        </w:rPr>
        <w:t xml:space="preserve">outh </w:t>
      </w:r>
      <w:r w:rsidR="003E14B7">
        <w:rPr>
          <w:szCs w:val="20"/>
        </w:rPr>
        <w:t>unemployment (Allmendinger 1999,</w:t>
      </w:r>
      <w:r w:rsidR="00484F3A" w:rsidRPr="001E31D3">
        <w:rPr>
          <w:szCs w:val="20"/>
        </w:rPr>
        <w:t xml:space="preserve"> Bre</w:t>
      </w:r>
      <w:r w:rsidR="003E14B7">
        <w:rPr>
          <w:szCs w:val="20"/>
        </w:rPr>
        <w:t>en 2005,</w:t>
      </w:r>
      <w:r w:rsidR="00484F3A" w:rsidRPr="001E31D3">
        <w:rPr>
          <w:szCs w:val="20"/>
        </w:rPr>
        <w:t xml:space="preserve"> Gangl</w:t>
      </w:r>
      <w:r w:rsidRPr="001E31D3">
        <w:rPr>
          <w:szCs w:val="20"/>
        </w:rPr>
        <w:t xml:space="preserve"> 2003), but also contribute towards the reduction of inequalities</w:t>
      </w:r>
      <w:r w:rsidR="00DF6A8D" w:rsidRPr="001E31D3">
        <w:rPr>
          <w:szCs w:val="20"/>
        </w:rPr>
        <w:t xml:space="preserve"> in competences</w:t>
      </w:r>
      <w:r w:rsidRPr="001E31D3">
        <w:rPr>
          <w:szCs w:val="20"/>
        </w:rPr>
        <w:t>. Countries with such systems are generally observed to retain a higher proportion of adults with intermediate skills and thus to reduce the hollowing-out of skills stocks and consequent skills polarisation associated with more liberal economies and other types of education and training system (Estevez-Abe et al 2001; Brown et al 2001). Going further still, others have argued that, when combined with certain forms of labour market organisation, and particularly centralised systems of wage bargaining, apprenticeship systems promote wage equa</w:t>
      </w:r>
      <w:r w:rsidR="003E14B7">
        <w:rPr>
          <w:szCs w:val="20"/>
        </w:rPr>
        <w:t>lisation (Busemeyer/</w:t>
      </w:r>
      <w:r w:rsidR="00484F3A" w:rsidRPr="001E31D3">
        <w:rPr>
          <w:szCs w:val="20"/>
        </w:rPr>
        <w:t>Iversen 2012</w:t>
      </w:r>
      <w:r w:rsidR="003E14B7">
        <w:rPr>
          <w:szCs w:val="20"/>
        </w:rPr>
        <w:t>,</w:t>
      </w:r>
      <w:r w:rsidR="00484F3A" w:rsidRPr="001E31D3">
        <w:rPr>
          <w:szCs w:val="20"/>
        </w:rPr>
        <w:t xml:space="preserve"> Busemeyer</w:t>
      </w:r>
      <w:r w:rsidRPr="001E31D3">
        <w:rPr>
          <w:szCs w:val="20"/>
        </w:rPr>
        <w:t xml:space="preserve"> 2014) amongst adult workers. </w:t>
      </w:r>
    </w:p>
    <w:p w:rsidR="00BF65F7" w:rsidRPr="001E31D3" w:rsidRDefault="00BF65F7" w:rsidP="00BF65F7">
      <w:pPr>
        <w:spacing w:after="120" w:line="288" w:lineRule="auto"/>
        <w:rPr>
          <w:szCs w:val="20"/>
        </w:rPr>
      </w:pPr>
      <w:r w:rsidRPr="001E31D3">
        <w:rPr>
          <w:szCs w:val="20"/>
        </w:rPr>
        <w:t xml:space="preserve">There has been very much less research, however, on the </w:t>
      </w:r>
      <w:r w:rsidRPr="001E31D3">
        <w:rPr>
          <w:b/>
          <w:color w:val="1F497D" w:themeColor="text2"/>
          <w:szCs w:val="20"/>
        </w:rPr>
        <w:t>effects of different types of system on educational attainment and the acquisition of basic competences</w:t>
      </w:r>
      <w:r w:rsidRPr="001E31D3">
        <w:rPr>
          <w:color w:val="1F497D" w:themeColor="text2"/>
          <w:szCs w:val="20"/>
        </w:rPr>
        <w:t>.</w:t>
      </w:r>
      <w:r w:rsidRPr="001E31D3">
        <w:rPr>
          <w:szCs w:val="20"/>
        </w:rPr>
        <w:t xml:space="preserve"> One reason for this is the relative lack of comparable international data on learning gain at the upper secondary level.  It is possible, using available cross-sectional data on qualifications, to analyse the rates of progression of lower secondary graduates to higher level qualifications, say at the ISCED 3 level, and to compare the rates across different types of system. However, such analyses tend to me marred the lack of comparability of qualifications across countries, and by anomalies in attribution of specific country qualifications to different levels within the ISCED classification system. Comparison across countries of average levels of competence gain</w:t>
      </w:r>
      <w:r w:rsidR="00347A4B" w:rsidRPr="001E31D3">
        <w:rPr>
          <w:szCs w:val="20"/>
        </w:rPr>
        <w:t>s</w:t>
      </w:r>
      <w:r w:rsidRPr="001E31D3">
        <w:rPr>
          <w:szCs w:val="20"/>
        </w:rPr>
        <w:t xml:space="preserve"> during the upper secondary</w:t>
      </w:r>
      <w:r w:rsidR="00347A4B" w:rsidRPr="001E31D3">
        <w:rPr>
          <w:szCs w:val="20"/>
        </w:rPr>
        <w:t xml:space="preserve"> and tertiary</w:t>
      </w:r>
      <w:r w:rsidRPr="001E31D3">
        <w:rPr>
          <w:szCs w:val="20"/>
        </w:rPr>
        <w:t xml:space="preserve"> phase</w:t>
      </w:r>
      <w:r w:rsidR="00347A4B" w:rsidRPr="001E31D3">
        <w:rPr>
          <w:szCs w:val="20"/>
        </w:rPr>
        <w:t>s</w:t>
      </w:r>
      <w:r w:rsidRPr="001E31D3">
        <w:rPr>
          <w:szCs w:val="20"/>
        </w:rPr>
        <w:t xml:space="preserve"> have been even more difficult due to lack of longitudinal data for most countries on tested </w:t>
      </w:r>
      <w:r w:rsidR="00DF6A8D" w:rsidRPr="001E31D3">
        <w:rPr>
          <w:szCs w:val="20"/>
        </w:rPr>
        <w:t>competence</w:t>
      </w:r>
      <w:r w:rsidRPr="001E31D3">
        <w:rPr>
          <w:szCs w:val="20"/>
        </w:rPr>
        <w:t xml:space="preserve">s before and after upper secondary education. In the </w:t>
      </w:r>
      <w:r w:rsidR="00DF6A8D" w:rsidRPr="001E31D3">
        <w:rPr>
          <w:szCs w:val="20"/>
        </w:rPr>
        <w:t>d</w:t>
      </w:r>
      <w:r w:rsidRPr="001E31D3">
        <w:rPr>
          <w:szCs w:val="20"/>
        </w:rPr>
        <w:t>ifference–in-</w:t>
      </w:r>
      <w:r w:rsidR="00DF6A8D" w:rsidRPr="001E31D3">
        <w:rPr>
          <w:szCs w:val="20"/>
        </w:rPr>
        <w:t>d</w:t>
      </w:r>
      <w:r w:rsidRPr="001E31D3">
        <w:rPr>
          <w:szCs w:val="20"/>
        </w:rPr>
        <w:t>ifference analysis which follows</w:t>
      </w:r>
      <w:r w:rsidR="00347A4B" w:rsidRPr="001E31D3">
        <w:rPr>
          <w:szCs w:val="20"/>
        </w:rPr>
        <w:t xml:space="preserve"> below,</w:t>
      </w:r>
      <w:r w:rsidRPr="001E31D3">
        <w:rPr>
          <w:szCs w:val="20"/>
        </w:rPr>
        <w:t xml:space="preserve"> we seek to overcome this problem through a quasi-cohort analysis of changes in tested </w:t>
      </w:r>
      <w:r w:rsidR="00DF6A8D" w:rsidRPr="001E31D3">
        <w:rPr>
          <w:szCs w:val="20"/>
        </w:rPr>
        <w:t>competence</w:t>
      </w:r>
      <w:r w:rsidRPr="001E31D3">
        <w:rPr>
          <w:szCs w:val="20"/>
        </w:rPr>
        <w:t xml:space="preserve">s between 15 and 27 years using the PISA 2000 and PIAAC 2011/12 datasets. </w:t>
      </w:r>
    </w:p>
    <w:p w:rsidR="00BF65F7" w:rsidRPr="00CF412F" w:rsidRDefault="00BF65F7" w:rsidP="00347A4B">
      <w:pPr>
        <w:pStyle w:val="Heading3"/>
        <w:rPr>
          <w:rFonts w:eastAsia="Batang"/>
        </w:rPr>
      </w:pPr>
      <w:bookmarkStart w:id="203" w:name="_Toc435620189"/>
      <w:bookmarkStart w:id="204" w:name="_Toc435802107"/>
      <w:r w:rsidRPr="00CF412F">
        <w:rPr>
          <w:rFonts w:eastAsia="Batang"/>
        </w:rPr>
        <w:t xml:space="preserve">6.1.2. </w:t>
      </w:r>
      <w:r w:rsidR="004756D6" w:rsidRPr="00CF412F">
        <w:rPr>
          <w:rFonts w:eastAsia="Batang"/>
        </w:rPr>
        <w:t>Education s</w:t>
      </w:r>
      <w:r w:rsidRPr="00CF412F">
        <w:rPr>
          <w:rFonts w:eastAsia="Batang"/>
        </w:rPr>
        <w:t>ystem characteristics</w:t>
      </w:r>
      <w:bookmarkEnd w:id="196"/>
      <w:bookmarkEnd w:id="197"/>
      <w:bookmarkEnd w:id="198"/>
      <w:bookmarkEnd w:id="199"/>
      <w:bookmarkEnd w:id="200"/>
      <w:bookmarkEnd w:id="201"/>
      <w:bookmarkEnd w:id="202"/>
      <w:bookmarkEnd w:id="203"/>
      <w:bookmarkEnd w:id="204"/>
      <w:r w:rsidRPr="00CF412F">
        <w:rPr>
          <w:rFonts w:eastAsia="Batang"/>
        </w:rPr>
        <w:t xml:space="preserve"> </w:t>
      </w:r>
    </w:p>
    <w:p w:rsidR="00347A4B" w:rsidRPr="00CF412F" w:rsidRDefault="004756D6" w:rsidP="004756D6">
      <w:pPr>
        <w:pStyle w:val="BodyText"/>
        <w:spacing w:line="288" w:lineRule="auto"/>
        <w:rPr>
          <w:szCs w:val="20"/>
        </w:rPr>
      </w:pPr>
      <w:r w:rsidRPr="00CF412F">
        <w:rPr>
          <w:rFonts w:eastAsia="Batang"/>
        </w:rPr>
        <w:t>In addition to the broad typologies of education system, there may be specific characteristics of education systems which positively</w:t>
      </w:r>
      <w:r w:rsidR="001C5B42">
        <w:rPr>
          <w:rFonts w:eastAsia="Batang"/>
        </w:rPr>
        <w:t xml:space="preserve"> – or negatively -</w:t>
      </w:r>
      <w:r w:rsidRPr="00CF412F">
        <w:rPr>
          <w:rFonts w:eastAsia="Batang"/>
        </w:rPr>
        <w:t xml:space="preserve"> affect competence development at upper secondary and tertiary level. </w:t>
      </w:r>
      <w:r w:rsidR="00347A4B" w:rsidRPr="00CF412F">
        <w:rPr>
          <w:szCs w:val="20"/>
        </w:rPr>
        <w:t>In the absence of previous research on characteristics of upper secondary and tertiary systems on competence gain at the upper secondary level, we draw on the literature on lower secondary</w:t>
      </w:r>
      <w:r w:rsidR="001B0E7A" w:rsidRPr="00CF412F">
        <w:rPr>
          <w:szCs w:val="20"/>
        </w:rPr>
        <w:t xml:space="preserve"> education</w:t>
      </w:r>
      <w:r w:rsidR="00347A4B" w:rsidRPr="00CF412F">
        <w:rPr>
          <w:szCs w:val="20"/>
        </w:rPr>
        <w:t xml:space="preserve"> systems and their effects and adapt these for hypotheses to test in relation to upper secondary system effects. We briefly review the finding</w:t>
      </w:r>
      <w:r w:rsidR="00821089">
        <w:rPr>
          <w:szCs w:val="20"/>
        </w:rPr>
        <w:t>s</w:t>
      </w:r>
      <w:r w:rsidR="00347A4B" w:rsidRPr="00CF412F">
        <w:rPr>
          <w:szCs w:val="20"/>
        </w:rPr>
        <w:t xml:space="preserve"> of research for lower secondary education below.</w:t>
      </w:r>
    </w:p>
    <w:p w:rsidR="00BF65F7" w:rsidRPr="00CF412F" w:rsidRDefault="00BF65F7" w:rsidP="00BF65F7">
      <w:pPr>
        <w:pStyle w:val="BodyText"/>
        <w:spacing w:line="288" w:lineRule="auto"/>
        <w:rPr>
          <w:rFonts w:eastAsia="Batang" w:cs="Arial"/>
          <w:color w:val="00000A"/>
          <w:w w:val="110"/>
          <w:szCs w:val="20"/>
        </w:rPr>
      </w:pPr>
      <w:r w:rsidRPr="00CF412F">
        <w:t>Many studies have sought to identify education system characteristics which may explain variations in performance across countries. The largest body of work is based on analysis of the international data from the eleven IEA studies of Maths and Science (TIMSS and precursors)</w:t>
      </w:r>
      <w:r w:rsidRPr="00CF412F">
        <w:rPr>
          <w:rStyle w:val="FootnoteReference"/>
        </w:rPr>
        <w:footnoteReference w:id="27"/>
      </w:r>
      <w:r w:rsidRPr="00CF412F">
        <w:t xml:space="preserve"> conducted mostly with 4</w:t>
      </w:r>
      <w:r w:rsidRPr="00CF412F">
        <w:rPr>
          <w:vertAlign w:val="superscript"/>
        </w:rPr>
        <w:t>th</w:t>
      </w:r>
      <w:r w:rsidRPr="00CF412F">
        <w:t xml:space="preserve"> and 8</w:t>
      </w:r>
      <w:r w:rsidRPr="00CF412F">
        <w:rPr>
          <w:vertAlign w:val="superscript"/>
        </w:rPr>
        <w:t>th</w:t>
      </w:r>
      <w:r w:rsidRPr="00CF412F">
        <w:t xml:space="preserve"> grade student</w:t>
      </w:r>
      <w:r w:rsidR="00821089">
        <w:t>s</w:t>
      </w:r>
      <w:r w:rsidRPr="00CF412F">
        <w:t xml:space="preserve"> between 1964 and 2011 and from the four OECD PISA surveys of literacy and numeracy </w:t>
      </w:r>
      <w:r w:rsidR="00DF6A8D">
        <w:t>competence</w:t>
      </w:r>
      <w:r w:rsidRPr="00CF412F">
        <w:t xml:space="preserve">s amongst 15 year olds conducted between 2000 and 2012. The most consistent finding on system effects from the more curriculum-oriented IEA studies is that variation in average performance across countries in particular subjects is associated with the </w:t>
      </w:r>
      <w:r w:rsidRPr="00CF412F">
        <w:rPr>
          <w:b/>
          <w:color w:val="1F497D" w:themeColor="text2"/>
        </w:rPr>
        <w:t>average total time spent on studying that subject by individuals</w:t>
      </w:r>
      <w:r w:rsidRPr="00CF412F">
        <w:t xml:space="preserve"> in different countries (see also OECD 2013). Other system characteristics, such as </w:t>
      </w:r>
      <w:r w:rsidRPr="00CF412F">
        <w:rPr>
          <w:b/>
          <w:color w:val="1F497D" w:themeColor="text2"/>
        </w:rPr>
        <w:t>student-teacher ratios, teacher pay, and per-student spending</w:t>
      </w:r>
      <w:r w:rsidRPr="00CF412F">
        <w:rPr>
          <w:color w:val="1F497D" w:themeColor="text2"/>
        </w:rPr>
        <w:t xml:space="preserve"> </w:t>
      </w:r>
      <w:r w:rsidRPr="00CF412F">
        <w:t>have not always produced very consistent results in cross-country analysi</w:t>
      </w:r>
      <w:r w:rsidR="00484F3A" w:rsidRPr="00CF412F">
        <w:t>s of IEA data (Inkeles 1982</w:t>
      </w:r>
      <w:r w:rsidR="003E14B7">
        <w:t>,</w:t>
      </w:r>
      <w:r w:rsidR="00484F3A" w:rsidRPr="00CF412F">
        <w:t xml:space="preserve"> IAEP 1992</w:t>
      </w:r>
      <w:r w:rsidR="003E14B7">
        <w:t>,</w:t>
      </w:r>
      <w:r w:rsidR="00484F3A" w:rsidRPr="00CF412F">
        <w:t xml:space="preserve"> Lynn</w:t>
      </w:r>
      <w:r w:rsidRPr="00CF412F">
        <w:t xml:space="preserve"> 1988). Studies of the OECD PISA data have sought to explain variations in average </w:t>
      </w:r>
      <w:r w:rsidR="00DF6A8D">
        <w:t>competence</w:t>
      </w:r>
      <w:r w:rsidR="00DF6A8D" w:rsidRPr="00CF412F">
        <w:t xml:space="preserve"> </w:t>
      </w:r>
      <w:r w:rsidRPr="00CF412F">
        <w:t>performance across countries with reference to such system characteristics as levels of teacher qualification and professionalism, school autonomy, the prevalence of tracking, the proportion enrolment in  private or semi-private schools, and degrees of standardisation and accountability in centrally organised and externally implemented testing and examinations</w:t>
      </w:r>
      <w:r w:rsidRPr="00CF412F">
        <w:rPr>
          <w:rFonts w:eastAsia="Batang" w:cs="Arial"/>
          <w:color w:val="00000A"/>
          <w:w w:val="110"/>
          <w:szCs w:val="20"/>
        </w:rPr>
        <w:t>.</w:t>
      </w:r>
    </w:p>
    <w:p w:rsidR="00BF65F7" w:rsidRPr="00CF412F" w:rsidRDefault="00BF65F7" w:rsidP="00BF65F7">
      <w:pPr>
        <w:pStyle w:val="BodyText"/>
        <w:spacing w:line="288" w:lineRule="auto"/>
        <w:rPr>
          <w:rFonts w:eastAsia="Batang" w:cs="Arial"/>
          <w:color w:val="00000A"/>
          <w:w w:val="110"/>
          <w:szCs w:val="20"/>
        </w:rPr>
      </w:pPr>
      <w:r w:rsidRPr="00CF412F">
        <w:t>A long-standing argument about the effects of school organisation on performance is that</w:t>
      </w:r>
      <w:r w:rsidRPr="00CF412F">
        <w:rPr>
          <w:color w:val="1F497D" w:themeColor="text2"/>
        </w:rPr>
        <w:t xml:space="preserve"> </w:t>
      </w:r>
      <w:r w:rsidRPr="00CF412F">
        <w:rPr>
          <w:b/>
          <w:color w:val="1F497D" w:themeColor="text2"/>
        </w:rPr>
        <w:t>tracked systems</w:t>
      </w:r>
      <w:r w:rsidRPr="00CF412F">
        <w:rPr>
          <w:color w:val="1F497D" w:themeColor="text2"/>
        </w:rPr>
        <w:t xml:space="preserve"> </w:t>
      </w:r>
      <w:r w:rsidRPr="00CF412F">
        <w:t>raise overall standards of achievement by encouraging more homogeneous classrooms where learning is more effective. Although Annermuller et al (2005) find that early tracking is associated with higher average test scores in Countries of Central Europe, most recent studies using cross-national data on student achievement across a wide range of countries tend to find no clear relationship between tracking and mean levels o</w:t>
      </w:r>
      <w:r w:rsidR="003E14B7">
        <w:t>f achievement (Micklewright/Schnept 2007,</w:t>
      </w:r>
      <w:r w:rsidRPr="00CF412F">
        <w:t xml:space="preserve"> Schutz et al</w:t>
      </w:r>
      <w:r w:rsidR="003E14B7">
        <w:t xml:space="preserve"> 2008, </w:t>
      </w:r>
      <w:r w:rsidR="00484F3A" w:rsidRPr="00CF412F">
        <w:t>Woessmann</w:t>
      </w:r>
      <w:r w:rsidRPr="00CF412F">
        <w:t xml:space="preserve"> 2008). Some studies even find a negative effect from early selection. Hanushek and Woessmann (2006) for instance, using a DID approach with data from PIRLS, TIMMS and PISA, find that while early tracking tends to increase family background effects on achievement, there is no trade-off with increased efficiency. Although the results are not consistent across all types of test, they conclude that the evidence on balance suggests a negative effect from early tracking on mean performance. Reviewing the recent literature based on the evidence from international test and attainment data, Werfhorst and Mifs (2010) conclude that whilst early tracking is generally associated with greater inequality in educational and </w:t>
      </w:r>
      <w:r w:rsidR="00DF6A8D">
        <w:t>competence</w:t>
      </w:r>
      <w:r w:rsidR="00DF6A8D" w:rsidRPr="00CF412F">
        <w:t xml:space="preserve"> </w:t>
      </w:r>
      <w:r w:rsidRPr="00CF412F">
        <w:t>opportunities and outcomes, it leads to lower, rather than higher, average levels of achievement across a range of subjects</w:t>
      </w:r>
      <w:r w:rsidRPr="00CF412F">
        <w:rPr>
          <w:rFonts w:eastAsia="Batang" w:cs="Arial"/>
          <w:color w:val="00000A"/>
          <w:w w:val="110"/>
          <w:szCs w:val="20"/>
        </w:rPr>
        <w:t xml:space="preserve">. </w:t>
      </w:r>
    </w:p>
    <w:p w:rsidR="00BF65F7" w:rsidRPr="00CF412F" w:rsidRDefault="00BF65F7" w:rsidP="00BF65F7">
      <w:pPr>
        <w:pStyle w:val="BodyText"/>
        <w:spacing w:line="288" w:lineRule="auto"/>
        <w:rPr>
          <w:rFonts w:eastAsia="Batang" w:cs="Arial"/>
          <w:color w:val="00000A"/>
          <w:w w:val="110"/>
          <w:szCs w:val="20"/>
        </w:rPr>
      </w:pPr>
      <w:r w:rsidRPr="00CF412F">
        <w:t xml:space="preserve">Numerous studies have looked at the impact of different </w:t>
      </w:r>
      <w:r w:rsidRPr="00CF412F">
        <w:rPr>
          <w:b/>
          <w:color w:val="1F497D" w:themeColor="text2"/>
        </w:rPr>
        <w:t>aspects of school governance and regulation</w:t>
      </w:r>
      <w:r w:rsidRPr="00CF412F">
        <w:rPr>
          <w:color w:val="1F497D" w:themeColor="text2"/>
        </w:rPr>
        <w:t xml:space="preserve"> </w:t>
      </w:r>
      <w:r w:rsidRPr="003C2FF8">
        <w:t xml:space="preserve">on </w:t>
      </w:r>
      <w:r w:rsidRPr="00CF412F">
        <w:t>student performance across countries. Policies to encourage greater competition between schools - including through increasing the number of private schools, promoting more school diversity and choice within public school systems, and providing more public information on school performance - have been widely debated by policy-makers and intensively investigated by researchers. Measures to increase school autonomy and accountability have also been widely debated and researched. Many countries have adopted versions of some or all of these policies during the past twenty years and the trends have been extensively recorded, not least through the PISA surveys since 2000. However, the research findings on the impact of these policies do not yet provide a very consistent picture, no doubt partly because the effects of these policies will depend very much on the particular ways in which policies are implemented, in conjunction with which other policies, and in what broader social and economic environment</w:t>
      </w:r>
      <w:r w:rsidRPr="00CF412F">
        <w:rPr>
          <w:rFonts w:eastAsia="Batang" w:cs="Arial"/>
          <w:color w:val="00000A"/>
          <w:w w:val="110"/>
          <w:szCs w:val="20"/>
        </w:rPr>
        <w:t xml:space="preserve">. </w:t>
      </w:r>
    </w:p>
    <w:p w:rsidR="00BF65F7" w:rsidRPr="00CF412F" w:rsidRDefault="00BF65F7" w:rsidP="00BF65F7">
      <w:pPr>
        <w:pStyle w:val="BodyText"/>
        <w:spacing w:line="288" w:lineRule="auto"/>
        <w:rPr>
          <w:rFonts w:eastAsia="Batang" w:cs="Arial"/>
          <w:color w:val="00000A"/>
          <w:w w:val="110"/>
          <w:szCs w:val="20"/>
        </w:rPr>
      </w:pPr>
      <w:r w:rsidRPr="00CF412F">
        <w:t xml:space="preserve">The research does not provide any strong evidence that the </w:t>
      </w:r>
      <w:r w:rsidRPr="00CF412F">
        <w:rPr>
          <w:b/>
          <w:color w:val="1F497D" w:themeColor="text2"/>
        </w:rPr>
        <w:t>prevalence of private schools</w:t>
      </w:r>
      <w:r w:rsidRPr="00CF412F">
        <w:t xml:space="preserve"> at primary and secondary levels has a significant impact on overall student achievement. Cross-country studies by Woessmann (2006) and Woessmann et al (2009), using data from PISA 2000 and 2003, concluded that countries which combine private management of schools with public funding tend to perform better in international tests. However, OECD analy</w:t>
      </w:r>
      <w:r w:rsidR="00484F3A" w:rsidRPr="00CF412F">
        <w:t>sis of the PISA 2012 data (OECD</w:t>
      </w:r>
      <w:r w:rsidRPr="00CF412F">
        <w:t xml:space="preserve"> 2013) shows no relationship between the percentage of students enrolled in private schools and overall system performance. </w:t>
      </w:r>
      <w:r w:rsidRPr="00CF412F">
        <w:rPr>
          <w:b/>
          <w:color w:val="1F497D" w:themeColor="text2"/>
        </w:rPr>
        <w:t>School diversity and choice policies</w:t>
      </w:r>
      <w:r w:rsidRPr="00CF412F">
        <w:t xml:space="preserve"> are inherently complex and take many different forms, which makes cross-national comparison difficult, but using a simple general measure of the degree of competition between schools in PISA (based on asking school principals if their school competes with other schools for enrolments) the OECD finds no relationship between levels of between- school competition and average system performance across countries (but a negative effect of educational equality)</w:t>
      </w:r>
      <w:r w:rsidRPr="00CF412F">
        <w:rPr>
          <w:rFonts w:eastAsia="Batang" w:cs="Arial"/>
          <w:color w:val="00000A"/>
          <w:w w:val="110"/>
          <w:szCs w:val="20"/>
        </w:rPr>
        <w:t xml:space="preserve">. </w:t>
      </w:r>
    </w:p>
    <w:p w:rsidR="00BF65F7" w:rsidRPr="00CF412F" w:rsidRDefault="00BF65F7" w:rsidP="00BF65F7">
      <w:pPr>
        <w:pStyle w:val="BodyText"/>
        <w:spacing w:line="288" w:lineRule="auto"/>
        <w:rPr>
          <w:rFonts w:eastAsia="Batang" w:cs="Arial"/>
          <w:color w:val="00000A"/>
          <w:w w:val="110"/>
          <w:szCs w:val="20"/>
        </w:rPr>
      </w:pPr>
      <w:r w:rsidRPr="00CF412F">
        <w:t xml:space="preserve">More evidence has been forthcoming on the positive effects of </w:t>
      </w:r>
      <w:r w:rsidRPr="00CF412F">
        <w:rPr>
          <w:b/>
          <w:color w:val="1F497D" w:themeColor="text2"/>
        </w:rPr>
        <w:t>school autonomy</w:t>
      </w:r>
      <w:r w:rsidRPr="00CF412F">
        <w:rPr>
          <w:color w:val="1F497D" w:themeColor="text2"/>
        </w:rPr>
        <w:t xml:space="preserve"> </w:t>
      </w:r>
      <w:r w:rsidRPr="00CF412F">
        <w:t>but even this is complex. Bol and Van de Werfhorst (2013) combine a range of measures from PISA relating to the level of autonomy exercised by schools in deciding about courses offered, course content, and textbooks, and find a negative effect on performance across countries from ‘standardisation of inputs,’ concluding that systems which give schools more autonomy tend to have higher overall performance. The OECD (2013) analysis of PISA 2012 data suggests that greater school autonomy over budgets has no significant effect on overall performance in maths. However, systems giving schools more autonomy in relation to course content and textbook choices tend to perform better in maths. The effect is particularly strong when the promotion of school autonomy in pedagogic matters is combined with policies which promote accountability and collaboration, such as those which encourage students and parents to provide feedback to schools, and where school principals and teachers collaborate more frequently in taking decisions about school management. However, other accountability measures are not associated with better performance. The OECD (2013) find that the prevalence of external administrative tracking of school performance is negatively associated with overall performance in maths, although this may arise from the fact the principals of under-performing schools are more likely to report such monitoring. A number of studies, on the other hand, find a positive effect on performance from externally controlled student assessment, and particularly from central</w:t>
      </w:r>
      <w:r w:rsidR="003E14B7">
        <w:t>ised exit examinations (Bol/Van de Werfhorst, 2013,</w:t>
      </w:r>
      <w:r w:rsidRPr="00CF412F">
        <w:t xml:space="preserve"> Woessmann</w:t>
      </w:r>
      <w:r w:rsidR="003E14B7">
        <w:t xml:space="preserve"> </w:t>
      </w:r>
      <w:r w:rsidRPr="00CF412F">
        <w:t>2005).</w:t>
      </w:r>
      <w:r w:rsidR="00484F3A" w:rsidRPr="00CF412F">
        <w:t xml:space="preserve"> </w:t>
      </w:r>
      <w:r w:rsidRPr="00CF412F">
        <w:t>Woessmann’s analysis shows that the effect is strongest in systems which also have high levels of school autonomy in pedagogic and budgetary matters and that the impact on performance is greatest towards the end of lower secondary education</w:t>
      </w:r>
      <w:r w:rsidRPr="00CF412F">
        <w:rPr>
          <w:rFonts w:eastAsia="Batang" w:cs="Arial"/>
          <w:color w:val="00000A"/>
          <w:w w:val="110"/>
          <w:szCs w:val="20"/>
        </w:rPr>
        <w:t xml:space="preserve">. </w:t>
      </w:r>
    </w:p>
    <w:p w:rsidR="00BF65F7" w:rsidRPr="00CF412F" w:rsidRDefault="00BF65F7" w:rsidP="00BF65F7">
      <w:pPr>
        <w:pStyle w:val="BodyText"/>
        <w:spacing w:line="288" w:lineRule="auto"/>
        <w:rPr>
          <w:rFonts w:eastAsia="Batang" w:cs="Arial"/>
          <w:color w:val="00000A"/>
          <w:w w:val="110"/>
          <w:szCs w:val="20"/>
        </w:rPr>
      </w:pPr>
      <w:r w:rsidRPr="00CF412F">
        <w:t>Almost all the studies considered above are restricted to the effects of primary and lower secondary education system characteristics because they rely on performance data for students from 9 to 15 years. There are very few equivalent studies focusing on upper secondary education and training. Some of the factors considered above may also be relevant in explaining variations in performance in upper secondary education and training</w:t>
      </w:r>
      <w:r w:rsidR="00821089">
        <w:t>;</w:t>
      </w:r>
      <w:r w:rsidRPr="00CF412F">
        <w:t xml:space="preserve"> however, some system properties may have different effects in the context of upper secondary education and training. The prevalence of tracking, for instance, may have a different significance at the upper secondary level than it does d</w:t>
      </w:r>
      <w:r w:rsidR="00484F3A" w:rsidRPr="00CF412F">
        <w:t>uring earlier phases (Busemeyer</w:t>
      </w:r>
      <w:r w:rsidRPr="00CF412F">
        <w:t xml:space="preserve"> 2014; Brunello</w:t>
      </w:r>
      <w:r w:rsidR="003E14B7">
        <w:rPr>
          <w:bCs/>
        </w:rPr>
        <w:t>/</w:t>
      </w:r>
      <w:r w:rsidR="00484F3A" w:rsidRPr="00CF412F">
        <w:t>Checchi</w:t>
      </w:r>
      <w:r w:rsidRPr="00CF412F">
        <w:t xml:space="preserve"> </w:t>
      </w:r>
      <w:r w:rsidR="003E14B7">
        <w:t xml:space="preserve">2007, </w:t>
      </w:r>
      <w:r w:rsidR="00484F3A" w:rsidRPr="00CF412F">
        <w:t>Green, Green and Pensiero</w:t>
      </w:r>
      <w:r w:rsidRPr="00CF412F">
        <w:t xml:space="preserve"> 2015 forthcoming). Whereas</w:t>
      </w:r>
      <w:r w:rsidR="00821089">
        <w:t>,</w:t>
      </w:r>
      <w:r w:rsidRPr="00CF412F">
        <w:t xml:space="preserve"> during compulsory education</w:t>
      </w:r>
      <w:r w:rsidR="00821089">
        <w:t>,</w:t>
      </w:r>
      <w:r w:rsidRPr="00CF412F">
        <w:t xml:space="preserve"> tracking tends to lead to different schools and programme types being organised hierarchically according to a monotonic scale of academic prestige, in the upper secondary phase alternative scales may be in evidence. For instance, as Raffe et al have argued (2001), while general academic schools and programmes may be valued mostly according to their success in getting students into higher education, vocational schools may derive their prestige more from their success in getting graduates into skilled jobs. There will also be additional factors which are relevant to system performance at the upper secondary level but not at the lower levels. For example, participation rates will be more important as explanatory factors at the upper secondary stage because EU and OECD countries vary more on this measure in upper secondary education than they do in earlier phases where participation is almost universally compulsory</w:t>
      </w:r>
      <w:r w:rsidRPr="00CF412F">
        <w:rPr>
          <w:rFonts w:eastAsia="Batang" w:cs="Arial"/>
          <w:color w:val="00000A"/>
          <w:w w:val="110"/>
          <w:szCs w:val="20"/>
        </w:rPr>
        <w:t>.</w:t>
      </w:r>
    </w:p>
    <w:p w:rsidR="00BF65F7" w:rsidRPr="00CF412F" w:rsidRDefault="00BF65F7" w:rsidP="00BF65F7">
      <w:pPr>
        <w:pStyle w:val="BodyText"/>
        <w:spacing w:line="288" w:lineRule="auto"/>
      </w:pPr>
      <w:r w:rsidRPr="00CF412F">
        <w:t>The hypotheses on system effects on competence which we test in the analyses which follow draw on the findings above but are adapted to be relevant to the upper secondary context.</w:t>
      </w:r>
    </w:p>
    <w:p w:rsidR="00065622" w:rsidRPr="00CF412F" w:rsidRDefault="00CF412F" w:rsidP="00CF412F">
      <w:pPr>
        <w:pStyle w:val="Heading2"/>
      </w:pPr>
      <w:bookmarkStart w:id="205" w:name="_Toc435802108"/>
      <w:bookmarkStart w:id="206" w:name="_Toc427232515"/>
      <w:bookmarkEnd w:id="171"/>
      <w:bookmarkEnd w:id="172"/>
      <w:r>
        <w:t>6.3</w:t>
      </w:r>
      <w:r w:rsidRPr="00CF412F">
        <w:t xml:space="preserve"> </w:t>
      </w:r>
      <w:r>
        <w:t xml:space="preserve">Analysis and </w:t>
      </w:r>
      <w:r w:rsidR="00821089">
        <w:t>r</w:t>
      </w:r>
      <w:r>
        <w:t>esults</w:t>
      </w:r>
      <w:bookmarkEnd w:id="205"/>
      <w:r w:rsidR="00065622" w:rsidRPr="00CF412F">
        <w:t xml:space="preserve"> </w:t>
      </w:r>
    </w:p>
    <w:p w:rsidR="00065622" w:rsidRPr="00CF412F" w:rsidRDefault="00065622" w:rsidP="00065622">
      <w:pPr>
        <w:pStyle w:val="BodyText"/>
        <w:spacing w:line="288" w:lineRule="auto"/>
        <w:rPr>
          <w:rFonts w:eastAsia="Batang"/>
        </w:rPr>
      </w:pPr>
      <w:r w:rsidRPr="00CF412F">
        <w:t>In the analysis which follows</w:t>
      </w:r>
      <w:r w:rsidR="00821089">
        <w:t>,</w:t>
      </w:r>
      <w:r w:rsidRPr="00CF412F">
        <w:t xml:space="preserve"> we introduce a range of independent variables which the existing empirical literature and theoretical models suggest may be relevant to explaining cross-country variations in the contributions of upper secondary education and training to literacy and numeracy </w:t>
      </w:r>
      <w:r w:rsidR="00821089">
        <w:t>competence</w:t>
      </w:r>
      <w:r w:rsidR="00821089" w:rsidRPr="00CF412F">
        <w:t>s</w:t>
      </w:r>
      <w:r w:rsidRPr="00CF412F">
        <w:t xml:space="preserve">. A number of variables represent characteristics which are distinctive to particular system types presented and may therefore help to explain any differential effects of different system types on changes in </w:t>
      </w:r>
      <w:r w:rsidR="00821089">
        <w:t>competence</w:t>
      </w:r>
      <w:r w:rsidR="00821089" w:rsidRPr="00CF412F">
        <w:t xml:space="preserve"> </w:t>
      </w:r>
      <w:r w:rsidRPr="00CF412F">
        <w:t xml:space="preserve">levels during the upper </w:t>
      </w:r>
      <w:r w:rsidR="00B4339D" w:rsidRPr="00CF412F">
        <w:t>secondary</w:t>
      </w:r>
      <w:r w:rsidR="00B4339D">
        <w:t xml:space="preserve"> and tertiary </w:t>
      </w:r>
      <w:r w:rsidRPr="00CF412F">
        <w:t>phase</w:t>
      </w:r>
      <w:r w:rsidRPr="00CF412F">
        <w:rPr>
          <w:rFonts w:eastAsia="Batang"/>
        </w:rPr>
        <w:t>.</w:t>
      </w:r>
      <w:r w:rsidR="00B4339D">
        <w:rPr>
          <w:rFonts w:eastAsia="Batang"/>
        </w:rPr>
        <w:t xml:space="preserve"> </w:t>
      </w:r>
      <w:r w:rsidRPr="00CF412F">
        <w:rPr>
          <w:rFonts w:eastAsia="Batang"/>
        </w:rPr>
        <w:t xml:space="preserve">  </w:t>
      </w:r>
    </w:p>
    <w:p w:rsidR="00CF412F" w:rsidRDefault="00CF412F" w:rsidP="00CF412F">
      <w:pPr>
        <w:pStyle w:val="Heading3"/>
        <w:rPr>
          <w:rFonts w:eastAsia="Batang"/>
        </w:rPr>
      </w:pPr>
      <w:bookmarkStart w:id="207" w:name="_Toc435620191"/>
      <w:bookmarkStart w:id="208" w:name="_Toc435802109"/>
      <w:r>
        <w:rPr>
          <w:rFonts w:eastAsia="Batang"/>
        </w:rPr>
        <w:t>6.3.1 Indicators</w:t>
      </w:r>
      <w:bookmarkEnd w:id="207"/>
      <w:bookmarkEnd w:id="208"/>
    </w:p>
    <w:p w:rsidR="00821089" w:rsidRPr="003F0A8D" w:rsidRDefault="00B4339D" w:rsidP="001E31D3">
      <w:pPr>
        <w:pStyle w:val="BodyText"/>
        <w:spacing w:line="288" w:lineRule="auto"/>
        <w:rPr>
          <w:rFonts w:eastAsia="Batang"/>
        </w:rPr>
      </w:pPr>
      <w:r>
        <w:rPr>
          <w:rFonts w:eastAsia="Batang"/>
        </w:rPr>
        <w:t>Indicators tested for their effect on competence acquisition at upper secondary and tertiary levels include a set of variables related to access to the acquisition of literacy and numeracy competences; variables related to equity in education; and variables related to the nature and prevalence of vocational education and training amongst others.</w:t>
      </w:r>
    </w:p>
    <w:p w:rsidR="00CF412F" w:rsidRPr="00CF412F" w:rsidRDefault="00CF412F" w:rsidP="001E31D3">
      <w:pPr>
        <w:pStyle w:val="BodyText"/>
        <w:spacing w:line="288" w:lineRule="auto"/>
        <w:rPr>
          <w:rFonts w:eastAsia="Batang"/>
          <w:i/>
        </w:rPr>
      </w:pPr>
      <w:r w:rsidRPr="00CF412F">
        <w:rPr>
          <w:rFonts w:eastAsia="Batang"/>
          <w:i/>
        </w:rPr>
        <w:t xml:space="preserve">Access to </w:t>
      </w:r>
      <w:r w:rsidR="000377B0">
        <w:rPr>
          <w:rFonts w:eastAsia="Batang"/>
          <w:i/>
        </w:rPr>
        <w:t>the acquisition of</w:t>
      </w:r>
      <w:r w:rsidRPr="00CF412F">
        <w:rPr>
          <w:rFonts w:eastAsia="Batang"/>
          <w:i/>
        </w:rPr>
        <w:t xml:space="preserve"> literacy and numeracy competence</w:t>
      </w:r>
      <w:r w:rsidR="00821089">
        <w:rPr>
          <w:rFonts w:eastAsia="Batang"/>
          <w:i/>
        </w:rPr>
        <w:t>s</w:t>
      </w:r>
    </w:p>
    <w:p w:rsidR="00065622" w:rsidRPr="00CF412F" w:rsidRDefault="00065622" w:rsidP="00065622">
      <w:pPr>
        <w:pStyle w:val="BodyText"/>
        <w:spacing w:line="288" w:lineRule="auto"/>
        <w:rPr>
          <w:rFonts w:eastAsia="Batang"/>
        </w:rPr>
      </w:pPr>
      <w:r w:rsidRPr="00CF412F">
        <w:rPr>
          <w:rFonts w:eastAsia="Batang"/>
          <w:b/>
          <w:color w:val="17365D" w:themeColor="text2" w:themeShade="BF"/>
        </w:rPr>
        <w:t>Enrolment</w:t>
      </w:r>
      <w:r w:rsidRPr="00CF412F">
        <w:rPr>
          <w:rFonts w:eastAsia="Batang"/>
          <w:b/>
          <w:color w:val="1F497D" w:themeColor="text2"/>
        </w:rPr>
        <w:t xml:space="preserve"> rates in education and training at 17 to 18 years.</w:t>
      </w:r>
      <w:r w:rsidRPr="00CF412F">
        <w:rPr>
          <w:rFonts w:eastAsia="Batang"/>
          <w:color w:val="1F497D" w:themeColor="text2"/>
        </w:rPr>
        <w:t xml:space="preserve"> </w:t>
      </w:r>
      <w:r w:rsidRPr="00CF412F">
        <w:t>Across the EU Member States and OECD countries</w:t>
      </w:r>
      <w:r w:rsidR="00821089">
        <w:t>,</w:t>
      </w:r>
      <w:r w:rsidRPr="00CF412F">
        <w:t xml:space="preserve"> upper secondary education and training typically starts at age 15 or 16 and normally lasts for two or three years. However, there are significant differences between countries in the average number of years young people spend in upper secondary education and training so that enrolment rates at 17, and particularly at 18, vary considerably (at 18 in 1999, for instance, between 28% in the UK and 96% in Sweden) (OECD 2001). On the basis that years of learning in the upper secondary phase, regardless of type and quality, is likely to have some effect on the acquisition of </w:t>
      </w:r>
      <w:r w:rsidR="00821089">
        <w:t>competence</w:t>
      </w:r>
      <w:r w:rsidR="00821089" w:rsidRPr="00CF412F">
        <w:t>s</w:t>
      </w:r>
      <w:r w:rsidRPr="00CF412F">
        <w:t>, we use an indicator of net enrolment in education and training amongst 17-18 year olds. This OECD indicator</w:t>
      </w:r>
      <w:r w:rsidRPr="00CF412F">
        <w:rPr>
          <w:rStyle w:val="FootnoteReference"/>
        </w:rPr>
        <w:footnoteReference w:id="28"/>
      </w:r>
      <w:r w:rsidRPr="00CF412F">
        <w:t xml:space="preserve"> is based on head counts for 1999 and thus includes both full and part-time students in educational institutions and apprentices who attend vocational schools on a part time basis. Variation in enrolment rates is measured in increments of 10%, so that the coefficient in the DID table represents the change in the rank ordering that is associated with an increase in the enrolment rate of 10%. </w:t>
      </w:r>
    </w:p>
    <w:p w:rsidR="00065622" w:rsidRDefault="00065622" w:rsidP="00065622">
      <w:pPr>
        <w:pStyle w:val="BodyText"/>
        <w:spacing w:line="288" w:lineRule="auto"/>
      </w:pPr>
      <w:r w:rsidRPr="00CF412F">
        <w:rPr>
          <w:rFonts w:eastAsia="Batang"/>
          <w:b/>
          <w:color w:val="1F497D" w:themeColor="text2"/>
        </w:rPr>
        <w:t>Rates of upper secondary completion</w:t>
      </w:r>
      <w:r w:rsidRPr="00CF412F">
        <w:rPr>
          <w:rFonts w:eastAsia="Batang"/>
        </w:rPr>
        <w:t>: Being enrolled on a course does not necessarily imply successful completion of the course and the achievement of a given standard of qualification, so we need to supplement the enrolment indicator with another indicator which measures rates of achievement of upper secondary qualifications. We take completion of full upper secondary education (and training) to be represented by graduation from long-cycle academic or vocational programmes lasting two or more years. Qualifications at this level correspond to ISCED levels 3A, B and C (two years or more), where 3A is general education qualifications designed for direct access to higher education long cycle general courses (ISCED 5A); 3B is vocationally-oriented qualifications designed for direct access to ISCED 5B; and 3C (long) is vocational qualifications from programmes lasting two years or more which are designed for direct access to the labour market or to ISCED level 4 vocational programmes (OECD 1999). PIAAC collects data for the highest level of qualifications achieved by respondents, which are subsequently allocated to different ISCED levels by the participating country authorities. Since we are concerned with the qualifications achieved during the upper secondary phase our indicator for full upper secondary completion includes: all those whose highest qualification are at ISCED 4 and above (on the assumption that they all had to get ISCED 3 A, B or C (≥2) first), and those whose highest qualifications are at ISCED 3, A, B or C (≥2).</w:t>
      </w:r>
      <w:r w:rsidRPr="00CF412F">
        <w:rPr>
          <w:rStyle w:val="FootnoteReference"/>
          <w:rFonts w:eastAsia="Batang"/>
        </w:rPr>
        <w:footnoteReference w:id="29"/>
      </w:r>
      <w:r w:rsidRPr="00CF412F">
        <w:rPr>
          <w:rFonts w:eastAsia="Batang"/>
        </w:rPr>
        <w:t xml:space="preserve"> </w:t>
      </w:r>
      <w:r w:rsidRPr="00CF412F">
        <w:t>The variable is measured in increments of 10%, so that the coefficient in the DID table represents the change in the rank ordering that is associated with an increase of 10%.</w:t>
      </w:r>
    </w:p>
    <w:p w:rsidR="00CF412F" w:rsidRPr="00CF412F" w:rsidRDefault="00CF412F" w:rsidP="00CF412F">
      <w:pPr>
        <w:pStyle w:val="BodyText"/>
        <w:spacing w:line="288" w:lineRule="auto"/>
      </w:pPr>
      <w:r w:rsidRPr="00CF412F">
        <w:rPr>
          <w:b/>
          <w:color w:val="1F497D" w:themeColor="text2"/>
        </w:rPr>
        <w:t xml:space="preserve">Mandatory maths and language learning: </w:t>
      </w:r>
      <w:r w:rsidRPr="00CF412F">
        <w:t xml:space="preserve">This indicator measures the degree to which the learning of maths and the national language is compulsory </w:t>
      </w:r>
      <w:r w:rsidR="00821089">
        <w:t>i</w:t>
      </w:r>
      <w:r w:rsidRPr="00CF412F">
        <w:t xml:space="preserve">n upper secondary programmes. The data is obtained from a survey conducted by the Nuffield Foundation (Hodgen et al 2010), using country experts, with missing values supplemented by the authors’ searches in the country specific reports and official documents.  We give a value of 2 to a country where both subjects are compulsory </w:t>
      </w:r>
      <w:r w:rsidR="00821089">
        <w:t>i</w:t>
      </w:r>
      <w:r w:rsidRPr="00CF412F">
        <w:t xml:space="preserve">n all programmes; 1 where one or the other is compulsory </w:t>
      </w:r>
      <w:r w:rsidR="00821089">
        <w:t>i</w:t>
      </w:r>
      <w:r w:rsidRPr="00CF412F">
        <w:t xml:space="preserve">n all programmes and 0 where neither are compulsory </w:t>
      </w:r>
      <w:r w:rsidR="00821089">
        <w:t>i</w:t>
      </w:r>
      <w:r w:rsidRPr="00CF412F">
        <w:t xml:space="preserve">n all programmes.  </w:t>
      </w:r>
    </w:p>
    <w:p w:rsidR="00CF412F" w:rsidRDefault="00CF412F" w:rsidP="00065622">
      <w:pPr>
        <w:pStyle w:val="BodyText"/>
        <w:spacing w:line="288" w:lineRule="auto"/>
      </w:pPr>
      <w:r w:rsidRPr="00CF412F">
        <w:rPr>
          <w:b/>
          <w:color w:val="1F497D" w:themeColor="text2"/>
        </w:rPr>
        <w:t>Proportion studying maths in upper secondary education and training</w:t>
      </w:r>
      <w:r w:rsidRPr="00CF412F">
        <w:t xml:space="preserve">: It would be reasonable to assume that the learning of maths and the national language in upper secondary and training contributes towards the improvement of an individual’s literacy and numeracy </w:t>
      </w:r>
      <w:r w:rsidR="00EA0168">
        <w:t>competence</w:t>
      </w:r>
      <w:r w:rsidR="00EA0168" w:rsidRPr="00CF412F">
        <w:t>s</w:t>
      </w:r>
      <w:r w:rsidRPr="00CF412F">
        <w:t>. Unfortunately, we can find no source giving the average number of hours devoted to maths and the national language in upper secondary education and training curricula across countries. However, we do have data from the survey conducted by the Nuffield Foundation (Hodgen et al 2010) which gives an indication of the proportion of young people learning maths in upper secondary education and training for most of our sample countries. The question posed in the survey is what proportion of young people study no maths in upper secondary education and training. Country values are based on a five point scale where 1=0-5%; 2=6-20%; 3=21-50%; 4=51-80%</w:t>
      </w:r>
      <w:r w:rsidR="00821089">
        <w:t>;</w:t>
      </w:r>
      <w:r w:rsidRPr="00CF412F">
        <w:t xml:space="preserve"> and</w:t>
      </w:r>
      <w:r w:rsidR="00821089">
        <w:t>,</w:t>
      </w:r>
      <w:r w:rsidRPr="00CF412F">
        <w:t xml:space="preserve"> 5=81-94%. The reference data for the research is 2009 but given that curriculum change in upper secondary education tends to occur quite infrequently in most countries, the values should be a reasonable approximation for</w:t>
      </w:r>
      <w:r>
        <w:t xml:space="preserve"> the state of affairs in 2000. </w:t>
      </w:r>
    </w:p>
    <w:p w:rsidR="00CF412F" w:rsidRPr="00CF412F" w:rsidRDefault="00CF412F" w:rsidP="00065622">
      <w:pPr>
        <w:pStyle w:val="BodyText"/>
        <w:spacing w:line="288" w:lineRule="auto"/>
        <w:rPr>
          <w:rFonts w:eastAsia="Batang"/>
          <w:i/>
        </w:rPr>
      </w:pPr>
      <w:r>
        <w:rPr>
          <w:i/>
        </w:rPr>
        <w:t>Educational e</w:t>
      </w:r>
      <w:r w:rsidRPr="00CF412F">
        <w:rPr>
          <w:i/>
        </w:rPr>
        <w:t>quity</w:t>
      </w:r>
    </w:p>
    <w:p w:rsidR="00CF412F" w:rsidRDefault="00065622" w:rsidP="00065622">
      <w:pPr>
        <w:pStyle w:val="BodyText"/>
        <w:spacing w:line="288" w:lineRule="auto"/>
        <w:rPr>
          <w:rFonts w:eastAsia="Batang"/>
        </w:rPr>
      </w:pPr>
      <w:r w:rsidRPr="00CF412F">
        <w:rPr>
          <w:rFonts w:eastAsia="Batang"/>
          <w:b/>
          <w:color w:val="1F497D" w:themeColor="text2"/>
        </w:rPr>
        <w:t xml:space="preserve">Social gradient of level 3 completion: </w:t>
      </w:r>
      <w:r w:rsidRPr="00CF412F">
        <w:rPr>
          <w:rFonts w:eastAsia="Batang"/>
          <w:color w:val="000000" w:themeColor="text1"/>
        </w:rPr>
        <w:t xml:space="preserve">In </w:t>
      </w:r>
      <w:r w:rsidRPr="00CF412F">
        <w:rPr>
          <w:rFonts w:eastAsia="Batang"/>
        </w:rPr>
        <w:t>addition to the above we compute the social gradient of ISCED level 3 completers, using the PIAAC data on parents’ educational levels, to represent how far individuals’ achievement of full upper secondary qualifications is influenced by their family background. The odds ratio measure represents the chances of completing a level 3 qualification of respondents with graduate parents compared with respondents with non-graduate parents</w:t>
      </w:r>
    </w:p>
    <w:p w:rsidR="00065622" w:rsidRPr="00CF412F" w:rsidRDefault="00CF412F" w:rsidP="00065622">
      <w:pPr>
        <w:pStyle w:val="BodyText"/>
        <w:spacing w:line="288" w:lineRule="auto"/>
        <w:rPr>
          <w:rFonts w:eastAsia="Batang"/>
          <w:i/>
        </w:rPr>
      </w:pPr>
      <w:r w:rsidRPr="00CF412F">
        <w:rPr>
          <w:rFonts w:eastAsia="Batang"/>
          <w:i/>
        </w:rPr>
        <w:t>Nature and prevalence of VET</w:t>
      </w:r>
      <w:r w:rsidR="00065622" w:rsidRPr="00CF412F">
        <w:rPr>
          <w:rFonts w:eastAsia="Batang"/>
          <w:i/>
        </w:rPr>
        <w:t xml:space="preserve"> </w:t>
      </w:r>
    </w:p>
    <w:p w:rsidR="00065622" w:rsidRPr="00CF412F" w:rsidRDefault="00065622" w:rsidP="00065622">
      <w:pPr>
        <w:pStyle w:val="BodyText"/>
        <w:spacing w:line="288" w:lineRule="auto"/>
        <w:rPr>
          <w:rFonts w:eastAsia="Batang"/>
        </w:rPr>
      </w:pPr>
      <w:r w:rsidRPr="00CF412F">
        <w:rPr>
          <w:rFonts w:eastAsia="Batang"/>
        </w:rPr>
        <w:t xml:space="preserve">It is often argued that access to </w:t>
      </w:r>
      <w:r w:rsidRPr="00CF412F">
        <w:rPr>
          <w:rFonts w:eastAsia="Batang"/>
          <w:b/>
          <w:color w:val="1F497D" w:themeColor="text2"/>
        </w:rPr>
        <w:t>high quality vocational education</w:t>
      </w:r>
      <w:r w:rsidRPr="00CF412F">
        <w:rPr>
          <w:rFonts w:eastAsia="Batang"/>
          <w:color w:val="1F497D" w:themeColor="text2"/>
        </w:rPr>
        <w:t xml:space="preserve"> </w:t>
      </w:r>
      <w:r w:rsidRPr="00CF412F">
        <w:rPr>
          <w:rFonts w:eastAsia="Batang"/>
        </w:rPr>
        <w:t xml:space="preserve">is crucial to the </w:t>
      </w:r>
      <w:r w:rsidR="00EA0168">
        <w:rPr>
          <w:rFonts w:eastAsia="Batang"/>
        </w:rPr>
        <w:t>competence</w:t>
      </w:r>
      <w:r w:rsidR="00EA0168" w:rsidRPr="00CF412F">
        <w:rPr>
          <w:rFonts w:eastAsia="Batang"/>
        </w:rPr>
        <w:t xml:space="preserve"> </w:t>
      </w:r>
      <w:r w:rsidRPr="00CF412F">
        <w:rPr>
          <w:rFonts w:eastAsia="Batang"/>
        </w:rPr>
        <w:t xml:space="preserve">development of many young people. We use three indicators which may provide measures of this. The first, </w:t>
      </w:r>
      <w:r w:rsidR="00EA0168">
        <w:rPr>
          <w:rFonts w:eastAsia="Batang"/>
          <w:b/>
          <w:color w:val="1F497D" w:themeColor="text2"/>
        </w:rPr>
        <w:t>v</w:t>
      </w:r>
      <w:r w:rsidRPr="00CF412F">
        <w:rPr>
          <w:rFonts w:eastAsia="Batang"/>
          <w:b/>
          <w:color w:val="1F497D" w:themeColor="text2"/>
        </w:rPr>
        <w:t xml:space="preserve">ocational </w:t>
      </w:r>
      <w:r w:rsidR="00EA0168">
        <w:rPr>
          <w:rFonts w:eastAsia="Batang"/>
          <w:b/>
          <w:color w:val="1F497D" w:themeColor="text2"/>
        </w:rPr>
        <w:t>p</w:t>
      </w:r>
      <w:r w:rsidRPr="00CF412F">
        <w:rPr>
          <w:rFonts w:eastAsia="Batang"/>
          <w:b/>
          <w:color w:val="1F497D" w:themeColor="text2"/>
        </w:rPr>
        <w:t>revalence</w:t>
      </w:r>
      <w:r w:rsidRPr="00CF412F">
        <w:rPr>
          <w:rFonts w:eastAsia="Batang"/>
        </w:rPr>
        <w:t xml:space="preserve">, measures the propensity of young people to enrol in vocational courses, which may be seen in part as a proxy for the attractiveness of these courses. However, given that young people may enrol in vocational courses in some cases because they cannot get access to general education courses, Vocational </w:t>
      </w:r>
      <w:r w:rsidR="00EA0168">
        <w:rPr>
          <w:rFonts w:eastAsia="Batang"/>
        </w:rPr>
        <w:t>p</w:t>
      </w:r>
      <w:r w:rsidRPr="00CF412F">
        <w:rPr>
          <w:rFonts w:eastAsia="Batang"/>
        </w:rPr>
        <w:t xml:space="preserve">revalence cannot be taken as a very reliable measure of the quality of the vocational programmes. We therefore add another measure of the </w:t>
      </w:r>
      <w:r w:rsidRPr="00CF412F">
        <w:rPr>
          <w:rFonts w:eastAsia="Batang"/>
          <w:b/>
          <w:color w:val="1F497D" w:themeColor="text2"/>
        </w:rPr>
        <w:t>social mix of students</w:t>
      </w:r>
      <w:r w:rsidRPr="00CF412F">
        <w:rPr>
          <w:rFonts w:eastAsia="Batang"/>
          <w:color w:val="1F497D" w:themeColor="text2"/>
        </w:rPr>
        <w:t xml:space="preserve"> </w:t>
      </w:r>
      <w:r w:rsidRPr="00CF412F">
        <w:rPr>
          <w:rFonts w:eastAsia="Batang"/>
        </w:rPr>
        <w:t xml:space="preserve">on vocational programmes to ascertain their attractiveness to different social groups. We also use an indicator of </w:t>
      </w:r>
      <w:r w:rsidRPr="00CF412F">
        <w:rPr>
          <w:rFonts w:eastAsia="Batang"/>
          <w:b/>
          <w:color w:val="1F497D" w:themeColor="text2"/>
        </w:rPr>
        <w:t>vocational specificity</w:t>
      </w:r>
      <w:r w:rsidRPr="00CF412F">
        <w:rPr>
          <w:rFonts w:eastAsia="Batang"/>
        </w:rPr>
        <w:t xml:space="preserve"> to measure the proportion of vocational students in apprenticeships. </w:t>
      </w:r>
    </w:p>
    <w:p w:rsidR="00065622" w:rsidRPr="00CF412F" w:rsidRDefault="00065622" w:rsidP="00065622">
      <w:pPr>
        <w:pStyle w:val="BodyText"/>
        <w:spacing w:line="288" w:lineRule="auto"/>
        <w:rPr>
          <w:rFonts w:eastAsia="Batang"/>
        </w:rPr>
      </w:pPr>
      <w:r w:rsidRPr="00CF412F">
        <w:rPr>
          <w:rFonts w:eastAsia="Batang"/>
          <w:b/>
          <w:color w:val="1F497D" w:themeColor="text2"/>
        </w:rPr>
        <w:t>Vocational prevalence</w:t>
      </w:r>
      <w:r w:rsidRPr="00CF412F">
        <w:rPr>
          <w:rFonts w:eastAsia="Batang"/>
        </w:rPr>
        <w:t xml:space="preserve">: this indicator is based on the ratio of those in PIAAC reporting highest qualifications at ISCED 4 or ISCED 3A, B or C (designated as vocational) to those reporting highest qualifications at ISCED 4 or above or ISCED 3 A, B (designated as non-vocational). </w:t>
      </w:r>
      <w:r w:rsidRPr="00CF412F">
        <w:t>The variable is measured in increments of 10%, so that the coefficient in the DID table represents the change in the rank ordering that is associated with an increase of 10%.</w:t>
      </w:r>
    </w:p>
    <w:p w:rsidR="00065622" w:rsidRPr="00CF412F" w:rsidRDefault="00065622" w:rsidP="00065622">
      <w:pPr>
        <w:pStyle w:val="BodyText"/>
        <w:spacing w:line="288" w:lineRule="auto"/>
        <w:rPr>
          <w:rFonts w:eastAsia="Batang"/>
        </w:rPr>
      </w:pPr>
      <w:r w:rsidRPr="00CF412F">
        <w:rPr>
          <w:rFonts w:eastAsia="Batang"/>
          <w:b/>
          <w:color w:val="1F497D" w:themeColor="text2"/>
        </w:rPr>
        <w:t>Social mix o</w:t>
      </w:r>
      <w:r w:rsidR="00EA0168">
        <w:rPr>
          <w:rFonts w:eastAsia="Batang"/>
          <w:b/>
          <w:color w:val="1F497D" w:themeColor="text2"/>
        </w:rPr>
        <w:t>f</w:t>
      </w:r>
      <w:r w:rsidRPr="00CF412F">
        <w:rPr>
          <w:rFonts w:eastAsia="Batang"/>
          <w:b/>
          <w:color w:val="1F497D" w:themeColor="text2"/>
        </w:rPr>
        <w:t xml:space="preserve"> vocational programmes</w:t>
      </w:r>
      <w:r w:rsidRPr="00CF412F">
        <w:rPr>
          <w:rFonts w:eastAsia="Batang"/>
        </w:rPr>
        <w:t xml:space="preserve">: The second indicator measures the social mix of the vocational track (proxied by the proportion of students gaining qualifications from this track who have graduate parents). For this purpose we also take the most inclusive definition of the vocational track, including all those whose highest qualification was ISCED 4 or ISCED 3 B, or C (including less than two years). The assumption here is that where the proportion is greater this suggests smaller social gaps and therefore more parity with the general track. </w:t>
      </w:r>
      <w:r w:rsidRPr="00CF412F">
        <w:t>The variable is measured in increments of 10%, so that the coefficient in the DID table represents the change in the rank ordering that is associated with an increase of 10%.</w:t>
      </w:r>
    </w:p>
    <w:p w:rsidR="00065622" w:rsidRDefault="00065622" w:rsidP="00065622">
      <w:pPr>
        <w:pStyle w:val="BodyText"/>
        <w:spacing w:line="288" w:lineRule="auto"/>
      </w:pPr>
      <w:r w:rsidRPr="00CF412F">
        <w:rPr>
          <w:b/>
          <w:color w:val="1F497D" w:themeColor="text2"/>
        </w:rPr>
        <w:t>Specificity of vocational programmes</w:t>
      </w:r>
      <w:r w:rsidRPr="00CF412F">
        <w:t xml:space="preserve">: This measures the proportion of upper secondary vocational education that takes place in a dual system. Bol and van de Werfhorst (2013) argue that the job-specificity of skills taught in vocational programmes </w:t>
      </w:r>
      <w:r w:rsidR="00EA0168">
        <w:t>is</w:t>
      </w:r>
      <w:r w:rsidR="00EA0168" w:rsidRPr="00CF412F">
        <w:t xml:space="preserve"> </w:t>
      </w:r>
      <w:r w:rsidRPr="00CF412F">
        <w:t>key to understanding the strength of the dual system in upper secondary education. The data is taken from the 2007 volume of OECD Education at a Glance. The variable is measured in increments of 10%, so that the coefficient in the DID table represents the change in the rank ordering that is associated with an increase of 10%.</w:t>
      </w:r>
    </w:p>
    <w:p w:rsidR="00065622" w:rsidRPr="00CF412F" w:rsidRDefault="00CF412F" w:rsidP="00CF412F">
      <w:pPr>
        <w:pStyle w:val="BodyText"/>
        <w:spacing w:line="288" w:lineRule="auto"/>
        <w:rPr>
          <w:i/>
        </w:rPr>
      </w:pPr>
      <w:r w:rsidRPr="00CF412F">
        <w:rPr>
          <w:i/>
        </w:rPr>
        <w:t>Other variables</w:t>
      </w:r>
    </w:p>
    <w:p w:rsidR="00065622" w:rsidRPr="00CF412F" w:rsidRDefault="00065622" w:rsidP="00065622">
      <w:pPr>
        <w:pStyle w:val="BodyText"/>
        <w:spacing w:line="288" w:lineRule="auto"/>
      </w:pPr>
      <w:r w:rsidRPr="00CF412F">
        <w:rPr>
          <w:b/>
          <w:color w:val="1F497D" w:themeColor="text2"/>
        </w:rPr>
        <w:t>Standardisation of outputs</w:t>
      </w:r>
      <w:r w:rsidRPr="00CF412F">
        <w:t>: This refers to</w:t>
      </w:r>
      <w:r w:rsidRPr="00CF412F">
        <w:rPr>
          <w:rFonts w:eastAsia="Batang"/>
        </w:rPr>
        <w:t xml:space="preserve"> the extent to which educational achievement (the output) is tested against external standards, such as </w:t>
      </w:r>
      <w:r w:rsidR="00EA0168">
        <w:rPr>
          <w:rFonts w:eastAsia="Batang"/>
        </w:rPr>
        <w:t xml:space="preserve">a </w:t>
      </w:r>
      <w:r w:rsidRPr="00CF412F">
        <w:rPr>
          <w:rFonts w:eastAsia="Batang"/>
        </w:rPr>
        <w:t>national inspectorate, or other regulatory institutes, but the most important institution concerns centralised exit examinations. ‘Central examination leads to a standardization of the educational system as it obliges schools to teach their students what is examined in the central exams’ (Bol and van de Werfhorst 2013</w:t>
      </w:r>
      <w:r w:rsidR="00EA0168">
        <w:rPr>
          <w:rFonts w:eastAsia="Batang"/>
        </w:rPr>
        <w:t>:</w:t>
      </w:r>
      <w:r w:rsidRPr="00CF412F">
        <w:rPr>
          <w:rFonts w:eastAsia="Batang"/>
        </w:rPr>
        <w:t xml:space="preserve"> 6). Central examinations, in fact, have real consequences (not only symbolic), are tested against an external standard, are organized by discipline, do not have as possible outputs only a pass and fail exam, but there is also some differentiation in the possible outcomes, concern secondary school students and covers almost the complete secondary student population (Bishop 1997</w:t>
      </w:r>
      <w:r w:rsidR="00EA0168">
        <w:rPr>
          <w:rFonts w:eastAsia="Batang"/>
        </w:rPr>
        <w:t>:</w:t>
      </w:r>
      <w:r w:rsidRPr="00CF412F">
        <w:rPr>
          <w:rFonts w:eastAsia="Batang"/>
        </w:rPr>
        <w:t xml:space="preserve"> 260). Standardisation of output</w:t>
      </w:r>
      <w:r w:rsidR="00EA0168">
        <w:rPr>
          <w:rFonts w:eastAsia="Batang"/>
        </w:rPr>
        <w:t>s</w:t>
      </w:r>
      <w:r w:rsidRPr="00CF412F">
        <w:rPr>
          <w:rFonts w:eastAsia="Batang"/>
        </w:rPr>
        <w:t xml:space="preserve"> is a dummy variable: when there are central exams the secondary education system a country scores a one. The source is Bol and Van de Werfhorst (2013).</w:t>
      </w:r>
    </w:p>
    <w:p w:rsidR="00065622" w:rsidRDefault="00065622" w:rsidP="00065622">
      <w:pPr>
        <w:pStyle w:val="BodyText"/>
        <w:spacing w:line="288" w:lineRule="auto"/>
      </w:pPr>
      <w:r w:rsidRPr="00CF412F">
        <w:rPr>
          <w:b/>
          <w:color w:val="1F497D" w:themeColor="text2"/>
        </w:rPr>
        <w:t>Percentage enrolled in private secondary schools</w:t>
      </w:r>
      <w:r w:rsidRPr="00CF412F">
        <w:t xml:space="preserve">: </w:t>
      </w:r>
      <w:r w:rsidRPr="00CF412F">
        <w:rPr>
          <w:rFonts w:eastAsia="Batang"/>
        </w:rPr>
        <w:t>This refers to the proportion of students in upper secondary private institutions that receive less than 50% of their core funding from government agencies and whose teaching personnel are not paid by a government agency</w:t>
      </w:r>
      <w:r w:rsidRPr="00CF412F">
        <w:rPr>
          <w:rStyle w:val="FootnoteReference"/>
          <w:rFonts w:eastAsia="Batang"/>
        </w:rPr>
        <w:footnoteReference w:id="30"/>
      </w:r>
      <w:r w:rsidR="00081F21">
        <w:rPr>
          <w:rFonts w:eastAsia="Batang"/>
        </w:rPr>
        <w:t>.</w:t>
      </w:r>
      <w:r w:rsidRPr="00CF412F">
        <w:rPr>
          <w:rFonts w:eastAsia="Batang"/>
        </w:rPr>
        <w:t xml:space="preserve"> </w:t>
      </w:r>
      <w:r w:rsidRPr="00CF412F">
        <w:t>The variable is measured in increments of 10%, so that the coefficient in the DID table represents the change in the rank ordering that is associated with an increase of 10%.</w:t>
      </w:r>
    </w:p>
    <w:p w:rsidR="00CF412F" w:rsidRPr="00CF412F" w:rsidRDefault="00CF412F" w:rsidP="00065622">
      <w:pPr>
        <w:pStyle w:val="BodyText"/>
        <w:spacing w:line="288" w:lineRule="auto"/>
        <w:rPr>
          <w:rFonts w:eastAsia="Batang"/>
          <w:i/>
        </w:rPr>
      </w:pPr>
      <w:r w:rsidRPr="00CF412F">
        <w:rPr>
          <w:i/>
        </w:rPr>
        <w:t>Education system types</w:t>
      </w:r>
    </w:p>
    <w:p w:rsidR="00F40EC1" w:rsidRPr="00CF412F" w:rsidRDefault="00065622" w:rsidP="00CF412F">
      <w:pPr>
        <w:pStyle w:val="BodyText"/>
        <w:spacing w:line="288" w:lineRule="auto"/>
        <w:rPr>
          <w:rFonts w:cs="Arial"/>
          <w:b/>
          <w:bCs/>
          <w:color w:val="263673"/>
          <w:szCs w:val="26"/>
        </w:rPr>
      </w:pPr>
      <w:r w:rsidRPr="00CF412F">
        <w:t>Additionally, we analyse effects of the four educatio</w:t>
      </w:r>
      <w:r w:rsidR="00CF412F" w:rsidRPr="00CF412F">
        <w:t>n types as presented above.</w:t>
      </w:r>
      <w:bookmarkStart w:id="209" w:name="_Toc432873787"/>
      <w:bookmarkStart w:id="210" w:name="_Toc427154784"/>
      <w:bookmarkStart w:id="211" w:name="_Toc427232511"/>
    </w:p>
    <w:p w:rsidR="00065622" w:rsidRPr="00E005E5" w:rsidRDefault="00065622" w:rsidP="00E005E5">
      <w:pPr>
        <w:pStyle w:val="Heading3"/>
        <w:rPr>
          <w:i/>
          <w:color w:val="003C64"/>
          <w:szCs w:val="32"/>
        </w:rPr>
      </w:pPr>
      <w:bookmarkStart w:id="212" w:name="_Toc435620192"/>
      <w:bookmarkStart w:id="213" w:name="_Toc435802110"/>
      <w:r w:rsidRPr="00E005E5">
        <w:t>6.3.2. Results</w:t>
      </w:r>
      <w:bookmarkEnd w:id="209"/>
      <w:bookmarkEnd w:id="210"/>
      <w:bookmarkEnd w:id="211"/>
      <w:bookmarkEnd w:id="212"/>
      <w:bookmarkEnd w:id="213"/>
    </w:p>
    <w:p w:rsidR="00065622" w:rsidRDefault="00E84D24" w:rsidP="00065622">
      <w:pPr>
        <w:pStyle w:val="BodyText"/>
        <w:spacing w:line="288" w:lineRule="auto"/>
      </w:pPr>
      <w:r w:rsidRPr="00E84D24">
        <w:rPr>
          <w:color w:val="003C64"/>
        </w:rPr>
        <w:t>Figure</w:t>
      </w:r>
      <w:r w:rsidR="00065622" w:rsidRPr="00E84D24">
        <w:rPr>
          <w:color w:val="003C64"/>
        </w:rPr>
        <w:t xml:space="preserve"> 6.</w:t>
      </w:r>
      <w:r w:rsidRPr="00E84D24">
        <w:rPr>
          <w:color w:val="003C64"/>
        </w:rPr>
        <w:t>1</w:t>
      </w:r>
      <w:r>
        <w:rPr>
          <w:color w:val="003C64"/>
        </w:rPr>
        <w:t xml:space="preserve"> </w:t>
      </w:r>
      <w:r w:rsidR="00065622" w:rsidRPr="00E005E5">
        <w:t>shows the changes between PISA and PIAAC in country rank order positions (on the five point scale) for literacy and numeracy.  The first observation to note is that most countries (14 out of 20) do not change position by more than one place up or down on either literacy or</w:t>
      </w:r>
      <w:r w:rsidR="00F40EC1">
        <w:t xml:space="preserve"> numeracy rankings. In only two</w:t>
      </w:r>
      <w:r w:rsidR="00065622" w:rsidRPr="00E005E5">
        <w:t xml:space="preserve"> instances across literacy and numeracy do countries change positions by three or more places. So there would appear to be quite a high degree of continuity with most countries in their relative position in </w:t>
      </w:r>
      <w:r w:rsidR="00085381">
        <w:t>competences</w:t>
      </w:r>
      <w:r w:rsidR="00065622" w:rsidRPr="00E005E5">
        <w:t xml:space="preserve"> for 15 and 27 year olds. Most countries with relatively high average scores in literacy and numeracy amongst 15 year olds in PISA still have relatively high scores for 27 year olds in PIAAC, and vice versa.</w:t>
      </w:r>
    </w:p>
    <w:p w:rsidR="00F40EC1" w:rsidRPr="00F40EC1" w:rsidRDefault="00F40EC1" w:rsidP="00F40EC1">
      <w:pPr>
        <w:pStyle w:val="Caption"/>
        <w:rPr>
          <w:rFonts w:ascii="Verdana" w:hAnsi="Verdana"/>
          <w:b w:val="0"/>
          <w:color w:val="1F497D" w:themeColor="text2"/>
          <w:sz w:val="20"/>
        </w:rPr>
      </w:pPr>
      <w:r w:rsidRPr="00F40EC1">
        <w:rPr>
          <w:rFonts w:ascii="Verdana" w:hAnsi="Verdana"/>
          <w:b w:val="0"/>
          <w:color w:val="1F497D" w:themeColor="text2"/>
          <w:sz w:val="20"/>
        </w:rPr>
        <w:t>Figure 6.1 Change in rank order position over pseudo-cohorts</w:t>
      </w:r>
      <w:r w:rsidR="008E03DE">
        <w:rPr>
          <w:rFonts w:ascii="Verdana" w:hAnsi="Verdana"/>
          <w:b w:val="0"/>
          <w:color w:val="1F497D" w:themeColor="text2"/>
          <w:sz w:val="20"/>
        </w:rPr>
        <w:t>, by country</w:t>
      </w:r>
    </w:p>
    <w:p w:rsidR="00E84D24" w:rsidRDefault="009B7C56" w:rsidP="00065622">
      <w:pPr>
        <w:pStyle w:val="BodyText"/>
        <w:spacing w:line="288" w:lineRule="auto"/>
      </w:pPr>
      <w:r>
        <w:rPr>
          <w:noProof/>
          <w:lang w:val="en-US" w:eastAsia="en-US"/>
        </w:rPr>
        <w:drawing>
          <wp:inline distT="0" distB="0" distL="0" distR="0" wp14:anchorId="215C31D9" wp14:editId="68F10D06">
            <wp:extent cx="5579745" cy="2827428"/>
            <wp:effectExtent l="0" t="0" r="1905"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F40EC1" w:rsidRPr="00C358E2" w:rsidRDefault="00F40EC1" w:rsidP="00F40EC1">
      <w:pPr>
        <w:spacing w:after="120" w:line="288" w:lineRule="auto"/>
        <w:rPr>
          <w:rFonts w:cs="Arial"/>
          <w:i/>
          <w:color w:val="auto"/>
          <w:sz w:val="16"/>
          <w:szCs w:val="16"/>
          <w:lang w:eastAsia="en-US"/>
        </w:rPr>
      </w:pPr>
      <w:r w:rsidRPr="00C358E2">
        <w:rPr>
          <w:rFonts w:cs="Arial"/>
          <w:i/>
          <w:sz w:val="16"/>
          <w:szCs w:val="16"/>
        </w:rPr>
        <w:t>Notes: PISA and PIAAC data, own analysis</w:t>
      </w:r>
    </w:p>
    <w:p w:rsidR="008B17F1" w:rsidRDefault="00E84D24" w:rsidP="00E84D24">
      <w:pPr>
        <w:pStyle w:val="BodyText"/>
        <w:spacing w:line="288" w:lineRule="auto"/>
      </w:pPr>
      <w:bookmarkStart w:id="214" w:name="_Toc432873788"/>
      <w:bookmarkStart w:id="215" w:name="_Toc427069149"/>
      <w:bookmarkStart w:id="216" w:name="_Toc427154785"/>
      <w:bookmarkStart w:id="217" w:name="_Toc427232512"/>
      <w:r w:rsidRPr="00E005E5">
        <w:t>Amo</w:t>
      </w:r>
      <w:r w:rsidR="00AA7D2A">
        <w:t>ngst the 12 instances (out of 39</w:t>
      </w:r>
      <w:r w:rsidRPr="00E005E5">
        <w:t xml:space="preserve">) where a country changes by two or more positions in the ranking for either literacy or numeracy, there is </w:t>
      </w:r>
      <w:r w:rsidRPr="008B17F1">
        <w:rPr>
          <w:b/>
          <w:color w:val="1F497D" w:themeColor="text2"/>
        </w:rPr>
        <w:t>considerable consistency</w:t>
      </w:r>
      <w:r w:rsidRPr="00E005E5">
        <w:t xml:space="preserve"> in the direction of change and, to a lesser extent, the degree of change, across the two domains. </w:t>
      </w:r>
    </w:p>
    <w:p w:rsidR="00E84D24" w:rsidRDefault="00E84D24" w:rsidP="00E84D24">
      <w:pPr>
        <w:pStyle w:val="BodyText"/>
        <w:spacing w:line="288" w:lineRule="auto"/>
      </w:pPr>
      <w:r w:rsidRPr="00E005E5">
        <w:t xml:space="preserve">The other notable pattern is the </w:t>
      </w:r>
      <w:r w:rsidRPr="008B17F1">
        <w:rPr>
          <w:b/>
          <w:color w:val="1F497D" w:themeColor="text2"/>
        </w:rPr>
        <w:t>uni-directional change across domains in two particular groups of countries</w:t>
      </w:r>
      <w:r w:rsidRPr="00E005E5">
        <w:t xml:space="preserve">. Almost all the Anglophone countries (including Canada, Ireland, England and Northern Ireland) show relative declines in both domains. The only English-speaking exception is the USA which shows a relative decline in numeracy but no change in literacy. The Nordic countries all show relative improvements in ranking in either literacy or numeracy literacy, and all except Finland show relative improvement in both </w:t>
      </w:r>
      <w:r w:rsidRPr="008B17F1">
        <w:t xml:space="preserve">domains. </w:t>
      </w:r>
      <w:r w:rsidR="00030F8B">
        <w:t>Figure</w:t>
      </w:r>
      <w:r w:rsidRPr="008B17F1">
        <w:t xml:space="preserve"> </w:t>
      </w:r>
      <w:r w:rsidR="004B3120">
        <w:t>6.2 illustrates this pattern for numeracy.</w:t>
      </w:r>
    </w:p>
    <w:p w:rsidR="005C7697" w:rsidRPr="005C7697" w:rsidRDefault="005C7697" w:rsidP="005C7697">
      <w:pPr>
        <w:pStyle w:val="Heading3"/>
        <w:rPr>
          <w:b w:val="0"/>
          <w:color w:val="333333"/>
        </w:rPr>
      </w:pPr>
      <w:bookmarkStart w:id="218" w:name="_Toc435802111"/>
      <w:r w:rsidRPr="005C7697">
        <w:rPr>
          <w:b w:val="0"/>
          <w:color w:val="333333"/>
        </w:rPr>
        <w:t xml:space="preserve">A full overview of countries’ rank position in PISA and PIAAC </w:t>
      </w:r>
      <w:r>
        <w:rPr>
          <w:b w:val="0"/>
          <w:color w:val="333333"/>
        </w:rPr>
        <w:t>is provided</w:t>
      </w:r>
      <w:r w:rsidRPr="005C7697">
        <w:rPr>
          <w:b w:val="0"/>
          <w:color w:val="333333"/>
        </w:rPr>
        <w:t xml:space="preserve"> in Annex VII.</w:t>
      </w:r>
      <w:bookmarkEnd w:id="218"/>
    </w:p>
    <w:p w:rsidR="005C7697" w:rsidRDefault="005C7697" w:rsidP="00E84D24">
      <w:pPr>
        <w:pStyle w:val="BodyText"/>
        <w:spacing w:line="288" w:lineRule="auto"/>
      </w:pPr>
    </w:p>
    <w:p w:rsidR="00030F8B" w:rsidRPr="00030F8B" w:rsidRDefault="00030F8B" w:rsidP="00030F8B">
      <w:pPr>
        <w:pStyle w:val="Caption"/>
        <w:rPr>
          <w:rFonts w:ascii="Verdana" w:hAnsi="Verdana"/>
          <w:b w:val="0"/>
          <w:color w:val="1F497D" w:themeColor="text2"/>
          <w:sz w:val="20"/>
        </w:rPr>
      </w:pPr>
      <w:r w:rsidRPr="00030F8B">
        <w:rPr>
          <w:rFonts w:ascii="Verdana" w:hAnsi="Verdana"/>
          <w:b w:val="0"/>
          <w:color w:val="1F497D" w:themeColor="text2"/>
          <w:sz w:val="20"/>
        </w:rPr>
        <w:t>Figure 6.2 Countr</w:t>
      </w:r>
      <w:r w:rsidR="005F3E38">
        <w:rPr>
          <w:rFonts w:ascii="Verdana" w:hAnsi="Verdana"/>
          <w:b w:val="0"/>
          <w:color w:val="1F497D" w:themeColor="text2"/>
          <w:sz w:val="20"/>
        </w:rPr>
        <w:t>y</w:t>
      </w:r>
      <w:r w:rsidRPr="00030F8B">
        <w:rPr>
          <w:rFonts w:ascii="Verdana" w:hAnsi="Verdana"/>
          <w:b w:val="0"/>
          <w:color w:val="1F497D" w:themeColor="text2"/>
          <w:sz w:val="20"/>
        </w:rPr>
        <w:t xml:space="preserve"> rank order position for maths age 15 and numeracy age 27, quintiles</w:t>
      </w:r>
    </w:p>
    <w:p w:rsidR="00030F8B" w:rsidRPr="00065622" w:rsidRDefault="00030F8B" w:rsidP="00E84D24">
      <w:pPr>
        <w:pStyle w:val="BodyText"/>
        <w:spacing w:line="288" w:lineRule="auto"/>
        <w:rPr>
          <w:highlight w:val="yellow"/>
        </w:rPr>
      </w:pPr>
      <w:r>
        <w:rPr>
          <w:noProof/>
          <w:lang w:val="en-US" w:eastAsia="en-US"/>
        </w:rPr>
        <w:drawing>
          <wp:inline distT="0" distB="0" distL="0" distR="0" wp14:anchorId="028D8C0E" wp14:editId="0B42A5A5">
            <wp:extent cx="5580000" cy="3491345"/>
            <wp:effectExtent l="0" t="0" r="1905" b="0"/>
            <wp:docPr id="673" name="Chart 67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030F8B" w:rsidRPr="00C358E2" w:rsidRDefault="00030F8B" w:rsidP="00030F8B">
      <w:pPr>
        <w:spacing w:after="120" w:line="288" w:lineRule="auto"/>
        <w:rPr>
          <w:rFonts w:cs="Arial"/>
          <w:i/>
          <w:color w:val="auto"/>
          <w:sz w:val="16"/>
          <w:szCs w:val="16"/>
          <w:lang w:eastAsia="en-US"/>
        </w:rPr>
      </w:pPr>
      <w:r w:rsidRPr="00C358E2">
        <w:rPr>
          <w:rFonts w:cs="Arial"/>
          <w:i/>
          <w:sz w:val="16"/>
          <w:szCs w:val="16"/>
        </w:rPr>
        <w:t>Notes: PISA and PIAAC data, own analysis</w:t>
      </w:r>
    </w:p>
    <w:p w:rsidR="00065622" w:rsidRPr="008B17F1" w:rsidRDefault="00065622" w:rsidP="008B17F1">
      <w:pPr>
        <w:pStyle w:val="Heading3"/>
      </w:pPr>
      <w:bookmarkStart w:id="219" w:name="_Toc435620193"/>
      <w:bookmarkStart w:id="220" w:name="_Toc435802112"/>
      <w:r w:rsidRPr="008B17F1">
        <w:t xml:space="preserve">6.3.2.1 Effects of </w:t>
      </w:r>
      <w:r w:rsidR="008E03DE">
        <w:t xml:space="preserve">education </w:t>
      </w:r>
      <w:r w:rsidRPr="008B17F1">
        <w:t>system types</w:t>
      </w:r>
      <w:bookmarkEnd w:id="214"/>
      <w:bookmarkEnd w:id="215"/>
      <w:bookmarkEnd w:id="216"/>
      <w:bookmarkEnd w:id="217"/>
      <w:bookmarkEnd w:id="219"/>
      <w:bookmarkEnd w:id="220"/>
    </w:p>
    <w:p w:rsidR="00065622" w:rsidRPr="008B17F1" w:rsidRDefault="00065622" w:rsidP="00065622">
      <w:pPr>
        <w:pStyle w:val="BodyText"/>
        <w:spacing w:line="288" w:lineRule="auto"/>
      </w:pPr>
      <w:r w:rsidRPr="008B17F1">
        <w:t>Moving beyond the descriptive analysis of cha</w:t>
      </w:r>
      <w:r w:rsidR="008B17F1">
        <w:t>nges in rank ordering, Table 6.1</w:t>
      </w:r>
      <w:r w:rsidRPr="008B17F1">
        <w:t xml:space="preserve"> displays the DID estimates of the effects of different types of education systems on the relative position of countries in the rank ordering of average numeracy and literacy competence. It compares the Type 1, Type 2a, Type 2b and Type 4 systems to the Type 3 differentiated system as the reference model.</w:t>
      </w:r>
    </w:p>
    <w:p w:rsidR="00065622" w:rsidRPr="008B17F1" w:rsidRDefault="00065622" w:rsidP="00065622">
      <w:pPr>
        <w:pStyle w:val="Caption"/>
        <w:spacing w:before="0" w:after="120" w:line="288" w:lineRule="auto"/>
        <w:rPr>
          <w:rFonts w:ascii="Verdana" w:eastAsiaTheme="minorEastAsia" w:hAnsi="Verdana"/>
          <w:b w:val="0"/>
          <w:w w:val="105"/>
          <w:sz w:val="20"/>
        </w:rPr>
      </w:pPr>
      <w:r w:rsidRPr="008B17F1">
        <w:rPr>
          <w:rFonts w:ascii="Verdana" w:hAnsi="Verdana"/>
          <w:b w:val="0"/>
          <w:color w:val="1F497D" w:themeColor="text2"/>
          <w:sz w:val="20"/>
        </w:rPr>
        <w:t xml:space="preserve">Table </w:t>
      </w:r>
      <w:r w:rsidR="008B17F1" w:rsidRPr="008B17F1">
        <w:rPr>
          <w:rFonts w:ascii="Verdana" w:hAnsi="Verdana"/>
          <w:b w:val="0"/>
          <w:color w:val="1F497D" w:themeColor="text2"/>
          <w:sz w:val="20"/>
        </w:rPr>
        <w:t>6.1</w:t>
      </w:r>
      <w:r w:rsidR="00030F8B">
        <w:rPr>
          <w:rFonts w:ascii="Verdana" w:hAnsi="Verdana"/>
          <w:b w:val="0"/>
          <w:color w:val="1F497D" w:themeColor="text2"/>
          <w:sz w:val="20"/>
        </w:rPr>
        <w:t xml:space="preserve"> </w:t>
      </w:r>
      <w:r w:rsidRPr="008B17F1">
        <w:rPr>
          <w:rFonts w:ascii="Verdana" w:hAnsi="Verdana"/>
          <w:b w:val="0"/>
          <w:color w:val="1F497D" w:themeColor="text2"/>
          <w:sz w:val="20"/>
        </w:rPr>
        <w:t>DID Estimates of Effects of System Types</w:t>
      </w:r>
      <w:r w:rsidR="009E5AC9">
        <w:rPr>
          <w:rFonts w:ascii="Verdana" w:hAnsi="Verdana"/>
          <w:b w:val="0"/>
          <w:color w:val="1F497D" w:themeColor="text2"/>
          <w:sz w:val="20"/>
        </w:rPr>
        <w:t xml:space="preserve"> </w:t>
      </w:r>
    </w:p>
    <w:tbl>
      <w:tblPr>
        <w:tblW w:w="8789" w:type="dxa"/>
        <w:tblLook w:val="04A0" w:firstRow="1" w:lastRow="0" w:firstColumn="1" w:lastColumn="0" w:noHBand="0" w:noVBand="1"/>
      </w:tblPr>
      <w:tblGrid>
        <w:gridCol w:w="1276"/>
        <w:gridCol w:w="3118"/>
        <w:gridCol w:w="2197"/>
        <w:gridCol w:w="2198"/>
      </w:tblGrid>
      <w:tr w:rsidR="009E5AC9" w:rsidRPr="001E31D3" w:rsidTr="00E62AE7">
        <w:trPr>
          <w:trHeight w:val="170"/>
        </w:trPr>
        <w:tc>
          <w:tcPr>
            <w:tcW w:w="4394" w:type="dxa"/>
            <w:gridSpan w:val="2"/>
            <w:tcBorders>
              <w:top w:val="single" w:sz="8" w:space="0" w:color="000000"/>
              <w:left w:val="single" w:sz="8" w:space="0" w:color="000000"/>
              <w:bottom w:val="single" w:sz="8" w:space="0" w:color="000000"/>
              <w:right w:val="nil"/>
            </w:tcBorders>
            <w:vAlign w:val="center"/>
            <w:hideMark/>
          </w:tcPr>
          <w:p w:rsidR="009E5AC9" w:rsidRPr="001E31D3" w:rsidRDefault="009E5AC9" w:rsidP="00030F8B">
            <w:pPr>
              <w:spacing w:line="288" w:lineRule="auto"/>
              <w:rPr>
                <w:rFonts w:cs="Arial"/>
                <w:sz w:val="22"/>
                <w:szCs w:val="20"/>
                <w:lang w:eastAsia="en-US"/>
              </w:rPr>
            </w:pPr>
            <w:r w:rsidRPr="001E31D3">
              <w:rPr>
                <w:rFonts w:cs="Arial"/>
                <w:szCs w:val="20"/>
              </w:rPr>
              <w:t> </w:t>
            </w:r>
          </w:p>
          <w:p w:rsidR="009E5AC9" w:rsidRPr="001E31D3" w:rsidRDefault="009E5AC9" w:rsidP="00030F8B">
            <w:pPr>
              <w:spacing w:line="288" w:lineRule="auto"/>
              <w:rPr>
                <w:rFonts w:cs="Arial"/>
                <w:sz w:val="22"/>
                <w:szCs w:val="20"/>
                <w:lang w:eastAsia="en-US"/>
              </w:rPr>
            </w:pPr>
            <w:r w:rsidRPr="001E31D3">
              <w:rPr>
                <w:rFonts w:cs="Arial"/>
                <w:szCs w:val="20"/>
              </w:rPr>
              <w:t> </w:t>
            </w:r>
          </w:p>
        </w:tc>
        <w:tc>
          <w:tcPr>
            <w:tcW w:w="2197" w:type="dxa"/>
            <w:tcBorders>
              <w:top w:val="single" w:sz="8" w:space="0" w:color="000000"/>
              <w:left w:val="single" w:sz="8" w:space="0" w:color="000000"/>
              <w:bottom w:val="single" w:sz="8" w:space="0" w:color="000000"/>
              <w:right w:val="nil"/>
            </w:tcBorders>
            <w:shd w:val="clear" w:color="auto" w:fill="C6D9F1" w:themeFill="text2" w:themeFillTint="33"/>
            <w:vAlign w:val="center"/>
            <w:hideMark/>
          </w:tcPr>
          <w:p w:rsidR="009E5AC9" w:rsidRPr="001E31D3" w:rsidRDefault="009E5AC9" w:rsidP="00030F8B">
            <w:pPr>
              <w:spacing w:line="288" w:lineRule="auto"/>
              <w:rPr>
                <w:rFonts w:cs="Arial"/>
                <w:b/>
                <w:sz w:val="22"/>
                <w:szCs w:val="20"/>
                <w:lang w:eastAsia="en-US"/>
              </w:rPr>
            </w:pPr>
            <w:r w:rsidRPr="001E31D3">
              <w:rPr>
                <w:rFonts w:cs="Arial"/>
                <w:b/>
                <w:szCs w:val="20"/>
              </w:rPr>
              <w:t>Numeracy (quintiles)</w:t>
            </w:r>
          </w:p>
        </w:tc>
        <w:tc>
          <w:tcPr>
            <w:tcW w:w="2198" w:type="dxa"/>
            <w:tcBorders>
              <w:top w:val="single" w:sz="8" w:space="0" w:color="000000"/>
              <w:left w:val="single" w:sz="8" w:space="0" w:color="000000"/>
              <w:bottom w:val="single" w:sz="8" w:space="0" w:color="000000"/>
              <w:right w:val="single" w:sz="8" w:space="0" w:color="000000"/>
            </w:tcBorders>
            <w:shd w:val="clear" w:color="auto" w:fill="C6D9F1" w:themeFill="text2" w:themeFillTint="33"/>
            <w:vAlign w:val="center"/>
            <w:hideMark/>
          </w:tcPr>
          <w:p w:rsidR="009E5AC9" w:rsidRPr="001E31D3" w:rsidRDefault="009E5AC9" w:rsidP="00030F8B">
            <w:pPr>
              <w:spacing w:line="288" w:lineRule="auto"/>
              <w:rPr>
                <w:rFonts w:cs="Arial"/>
                <w:b/>
                <w:sz w:val="22"/>
                <w:szCs w:val="20"/>
                <w:lang w:eastAsia="en-US"/>
              </w:rPr>
            </w:pPr>
            <w:r w:rsidRPr="001E31D3">
              <w:rPr>
                <w:rFonts w:cs="Arial"/>
                <w:b/>
                <w:szCs w:val="20"/>
              </w:rPr>
              <w:t>Literacy (quintiles)</w:t>
            </w:r>
          </w:p>
        </w:tc>
      </w:tr>
      <w:tr w:rsidR="009E5AC9" w:rsidRPr="001E31D3" w:rsidTr="00E62AE7">
        <w:trPr>
          <w:trHeight w:val="170"/>
        </w:trPr>
        <w:tc>
          <w:tcPr>
            <w:tcW w:w="4394" w:type="dxa"/>
            <w:gridSpan w:val="2"/>
            <w:tcBorders>
              <w:top w:val="nil"/>
              <w:left w:val="single" w:sz="8" w:space="0" w:color="000000"/>
              <w:bottom w:val="single" w:sz="8" w:space="0" w:color="000000"/>
              <w:right w:val="single" w:sz="8" w:space="0" w:color="000000"/>
            </w:tcBorders>
            <w:shd w:val="clear" w:color="auto" w:fill="C6D9F1" w:themeFill="text2" w:themeFillTint="33"/>
            <w:vAlign w:val="center"/>
            <w:hideMark/>
          </w:tcPr>
          <w:p w:rsidR="009E5AC9" w:rsidRPr="001E31D3" w:rsidRDefault="009E5AC9" w:rsidP="00030F8B">
            <w:pPr>
              <w:spacing w:line="288" w:lineRule="auto"/>
              <w:jc w:val="left"/>
              <w:rPr>
                <w:rFonts w:cs="Arial"/>
                <w:b/>
                <w:szCs w:val="20"/>
              </w:rPr>
            </w:pPr>
            <w:r w:rsidRPr="001E31D3">
              <w:rPr>
                <w:rFonts w:cs="Arial"/>
                <w:b/>
                <w:szCs w:val="20"/>
              </w:rPr>
              <w:t> </w:t>
            </w:r>
          </w:p>
          <w:p w:rsidR="009E5AC9" w:rsidRPr="001E31D3" w:rsidRDefault="009E5AC9" w:rsidP="00030F8B">
            <w:pPr>
              <w:spacing w:line="288" w:lineRule="auto"/>
              <w:jc w:val="left"/>
              <w:rPr>
                <w:rFonts w:cs="Arial"/>
                <w:szCs w:val="20"/>
              </w:rPr>
            </w:pPr>
            <w:r w:rsidRPr="001E31D3">
              <w:rPr>
                <w:rFonts w:cs="Arial"/>
                <w:b/>
                <w:szCs w:val="20"/>
              </w:rPr>
              <w:t> Education system types</w:t>
            </w:r>
          </w:p>
        </w:tc>
        <w:tc>
          <w:tcPr>
            <w:tcW w:w="2197" w:type="dxa"/>
            <w:tcBorders>
              <w:top w:val="nil"/>
              <w:left w:val="single" w:sz="8" w:space="0" w:color="000000"/>
              <w:bottom w:val="single" w:sz="8" w:space="0" w:color="000000"/>
              <w:right w:val="single" w:sz="8" w:space="0" w:color="000000"/>
            </w:tcBorders>
            <w:shd w:val="clear" w:color="auto" w:fill="C6D9F1" w:themeFill="text2" w:themeFillTint="33"/>
            <w:vAlign w:val="center"/>
            <w:hideMark/>
          </w:tcPr>
          <w:p w:rsidR="009E5AC9" w:rsidRPr="001E31D3" w:rsidRDefault="009E5AC9" w:rsidP="00030F8B">
            <w:pPr>
              <w:spacing w:line="288" w:lineRule="auto"/>
              <w:jc w:val="left"/>
              <w:rPr>
                <w:rFonts w:cs="Arial"/>
                <w:b/>
                <w:sz w:val="22"/>
                <w:szCs w:val="20"/>
                <w:lang w:eastAsia="en-US"/>
              </w:rPr>
            </w:pPr>
            <w:r w:rsidRPr="001E31D3">
              <w:rPr>
                <w:rFonts w:cs="Arial"/>
                <w:b/>
                <w:szCs w:val="20"/>
              </w:rPr>
              <w:t xml:space="preserve">DID estimate </w:t>
            </w:r>
            <m:oMath>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c>
          <w:tcPr>
            <w:tcW w:w="2198" w:type="dxa"/>
            <w:tcBorders>
              <w:top w:val="single" w:sz="8" w:space="0" w:color="000000"/>
              <w:left w:val="single" w:sz="8" w:space="0" w:color="000000"/>
              <w:bottom w:val="nil"/>
              <w:right w:val="single" w:sz="8" w:space="0" w:color="000000"/>
            </w:tcBorders>
            <w:shd w:val="clear" w:color="auto" w:fill="C6D9F1" w:themeFill="text2" w:themeFillTint="33"/>
            <w:vAlign w:val="center"/>
            <w:hideMark/>
          </w:tcPr>
          <w:p w:rsidR="009E5AC9" w:rsidRPr="001E31D3" w:rsidRDefault="009E5AC9" w:rsidP="00030F8B">
            <w:pPr>
              <w:spacing w:line="288" w:lineRule="auto"/>
              <w:jc w:val="left"/>
              <w:rPr>
                <w:rFonts w:cs="Arial"/>
                <w:b/>
                <w:sz w:val="22"/>
                <w:szCs w:val="20"/>
                <w:lang w:eastAsia="en-US"/>
              </w:rPr>
            </w:pPr>
            <w:r w:rsidRPr="001E31D3">
              <w:rPr>
                <w:rFonts w:cs="Arial"/>
                <w:b/>
                <w:szCs w:val="20"/>
              </w:rPr>
              <w:t xml:space="preserve">DID estimate </w:t>
            </w:r>
            <m:oMath>
              <m:r>
                <m:rPr>
                  <m:sty m:val="bi"/>
                </m:rPr>
                <w:rPr>
                  <w:rFonts w:ascii="Cambria Math" w:hAnsi="Cambria Math" w:cs="Arial"/>
                  <w:szCs w:val="20"/>
                </w:rPr>
                <m:t>(</m:t>
              </m:r>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r>
      <w:tr w:rsidR="00065622" w:rsidRPr="001E31D3" w:rsidTr="00030F8B">
        <w:trPr>
          <w:trHeight w:val="170"/>
        </w:trPr>
        <w:tc>
          <w:tcPr>
            <w:tcW w:w="1276" w:type="dxa"/>
            <w:tcBorders>
              <w:top w:val="nil"/>
              <w:left w:val="single" w:sz="8" w:space="0" w:color="000000"/>
              <w:bottom w:val="single" w:sz="8" w:space="0" w:color="000000"/>
              <w:right w:val="nil"/>
            </w:tcBorders>
            <w:shd w:val="clear" w:color="auto" w:fill="C6D9F1" w:themeFill="text2" w:themeFillTint="33"/>
            <w:vAlign w:val="center"/>
            <w:hideMark/>
          </w:tcPr>
          <w:p w:rsidR="009E5AC9" w:rsidRPr="001E31D3" w:rsidRDefault="009E5AC9" w:rsidP="00030F8B">
            <w:pPr>
              <w:spacing w:line="288" w:lineRule="auto"/>
              <w:rPr>
                <w:rFonts w:cs="Arial"/>
                <w:szCs w:val="20"/>
              </w:rPr>
            </w:pPr>
            <w:r w:rsidRPr="001E31D3">
              <w:rPr>
                <w:rFonts w:cs="Arial"/>
                <w:szCs w:val="20"/>
              </w:rPr>
              <w:t>Type 1</w:t>
            </w:r>
          </w:p>
        </w:tc>
        <w:tc>
          <w:tcPr>
            <w:tcW w:w="3118" w:type="dxa"/>
            <w:tcBorders>
              <w:top w:val="nil"/>
              <w:left w:val="single" w:sz="8" w:space="0" w:color="000000"/>
              <w:bottom w:val="single" w:sz="8" w:space="0" w:color="000000"/>
              <w:right w:val="nil"/>
            </w:tcBorders>
            <w:shd w:val="clear" w:color="auto" w:fill="C6D9F1" w:themeFill="text2" w:themeFillTint="33"/>
            <w:vAlign w:val="center"/>
            <w:hideMark/>
          </w:tcPr>
          <w:p w:rsidR="00065622" w:rsidRPr="001E31D3" w:rsidRDefault="00030F8B" w:rsidP="00030F8B">
            <w:pPr>
              <w:spacing w:line="288" w:lineRule="auto"/>
              <w:jc w:val="left"/>
              <w:rPr>
                <w:rFonts w:cs="Arial"/>
                <w:sz w:val="22"/>
                <w:szCs w:val="20"/>
                <w:lang w:eastAsia="en-US"/>
              </w:rPr>
            </w:pPr>
            <w:r w:rsidRPr="001E31D3">
              <w:rPr>
                <w:rFonts w:cs="Arial"/>
                <w:szCs w:val="20"/>
              </w:rPr>
              <w:t>D</w:t>
            </w:r>
            <w:r w:rsidR="00065622" w:rsidRPr="001E31D3">
              <w:rPr>
                <w:rFonts w:cs="Arial"/>
                <w:szCs w:val="20"/>
              </w:rPr>
              <w:t>ifferentiated</w:t>
            </w:r>
            <w:r w:rsidR="008B17F1" w:rsidRPr="001E31D3">
              <w:rPr>
                <w:rFonts w:cs="Arial"/>
                <w:szCs w:val="20"/>
              </w:rPr>
              <w:t xml:space="preserve"> system:</w:t>
            </w:r>
            <w:r w:rsidR="00065622" w:rsidRPr="001E31D3">
              <w:rPr>
                <w:rFonts w:cs="Arial"/>
                <w:szCs w:val="20"/>
              </w:rPr>
              <w:t xml:space="preserve"> </w:t>
            </w:r>
            <w:r w:rsidRPr="001E31D3">
              <w:rPr>
                <w:rFonts w:cs="Arial"/>
                <w:szCs w:val="20"/>
              </w:rPr>
              <w:t>BE, CZ, DK, FI,</w:t>
            </w:r>
            <w:r w:rsidR="00065622" w:rsidRPr="001E31D3">
              <w:rPr>
                <w:rFonts w:cs="Arial"/>
                <w:szCs w:val="20"/>
              </w:rPr>
              <w:t xml:space="preserve"> FR, IT, JP, KR, NL, PL</w:t>
            </w:r>
            <w:r w:rsidRPr="001E31D3">
              <w:rPr>
                <w:rFonts w:cs="Arial"/>
                <w:szCs w:val="20"/>
              </w:rPr>
              <w:t xml:space="preserve"> (reference)</w:t>
            </w:r>
          </w:p>
        </w:tc>
        <w:tc>
          <w:tcPr>
            <w:tcW w:w="2197" w:type="dxa"/>
            <w:tcBorders>
              <w:top w:val="nil"/>
              <w:left w:val="single" w:sz="8" w:space="0" w:color="000000"/>
              <w:bottom w:val="single" w:sz="8" w:space="0" w:color="000000"/>
              <w:right w:val="nil"/>
            </w:tcBorders>
            <w:hideMark/>
          </w:tcPr>
          <w:p w:rsidR="00065622" w:rsidRPr="001E31D3" w:rsidRDefault="00065622" w:rsidP="00030F8B">
            <w:pPr>
              <w:spacing w:line="288" w:lineRule="auto"/>
              <w:rPr>
                <w:rFonts w:cs="Arial"/>
                <w:sz w:val="22"/>
                <w:szCs w:val="20"/>
                <w:lang w:eastAsia="en-US"/>
              </w:rPr>
            </w:pPr>
            <w:r w:rsidRPr="001E31D3">
              <w:rPr>
                <w:rFonts w:cs="Arial"/>
                <w:szCs w:val="20"/>
              </w:rPr>
              <w:t> </w:t>
            </w:r>
          </w:p>
        </w:tc>
        <w:tc>
          <w:tcPr>
            <w:tcW w:w="2198" w:type="dxa"/>
            <w:tcBorders>
              <w:top w:val="single" w:sz="8" w:space="0" w:color="000000"/>
              <w:left w:val="single" w:sz="8" w:space="0" w:color="000000"/>
              <w:bottom w:val="single" w:sz="8" w:space="0" w:color="000000"/>
              <w:right w:val="single" w:sz="8" w:space="0" w:color="000000"/>
            </w:tcBorders>
            <w:hideMark/>
          </w:tcPr>
          <w:p w:rsidR="00065622" w:rsidRPr="001E31D3" w:rsidRDefault="00065622" w:rsidP="00030F8B">
            <w:pPr>
              <w:spacing w:line="288" w:lineRule="auto"/>
              <w:rPr>
                <w:rFonts w:cs="Arial"/>
                <w:sz w:val="22"/>
                <w:szCs w:val="20"/>
                <w:lang w:eastAsia="en-US"/>
              </w:rPr>
            </w:pPr>
            <w:r w:rsidRPr="001E31D3">
              <w:rPr>
                <w:rFonts w:cs="Arial"/>
                <w:szCs w:val="20"/>
              </w:rPr>
              <w:t> </w:t>
            </w:r>
          </w:p>
        </w:tc>
      </w:tr>
      <w:tr w:rsidR="00065622" w:rsidRPr="001E31D3" w:rsidTr="00030F8B">
        <w:trPr>
          <w:trHeight w:val="170"/>
        </w:trPr>
        <w:tc>
          <w:tcPr>
            <w:tcW w:w="1276" w:type="dxa"/>
            <w:tcBorders>
              <w:top w:val="nil"/>
              <w:left w:val="single" w:sz="8" w:space="0" w:color="000000"/>
              <w:bottom w:val="single" w:sz="8" w:space="0" w:color="000000"/>
              <w:right w:val="nil"/>
            </w:tcBorders>
            <w:shd w:val="clear" w:color="auto" w:fill="C6D9F1" w:themeFill="text2" w:themeFillTint="33"/>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Type 2a</w:t>
            </w:r>
          </w:p>
        </w:tc>
        <w:tc>
          <w:tcPr>
            <w:tcW w:w="3118" w:type="dxa"/>
            <w:tcBorders>
              <w:top w:val="nil"/>
              <w:left w:val="single" w:sz="8" w:space="0" w:color="000000"/>
              <w:bottom w:val="single" w:sz="8" w:space="0" w:color="000000"/>
              <w:right w:val="nil"/>
            </w:tcBorders>
            <w:shd w:val="clear" w:color="auto" w:fill="C6D9F1" w:themeFill="text2" w:themeFillTint="33"/>
            <w:vAlign w:val="center"/>
            <w:hideMark/>
          </w:tcPr>
          <w:p w:rsidR="00065622" w:rsidRPr="001E31D3" w:rsidRDefault="008B17F1" w:rsidP="00030F8B">
            <w:pPr>
              <w:spacing w:line="288" w:lineRule="auto"/>
              <w:jc w:val="left"/>
              <w:rPr>
                <w:rFonts w:cs="Arial"/>
                <w:sz w:val="22"/>
                <w:szCs w:val="20"/>
                <w:lang w:eastAsia="en-US"/>
              </w:rPr>
            </w:pPr>
            <w:r w:rsidRPr="001E31D3">
              <w:rPr>
                <w:rFonts w:cs="Arial"/>
                <w:szCs w:val="20"/>
              </w:rPr>
              <w:t xml:space="preserve">Comprehensive </w:t>
            </w:r>
            <w:r w:rsidR="00E22A77" w:rsidRPr="001E31D3">
              <w:rPr>
                <w:rFonts w:cs="Arial"/>
                <w:szCs w:val="20"/>
              </w:rPr>
              <w:t xml:space="preserve">- North America: </w:t>
            </w:r>
            <w:r w:rsidR="00065622" w:rsidRPr="001E31D3">
              <w:rPr>
                <w:rFonts w:cs="Arial"/>
                <w:szCs w:val="20"/>
              </w:rPr>
              <w:t>CA, US</w:t>
            </w:r>
          </w:p>
        </w:tc>
        <w:tc>
          <w:tcPr>
            <w:tcW w:w="2197" w:type="dxa"/>
            <w:tcBorders>
              <w:top w:val="nil"/>
              <w:left w:val="single" w:sz="8" w:space="0" w:color="000000"/>
              <w:bottom w:val="single" w:sz="8" w:space="0" w:color="000000"/>
              <w:right w:val="nil"/>
            </w:tcBorders>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-1.1**** (0.39)</w:t>
            </w:r>
          </w:p>
        </w:tc>
        <w:tc>
          <w:tcPr>
            <w:tcW w:w="2198" w:type="dxa"/>
            <w:tcBorders>
              <w:top w:val="single" w:sz="8" w:space="0" w:color="000000"/>
              <w:left w:val="single" w:sz="8" w:space="0" w:color="000000"/>
              <w:bottom w:val="single" w:sz="8" w:space="0" w:color="000000"/>
              <w:right w:val="single" w:sz="8" w:space="0" w:color="000000"/>
            </w:tcBorders>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-0.6* (0.49)</w:t>
            </w:r>
          </w:p>
        </w:tc>
      </w:tr>
      <w:tr w:rsidR="00065622" w:rsidRPr="001E31D3" w:rsidTr="00030F8B">
        <w:trPr>
          <w:trHeight w:val="170"/>
        </w:trPr>
        <w:tc>
          <w:tcPr>
            <w:tcW w:w="1276" w:type="dxa"/>
            <w:tcBorders>
              <w:top w:val="nil"/>
              <w:left w:val="single" w:sz="8" w:space="0" w:color="000000"/>
              <w:bottom w:val="single" w:sz="8" w:space="0" w:color="000000"/>
              <w:right w:val="nil"/>
            </w:tcBorders>
            <w:shd w:val="clear" w:color="auto" w:fill="C6D9F1" w:themeFill="text2" w:themeFillTint="33"/>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Type 2b</w:t>
            </w:r>
          </w:p>
        </w:tc>
        <w:tc>
          <w:tcPr>
            <w:tcW w:w="3118" w:type="dxa"/>
            <w:tcBorders>
              <w:top w:val="nil"/>
              <w:left w:val="single" w:sz="8" w:space="0" w:color="000000"/>
              <w:bottom w:val="single" w:sz="8" w:space="0" w:color="000000"/>
              <w:right w:val="nil"/>
            </w:tcBorders>
            <w:shd w:val="clear" w:color="auto" w:fill="C6D9F1" w:themeFill="text2" w:themeFillTint="33"/>
            <w:vAlign w:val="center"/>
            <w:hideMark/>
          </w:tcPr>
          <w:p w:rsidR="00065622" w:rsidRPr="001E31D3" w:rsidRDefault="00E22A77" w:rsidP="00030F8B">
            <w:pPr>
              <w:spacing w:line="288" w:lineRule="auto"/>
              <w:jc w:val="left"/>
              <w:rPr>
                <w:rFonts w:cs="Arial"/>
                <w:sz w:val="22"/>
                <w:szCs w:val="20"/>
                <w:lang w:eastAsia="en-US"/>
              </w:rPr>
            </w:pPr>
            <w:r w:rsidRPr="001E31D3">
              <w:rPr>
                <w:rFonts w:cs="Arial"/>
                <w:szCs w:val="20"/>
              </w:rPr>
              <w:t xml:space="preserve">Comprehensive – Nordic: </w:t>
            </w:r>
            <w:r w:rsidR="00065622" w:rsidRPr="001E31D3">
              <w:rPr>
                <w:rFonts w:cs="Arial"/>
                <w:szCs w:val="20"/>
              </w:rPr>
              <w:t>NO, SE</w:t>
            </w:r>
          </w:p>
        </w:tc>
        <w:tc>
          <w:tcPr>
            <w:tcW w:w="2197" w:type="dxa"/>
            <w:tcBorders>
              <w:top w:val="nil"/>
              <w:left w:val="single" w:sz="8" w:space="0" w:color="000000"/>
              <w:bottom w:val="single" w:sz="8" w:space="0" w:color="000000"/>
              <w:right w:val="nil"/>
            </w:tcBorders>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1.9***** (0.39)</w:t>
            </w:r>
          </w:p>
        </w:tc>
        <w:tc>
          <w:tcPr>
            <w:tcW w:w="2198" w:type="dxa"/>
            <w:tcBorders>
              <w:top w:val="single" w:sz="8" w:space="0" w:color="000000"/>
              <w:left w:val="single" w:sz="8" w:space="0" w:color="000000"/>
              <w:bottom w:val="single" w:sz="8" w:space="0" w:color="000000"/>
              <w:right w:val="single" w:sz="8" w:space="0" w:color="000000"/>
            </w:tcBorders>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1.9***** (0.26)</w:t>
            </w:r>
          </w:p>
        </w:tc>
      </w:tr>
      <w:tr w:rsidR="00065622" w:rsidRPr="001E31D3" w:rsidTr="00030F8B">
        <w:trPr>
          <w:trHeight w:val="170"/>
        </w:trPr>
        <w:tc>
          <w:tcPr>
            <w:tcW w:w="1276" w:type="dxa"/>
            <w:tcBorders>
              <w:top w:val="nil"/>
              <w:left w:val="single" w:sz="8" w:space="0" w:color="000000"/>
              <w:bottom w:val="single" w:sz="8" w:space="0" w:color="000000"/>
              <w:right w:val="nil"/>
            </w:tcBorders>
            <w:shd w:val="clear" w:color="auto" w:fill="C6D9F1" w:themeFill="text2" w:themeFillTint="33"/>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Type 3</w:t>
            </w:r>
          </w:p>
        </w:tc>
        <w:tc>
          <w:tcPr>
            <w:tcW w:w="3118" w:type="dxa"/>
            <w:tcBorders>
              <w:top w:val="nil"/>
              <w:left w:val="single" w:sz="8" w:space="0" w:color="000000"/>
              <w:bottom w:val="single" w:sz="8" w:space="0" w:color="000000"/>
              <w:right w:val="nil"/>
            </w:tcBorders>
            <w:shd w:val="clear" w:color="auto" w:fill="C6D9F1" w:themeFill="text2" w:themeFillTint="33"/>
            <w:vAlign w:val="center"/>
            <w:hideMark/>
          </w:tcPr>
          <w:p w:rsidR="00065622" w:rsidRPr="001E31D3" w:rsidRDefault="00E22A77" w:rsidP="00E22A77">
            <w:pPr>
              <w:spacing w:line="288" w:lineRule="auto"/>
              <w:jc w:val="left"/>
              <w:rPr>
                <w:rFonts w:cs="Arial"/>
                <w:sz w:val="22"/>
                <w:szCs w:val="20"/>
                <w:lang w:eastAsia="en-US"/>
              </w:rPr>
            </w:pPr>
            <w:r w:rsidRPr="001E31D3">
              <w:rPr>
                <w:rFonts w:cs="Arial"/>
                <w:szCs w:val="20"/>
              </w:rPr>
              <w:t xml:space="preserve">Dual: </w:t>
            </w:r>
            <w:r w:rsidR="00065622" w:rsidRPr="001E31D3">
              <w:rPr>
                <w:rFonts w:cs="Arial"/>
                <w:szCs w:val="20"/>
              </w:rPr>
              <w:t>AT, DE</w:t>
            </w:r>
          </w:p>
        </w:tc>
        <w:tc>
          <w:tcPr>
            <w:tcW w:w="2197" w:type="dxa"/>
            <w:tcBorders>
              <w:top w:val="nil"/>
              <w:left w:val="single" w:sz="8" w:space="0" w:color="000000"/>
              <w:bottom w:val="single" w:sz="8" w:space="0" w:color="000000"/>
              <w:right w:val="nil"/>
            </w:tcBorders>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1.4**** (0.57)</w:t>
            </w:r>
          </w:p>
        </w:tc>
        <w:tc>
          <w:tcPr>
            <w:tcW w:w="2198" w:type="dxa"/>
            <w:tcBorders>
              <w:top w:val="single" w:sz="8" w:space="0" w:color="000000"/>
              <w:left w:val="single" w:sz="8" w:space="0" w:color="000000"/>
              <w:bottom w:val="single" w:sz="8" w:space="0" w:color="000000"/>
              <w:right w:val="single" w:sz="8" w:space="0" w:color="000000"/>
            </w:tcBorders>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0.9 (0.87)</w:t>
            </w:r>
          </w:p>
        </w:tc>
      </w:tr>
      <w:tr w:rsidR="00065622" w:rsidRPr="001E31D3" w:rsidTr="009E5AC9">
        <w:trPr>
          <w:trHeight w:val="170"/>
        </w:trPr>
        <w:tc>
          <w:tcPr>
            <w:tcW w:w="1276" w:type="dxa"/>
            <w:tcBorders>
              <w:top w:val="nil"/>
              <w:left w:val="single" w:sz="8" w:space="0" w:color="000000"/>
              <w:bottom w:val="single" w:sz="4" w:space="0" w:color="auto"/>
              <w:right w:val="nil"/>
            </w:tcBorders>
            <w:shd w:val="clear" w:color="auto" w:fill="C6D9F1" w:themeFill="text2" w:themeFillTint="33"/>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Type 4</w:t>
            </w:r>
          </w:p>
        </w:tc>
        <w:tc>
          <w:tcPr>
            <w:tcW w:w="3118" w:type="dxa"/>
            <w:tcBorders>
              <w:top w:val="nil"/>
              <w:left w:val="single" w:sz="8" w:space="0" w:color="000000"/>
              <w:bottom w:val="single" w:sz="4" w:space="0" w:color="auto"/>
              <w:right w:val="nil"/>
            </w:tcBorders>
            <w:shd w:val="clear" w:color="auto" w:fill="C6D9F1" w:themeFill="text2" w:themeFillTint="33"/>
            <w:vAlign w:val="center"/>
            <w:hideMark/>
          </w:tcPr>
          <w:p w:rsidR="00065622" w:rsidRPr="001E31D3" w:rsidRDefault="00E22A77" w:rsidP="00030F8B">
            <w:pPr>
              <w:spacing w:line="288" w:lineRule="auto"/>
              <w:jc w:val="left"/>
              <w:rPr>
                <w:rFonts w:cs="Arial"/>
                <w:sz w:val="22"/>
                <w:szCs w:val="20"/>
                <w:lang w:val="fr-FR" w:eastAsia="en-US"/>
              </w:rPr>
            </w:pPr>
            <w:r w:rsidRPr="001E31D3">
              <w:rPr>
                <w:rFonts w:cs="Arial"/>
                <w:szCs w:val="20"/>
                <w:lang w:val="fr-FR"/>
              </w:rPr>
              <w:t xml:space="preserve">Mixed: </w:t>
            </w:r>
            <w:r w:rsidR="004B304B">
              <w:rPr>
                <w:rFonts w:cs="Arial"/>
                <w:szCs w:val="20"/>
                <w:lang w:val="fr-FR"/>
              </w:rPr>
              <w:t>EN, ES, IE</w:t>
            </w:r>
            <w:r w:rsidR="00030F8B" w:rsidRPr="001E31D3">
              <w:rPr>
                <w:rFonts w:cs="Arial"/>
                <w:szCs w:val="20"/>
                <w:lang w:val="fr-FR"/>
              </w:rPr>
              <w:t>, NI</w:t>
            </w:r>
          </w:p>
        </w:tc>
        <w:tc>
          <w:tcPr>
            <w:tcW w:w="2197" w:type="dxa"/>
            <w:tcBorders>
              <w:top w:val="nil"/>
              <w:left w:val="single" w:sz="8" w:space="0" w:color="000000"/>
              <w:bottom w:val="single" w:sz="4" w:space="0" w:color="auto"/>
              <w:right w:val="nil"/>
            </w:tcBorders>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-1.6**** (0.76)</w:t>
            </w:r>
          </w:p>
        </w:tc>
        <w:tc>
          <w:tcPr>
            <w:tcW w:w="2198" w:type="dxa"/>
            <w:tcBorders>
              <w:top w:val="single" w:sz="8" w:space="0" w:color="000000"/>
              <w:left w:val="single" w:sz="8" w:space="0" w:color="000000"/>
              <w:bottom w:val="single" w:sz="4" w:space="0" w:color="auto"/>
              <w:right w:val="single" w:sz="8" w:space="0" w:color="000000"/>
            </w:tcBorders>
            <w:vAlign w:val="center"/>
            <w:hideMark/>
          </w:tcPr>
          <w:p w:rsidR="00065622" w:rsidRPr="001E31D3" w:rsidRDefault="00065622" w:rsidP="00030F8B">
            <w:pPr>
              <w:spacing w:line="288" w:lineRule="auto"/>
              <w:rPr>
                <w:rFonts w:cs="Arial"/>
                <w:sz w:val="22"/>
                <w:szCs w:val="20"/>
                <w:lang w:eastAsia="en-US"/>
              </w:rPr>
            </w:pPr>
            <w:r w:rsidRPr="001E31D3">
              <w:rPr>
                <w:rFonts w:cs="Arial"/>
                <w:szCs w:val="20"/>
              </w:rPr>
              <w:t>-1.85**** (0.69)</w:t>
            </w:r>
          </w:p>
        </w:tc>
      </w:tr>
      <w:tr w:rsidR="00030F8B" w:rsidRPr="001E31D3" w:rsidTr="009E5AC9">
        <w:trPr>
          <w:trHeight w:val="170"/>
        </w:trPr>
        <w:tc>
          <w:tcPr>
            <w:tcW w:w="8789" w:type="dxa"/>
            <w:gridSpan w:val="4"/>
            <w:tcBorders>
              <w:top w:val="single" w:sz="4" w:space="0" w:color="auto"/>
            </w:tcBorders>
          </w:tcPr>
          <w:p w:rsidR="00030F8B" w:rsidRPr="001E31D3" w:rsidRDefault="00030F8B" w:rsidP="00030F8B">
            <w:pPr>
              <w:spacing w:line="288" w:lineRule="auto"/>
              <w:rPr>
                <w:rFonts w:cs="Arial"/>
                <w:sz w:val="22"/>
                <w:szCs w:val="20"/>
                <w:lang w:eastAsia="en-US"/>
              </w:rPr>
            </w:pPr>
            <w:r w:rsidRPr="001E31D3">
              <w:rPr>
                <w:rFonts w:cs="Arial"/>
                <w:szCs w:val="20"/>
              </w:rPr>
              <w:t>***** p &lt; 0.01, **** p&lt;0.05, *** p&lt;0.1, ** p &lt; 0.2, * p &lt; 0.3</w:t>
            </w:r>
            <w:r w:rsidR="006C0A3B" w:rsidRPr="001E31D3">
              <w:rPr>
                <w:rFonts w:cs="Arial"/>
                <w:szCs w:val="20"/>
              </w:rPr>
              <w:t>, N:20</w:t>
            </w:r>
          </w:p>
        </w:tc>
      </w:tr>
    </w:tbl>
    <w:p w:rsidR="00030F8B" w:rsidRPr="00E22A77" w:rsidRDefault="00030F8B" w:rsidP="00065622">
      <w:pPr>
        <w:pStyle w:val="BodyText"/>
        <w:spacing w:line="288" w:lineRule="auto"/>
      </w:pPr>
      <w:r w:rsidRPr="008B17F1">
        <w:t>It shows significant effects on changes in rankings in either literacy or numeracy</w:t>
      </w:r>
      <w:r w:rsidR="005F3E38">
        <w:t>,</w:t>
      </w:r>
      <w:r w:rsidRPr="008B17F1">
        <w:t xml:space="preserve"> or both</w:t>
      </w:r>
      <w:r w:rsidR="005F3E38">
        <w:t>,</w:t>
      </w:r>
      <w:r w:rsidRPr="008B17F1">
        <w:t xml:space="preserve"> </w:t>
      </w:r>
      <w:r w:rsidR="005F3E38" w:rsidRPr="008B17F1">
        <w:t>f</w:t>
      </w:r>
      <w:r w:rsidR="005F3E38">
        <w:t>or</w:t>
      </w:r>
      <w:r w:rsidR="005F3E38" w:rsidRPr="008B17F1">
        <w:t xml:space="preserve"> </w:t>
      </w:r>
      <w:r w:rsidRPr="008B17F1">
        <w:t>all types of system. The system types associated with the largest positive improvement in literacy and numeracy rankings relative to the reference group are the Type 2b (</w:t>
      </w:r>
      <w:r w:rsidRPr="00E22A77">
        <w:t>Nordic) systems and</w:t>
      </w:r>
      <w:r w:rsidR="005F3E38">
        <w:t>,</w:t>
      </w:r>
      <w:r w:rsidRPr="00E22A77">
        <w:t xml:space="preserve"> </w:t>
      </w:r>
      <w:r w:rsidR="00E22A77" w:rsidRPr="00E22A77">
        <w:t>for numeracy only</w:t>
      </w:r>
      <w:r w:rsidR="005F3E38">
        <w:t>,</w:t>
      </w:r>
      <w:r w:rsidR="00E22A77" w:rsidRPr="00E22A77">
        <w:t xml:space="preserve"> </w:t>
      </w:r>
      <w:r w:rsidRPr="00E22A77">
        <w:t xml:space="preserve">the Type 3 </w:t>
      </w:r>
      <w:r w:rsidR="00EA2346">
        <w:t>systems (Austria and Germany):</w:t>
      </w:r>
    </w:p>
    <w:p w:rsidR="00EA2346" w:rsidRDefault="00065622" w:rsidP="00F90C88">
      <w:pPr>
        <w:pStyle w:val="BodyText"/>
        <w:numPr>
          <w:ilvl w:val="0"/>
          <w:numId w:val="37"/>
        </w:numPr>
        <w:spacing w:line="288" w:lineRule="auto"/>
      </w:pPr>
      <w:r w:rsidRPr="00E22A77">
        <w:t xml:space="preserve">For the </w:t>
      </w:r>
      <w:r w:rsidRPr="00EA2346">
        <w:rPr>
          <w:b/>
          <w:color w:val="1F497D" w:themeColor="text2"/>
        </w:rPr>
        <w:t>Type 2b (Nordic) system</w:t>
      </w:r>
      <w:r w:rsidRPr="00EA2346">
        <w:rPr>
          <w:color w:val="1F497D" w:themeColor="text2"/>
        </w:rPr>
        <w:t xml:space="preserve"> </w:t>
      </w:r>
      <w:r w:rsidRPr="00E22A77">
        <w:t>there is a significant positive effect (coefficient 1.9) on rankings in both literacy and numeracy and these are significant at t</w:t>
      </w:r>
      <w:r w:rsidR="00EA2346">
        <w:t>he p&lt;0.01 level in both cases. This implies that</w:t>
      </w:r>
      <w:r w:rsidRPr="00E22A77">
        <w:t xml:space="preserve"> </w:t>
      </w:r>
      <w:r w:rsidR="00EA2346">
        <w:t>these countries</w:t>
      </w:r>
      <w:r w:rsidRPr="00E22A77">
        <w:t xml:space="preserve"> are predicted to improve their rank position in both numeracy and literacy relative to the reference group by almost two positions on the five point scale</w:t>
      </w:r>
      <w:r w:rsidR="00EA2346">
        <w:t xml:space="preserve"> over the youth life-course between the age of 15 and 27</w:t>
      </w:r>
      <w:r w:rsidRPr="00E22A77">
        <w:t xml:space="preserve">. </w:t>
      </w:r>
    </w:p>
    <w:p w:rsidR="00E22A77" w:rsidRPr="00E22A77" w:rsidRDefault="00E22A77" w:rsidP="00F90C88">
      <w:pPr>
        <w:pStyle w:val="BodyText"/>
        <w:numPr>
          <w:ilvl w:val="0"/>
          <w:numId w:val="37"/>
        </w:numPr>
        <w:spacing w:line="288" w:lineRule="auto"/>
      </w:pPr>
      <w:r w:rsidRPr="00EA2346">
        <w:rPr>
          <w:b/>
          <w:color w:val="1F497D" w:themeColor="text2"/>
        </w:rPr>
        <w:t>Type 3 systems with Dual System apprentices</w:t>
      </w:r>
      <w:r w:rsidRPr="00EA2346">
        <w:rPr>
          <w:color w:val="1F497D" w:themeColor="text2"/>
        </w:rPr>
        <w:t xml:space="preserve"> </w:t>
      </w:r>
      <w:r w:rsidRPr="00E22A77">
        <w:t xml:space="preserve">have a substantial positive effect (coefficient 1.4) on changes in numeracy scores which is significant at the </w:t>
      </w:r>
      <w:r w:rsidRPr="00EA2346">
        <w:rPr>
          <w:color w:val="000000"/>
        </w:rPr>
        <w:t xml:space="preserve">p&lt;0.05 </w:t>
      </w:r>
      <w:r w:rsidR="00EA2346">
        <w:t>level. This implies that these</w:t>
      </w:r>
      <w:r w:rsidRPr="00E22A77">
        <w:t xml:space="preserve"> countries are predicted to improve </w:t>
      </w:r>
      <w:r w:rsidR="00EA2346">
        <w:t xml:space="preserve">their </w:t>
      </w:r>
      <w:r w:rsidRPr="00E22A77">
        <w:t>rank order position</w:t>
      </w:r>
      <w:r w:rsidR="00EA2346">
        <w:t xml:space="preserve"> for maths/numeracy</w:t>
      </w:r>
      <w:r w:rsidRPr="00E22A77">
        <w:t xml:space="preserve"> by 1.4 units on the five point scale relative to the reference group. </w:t>
      </w:r>
      <w:r w:rsidR="00EA2346">
        <w:t>Results for literacy are not significant.</w:t>
      </w:r>
    </w:p>
    <w:p w:rsidR="00EA2346" w:rsidRDefault="008E03DE" w:rsidP="00EA2346">
      <w:pPr>
        <w:pStyle w:val="BodyText"/>
        <w:spacing w:line="288" w:lineRule="auto"/>
      </w:pPr>
      <w:r>
        <w:t>Figure 6.3</w:t>
      </w:r>
      <w:r w:rsidR="00EA2346" w:rsidRPr="00E22A77">
        <w:t xml:space="preserve"> </w:t>
      </w:r>
      <w:r>
        <w:t>illustrates</w:t>
      </w:r>
      <w:r w:rsidR="00EA2346" w:rsidRPr="00E22A77">
        <w:t xml:space="preserve"> the</w:t>
      </w:r>
      <w:r>
        <w:t>se</w:t>
      </w:r>
      <w:r w:rsidR="00EA2346" w:rsidRPr="00E22A77">
        <w:t xml:space="preserve"> changes in country rank positions for the different types of system in literacy and numeracy respectively. </w:t>
      </w:r>
    </w:p>
    <w:p w:rsidR="008E03DE" w:rsidRPr="00F40EC1" w:rsidRDefault="008E03DE" w:rsidP="008E03DE">
      <w:pPr>
        <w:pStyle w:val="Caption"/>
        <w:rPr>
          <w:rFonts w:ascii="Verdana" w:hAnsi="Verdana"/>
          <w:b w:val="0"/>
          <w:color w:val="1F497D" w:themeColor="text2"/>
          <w:sz w:val="20"/>
        </w:rPr>
      </w:pPr>
      <w:r w:rsidRPr="00F40EC1">
        <w:rPr>
          <w:rFonts w:ascii="Verdana" w:hAnsi="Verdana"/>
          <w:b w:val="0"/>
          <w:color w:val="1F497D" w:themeColor="text2"/>
          <w:sz w:val="20"/>
        </w:rPr>
        <w:t>Figure 6.</w:t>
      </w:r>
      <w:r>
        <w:rPr>
          <w:rFonts w:ascii="Verdana" w:hAnsi="Verdana"/>
          <w:b w:val="0"/>
          <w:color w:val="1F497D" w:themeColor="text2"/>
          <w:sz w:val="20"/>
        </w:rPr>
        <w:t>3</w:t>
      </w:r>
      <w:r w:rsidRPr="00F40EC1">
        <w:rPr>
          <w:rFonts w:ascii="Verdana" w:hAnsi="Verdana"/>
          <w:b w:val="0"/>
          <w:color w:val="1F497D" w:themeColor="text2"/>
          <w:sz w:val="20"/>
        </w:rPr>
        <w:t xml:space="preserve"> Change in rank order position over pseudo-cohorts</w:t>
      </w:r>
      <w:r>
        <w:rPr>
          <w:rFonts w:ascii="Verdana" w:hAnsi="Verdana"/>
          <w:b w:val="0"/>
          <w:color w:val="1F497D" w:themeColor="text2"/>
          <w:sz w:val="20"/>
        </w:rPr>
        <w:t>, by system type</w:t>
      </w:r>
    </w:p>
    <w:p w:rsidR="008E03DE" w:rsidRDefault="008E03DE" w:rsidP="008E03DE">
      <w:pPr>
        <w:pStyle w:val="BodyText"/>
        <w:rPr>
          <w:highlight w:val="yellow"/>
          <w:lang w:eastAsia="en-US"/>
        </w:rPr>
      </w:pPr>
      <w:r>
        <w:rPr>
          <w:noProof/>
          <w:lang w:val="en-US" w:eastAsia="en-US"/>
        </w:rPr>
        <w:drawing>
          <wp:inline distT="0" distB="0" distL="0" distR="0" wp14:anchorId="16D95309" wp14:editId="2A532B32">
            <wp:extent cx="5580000" cy="2755076"/>
            <wp:effectExtent l="0" t="0" r="1905" b="762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8E03DE" w:rsidRPr="00C358E2" w:rsidRDefault="008E03DE" w:rsidP="008E03DE">
      <w:pPr>
        <w:spacing w:after="120" w:line="288" w:lineRule="auto"/>
        <w:rPr>
          <w:rFonts w:cs="Arial"/>
          <w:i/>
          <w:color w:val="auto"/>
          <w:sz w:val="16"/>
          <w:szCs w:val="16"/>
          <w:lang w:eastAsia="en-US"/>
        </w:rPr>
      </w:pPr>
      <w:r w:rsidRPr="00C358E2">
        <w:rPr>
          <w:rFonts w:cs="Arial"/>
          <w:i/>
          <w:sz w:val="16"/>
          <w:szCs w:val="16"/>
        </w:rPr>
        <w:t>Notes: PISA and PIAAC data, own analysis</w:t>
      </w:r>
    </w:p>
    <w:p w:rsidR="00065622" w:rsidRPr="008E03DE" w:rsidRDefault="00065622" w:rsidP="00065622">
      <w:pPr>
        <w:pStyle w:val="BodyText"/>
        <w:spacing w:line="288" w:lineRule="auto"/>
      </w:pPr>
      <w:r w:rsidRPr="008E03DE">
        <w:t xml:space="preserve">In contrast, two system types have negative effects on changes in rank position in literacy and numeracy. </w:t>
      </w:r>
      <w:r w:rsidRPr="008E03DE">
        <w:rPr>
          <w:b/>
          <w:color w:val="1F497D" w:themeColor="text2"/>
        </w:rPr>
        <w:t>Type 2a (North American) systems</w:t>
      </w:r>
      <w:r w:rsidRPr="008E03DE">
        <w:rPr>
          <w:color w:val="1F497D" w:themeColor="text2"/>
        </w:rPr>
        <w:t xml:space="preserve"> </w:t>
      </w:r>
      <w:r w:rsidRPr="008E03DE">
        <w:t xml:space="preserve">have a negative effect on rankings in literacy (coefficient – 0.6) and numeracy (coefficient - 1.1) significant at the p&lt;0.3 and p&lt;0.05 levels respectively. </w:t>
      </w:r>
      <w:r w:rsidRPr="008E03DE">
        <w:rPr>
          <w:b/>
          <w:color w:val="1F497D" w:themeColor="text2"/>
        </w:rPr>
        <w:t>Type 4 mixed systems</w:t>
      </w:r>
      <w:r w:rsidRPr="008E03DE">
        <w:rPr>
          <w:color w:val="1F497D" w:themeColor="text2"/>
        </w:rPr>
        <w:t xml:space="preserve"> </w:t>
      </w:r>
      <w:r w:rsidRPr="008E03DE">
        <w:t>have a substantial negative effect on both literacy (coefficient -1.85) and numeracy (coefficient - 1.6), significant in both cases at the p&lt;0.05 level.</w:t>
      </w:r>
    </w:p>
    <w:p w:rsidR="00065622" w:rsidRDefault="008E03DE" w:rsidP="00065622">
      <w:pPr>
        <w:pStyle w:val="BodyText"/>
        <w:spacing w:line="288" w:lineRule="auto"/>
      </w:pPr>
      <w:r>
        <w:t>In summary, th</w:t>
      </w:r>
      <w:r w:rsidR="00065622" w:rsidRPr="008E03DE">
        <w:t>e Type 2a comprehensive Nordic systems seem to improve country rank position on both literacy and numeracy between ages 15 and 27 in the youth life course. Type 3 systems with the Dual System apprenticeships do the same to a lesser degree</w:t>
      </w:r>
      <w:r>
        <w:t xml:space="preserve"> and for numeracy only</w:t>
      </w:r>
      <w:r w:rsidR="00065622" w:rsidRPr="008E03DE">
        <w:t>. On the other hand, rank order positions in literacy and numeracy seem to decline in Anglophone countries with Type 2a (North American) or Type 4 mixed systems, particularl</w:t>
      </w:r>
      <w:r>
        <w:t xml:space="preserve">y markedly in the latter case. This highlights that some types of education systems are better than others in helping young people gain </w:t>
      </w:r>
      <w:r w:rsidRPr="008E03DE">
        <w:t xml:space="preserve">and maintain </w:t>
      </w:r>
      <w:r w:rsidR="00085381">
        <w:t>competences</w:t>
      </w:r>
      <w:r w:rsidRPr="008E03DE">
        <w:t xml:space="preserve"> at upper secondary and tertiary level.</w:t>
      </w:r>
    </w:p>
    <w:p w:rsidR="003F0A8D" w:rsidRPr="008E03DE" w:rsidRDefault="00067EA4" w:rsidP="00065622">
      <w:pPr>
        <w:pStyle w:val="BodyText"/>
        <w:spacing w:line="288" w:lineRule="auto"/>
      </w:pPr>
      <w:r w:rsidRPr="00067EA4">
        <w:t>We</w:t>
      </w:r>
      <w:r w:rsidR="00B55614" w:rsidRPr="00067EA4">
        <w:t xml:space="preserve"> additionally modelled the interaction between education systems and educational attainment and their joint effect on competence levels using multi-level analysis. This allowed for </w:t>
      </w:r>
      <w:r w:rsidRPr="00067EA4">
        <w:t xml:space="preserve">identifying at which levels (upper secondary or tertiary) those </w:t>
      </w:r>
      <w:r w:rsidR="00B55614" w:rsidRPr="00067EA4">
        <w:t xml:space="preserve">education systems which are better at </w:t>
      </w:r>
      <w:r w:rsidRPr="00067EA4">
        <w:t xml:space="preserve">developing </w:t>
      </w:r>
      <w:r w:rsidR="00B55614" w:rsidRPr="00067EA4">
        <w:t>or maintaining competences</w:t>
      </w:r>
      <w:r w:rsidRPr="00067EA4">
        <w:t xml:space="preserve"> of young people</w:t>
      </w:r>
      <w:r w:rsidR="00B55614" w:rsidRPr="00067EA4">
        <w:t xml:space="preserve"> add these competences. We find that Dual Systems add more to young people’s numeracy competences at upper secondary level, when compared to </w:t>
      </w:r>
      <w:r w:rsidRPr="00067EA4">
        <w:t>differentiated s</w:t>
      </w:r>
      <w:r w:rsidR="00B55614" w:rsidRPr="00067EA4">
        <w:t xml:space="preserve">ystems. A full overview of all tested variables in the context of the </w:t>
      </w:r>
      <w:r w:rsidR="00B55614" w:rsidRPr="00051BB0">
        <w:t>multi-level analysis, including sources and detailed regression results</w:t>
      </w:r>
      <w:r w:rsidR="00F90C88">
        <w:t xml:space="preserve"> and further information on the methodology</w:t>
      </w:r>
      <w:r w:rsidR="00B55614" w:rsidRPr="00051BB0">
        <w:t xml:space="preserve"> can be found in </w:t>
      </w:r>
      <w:r w:rsidR="00051BB0" w:rsidRPr="00051BB0">
        <w:t>Annex VII</w:t>
      </w:r>
      <w:r w:rsidR="00B55614" w:rsidRPr="00051BB0">
        <w:t>.</w:t>
      </w:r>
      <w:r w:rsidR="00B55614" w:rsidRPr="00C025FF">
        <w:t xml:space="preserve"> </w:t>
      </w:r>
    </w:p>
    <w:p w:rsidR="00065622" w:rsidRPr="008E03DE" w:rsidRDefault="00065622" w:rsidP="008E03DE">
      <w:pPr>
        <w:pStyle w:val="Heading3"/>
      </w:pPr>
      <w:bookmarkStart w:id="221" w:name="_Toc432873789"/>
      <w:bookmarkStart w:id="222" w:name="_Toc427069150"/>
      <w:bookmarkStart w:id="223" w:name="_Toc427154786"/>
      <w:bookmarkStart w:id="224" w:name="_Toc427232513"/>
      <w:bookmarkStart w:id="225" w:name="_Toc435620194"/>
      <w:bookmarkStart w:id="226" w:name="_Toc435802113"/>
      <w:r w:rsidRPr="008E03DE">
        <w:t>6.3.2.2 Effects of system characteristics</w:t>
      </w:r>
      <w:bookmarkEnd w:id="221"/>
      <w:bookmarkEnd w:id="222"/>
      <w:bookmarkEnd w:id="223"/>
      <w:bookmarkEnd w:id="224"/>
      <w:bookmarkEnd w:id="225"/>
      <w:bookmarkEnd w:id="226"/>
    </w:p>
    <w:p w:rsidR="006C0A3B" w:rsidRDefault="00065622" w:rsidP="00065622">
      <w:pPr>
        <w:pStyle w:val="BodyText"/>
        <w:spacing w:line="288" w:lineRule="auto"/>
      </w:pPr>
      <w:r w:rsidRPr="008E03DE">
        <w:t>Why do some types of upper secondary education and training system</w:t>
      </w:r>
      <w:r w:rsidR="005F3E38">
        <w:t>s</w:t>
      </w:r>
      <w:r w:rsidRPr="008E03DE">
        <w:t xml:space="preserve"> improve relative scores in literacy and numeracy more than others? The following part of our analysis explores possible explanations for this by looking at the effects of different individual system characteristics.  Many of these characteristics vary significantly between different system types and may therefore provide some clues as to why some </w:t>
      </w:r>
      <w:r w:rsidR="006C0A3B">
        <w:t>types of education systems</w:t>
      </w:r>
      <w:r w:rsidRPr="008E03DE">
        <w:t xml:space="preserve"> improve performance more than others. </w:t>
      </w:r>
    </w:p>
    <w:p w:rsidR="00BD7309" w:rsidRPr="00BD7309" w:rsidRDefault="006C0A3B" w:rsidP="00BD7309">
      <w:pPr>
        <w:pStyle w:val="BodyText"/>
        <w:spacing w:line="288" w:lineRule="auto"/>
      </w:pPr>
      <w:r>
        <w:rPr>
          <w:rFonts w:eastAsiaTheme="minorEastAsia"/>
          <w:w w:val="105"/>
        </w:rPr>
        <w:t xml:space="preserve">To </w:t>
      </w:r>
      <w:r w:rsidRPr="00BD7309">
        <w:rPr>
          <w:rFonts w:eastAsiaTheme="minorEastAsia"/>
          <w:w w:val="105"/>
        </w:rPr>
        <w:t>explore the effect of these characteristics, ten different models of the effects of system characteristics on country ranking changes between 15 year olds in PISA and 27 year olds in PIAAC were implemented through DID regressions.</w:t>
      </w:r>
      <w:r w:rsidR="00BD7309">
        <w:rPr>
          <w:rFonts w:eastAsiaTheme="minorEastAsia"/>
          <w:w w:val="105"/>
        </w:rPr>
        <w:t xml:space="preserve"> </w:t>
      </w:r>
      <w:r w:rsidR="00BD7309" w:rsidRPr="00BD7309">
        <w:t xml:space="preserve">The following section first presents system characteristics </w:t>
      </w:r>
      <w:r w:rsidR="005F3E38">
        <w:t>display</w:t>
      </w:r>
      <w:r w:rsidR="00BD7309" w:rsidRPr="00BD7309">
        <w:t xml:space="preserve"> a positive effect on improving or maintaining young people’s competences at upper secondary and tertiary level and then moves on to present those characteristics which </w:t>
      </w:r>
      <w:r w:rsidR="005F3E38">
        <w:t>display</w:t>
      </w:r>
      <w:r w:rsidR="00BD7309" w:rsidRPr="00BD7309">
        <w:t xml:space="preserve"> a negative effect on young people’s acquisition of competences between the age</w:t>
      </w:r>
      <w:r w:rsidR="005F3E38">
        <w:t>s</w:t>
      </w:r>
      <w:r w:rsidR="00BD7309" w:rsidRPr="00BD7309">
        <w:t xml:space="preserve"> of 15 and 27.</w:t>
      </w:r>
    </w:p>
    <w:p w:rsidR="006C0A3B" w:rsidRDefault="006C0A3B" w:rsidP="00065622">
      <w:pPr>
        <w:pStyle w:val="BodyText"/>
        <w:spacing w:line="288" w:lineRule="auto"/>
        <w:rPr>
          <w:b/>
          <w:color w:val="1F497D" w:themeColor="text2"/>
        </w:rPr>
      </w:pPr>
      <w:r w:rsidRPr="006C0A3B">
        <w:rPr>
          <w:b/>
          <w:color w:val="1F497D" w:themeColor="text2"/>
        </w:rPr>
        <w:t>Positive effects</w:t>
      </w:r>
    </w:p>
    <w:p w:rsidR="00BD7309" w:rsidRPr="006C0A3B" w:rsidRDefault="00BD7309" w:rsidP="00065622">
      <w:pPr>
        <w:pStyle w:val="BodyText"/>
        <w:spacing w:line="288" w:lineRule="auto"/>
        <w:rPr>
          <w:b/>
          <w:color w:val="1F497D" w:themeColor="text2"/>
        </w:rPr>
      </w:pPr>
      <w:r w:rsidRPr="00BD7309">
        <w:t>Seven factors can be identified which have positive effects on changes in literac</w:t>
      </w:r>
      <w:r>
        <w:t>y and numeracy rank positions (v</w:t>
      </w:r>
      <w:r w:rsidRPr="00BD7309">
        <w:t>ocational prevalence, ISCED 3 completion, vocational specificity, enrolment rates, mandatory provision of maths and national language</w:t>
      </w:r>
      <w:r w:rsidR="005F3E38">
        <w:t>,</w:t>
      </w:r>
      <w:r w:rsidRPr="00BD7309">
        <w:t xml:space="preserve"> and proportion of young people studying maths). In all cases except one (ISCED 3 completion)</w:t>
      </w:r>
      <w:r w:rsidR="005F3E38">
        <w:t>, all factors</w:t>
      </w:r>
      <w:r w:rsidRPr="00BD7309">
        <w:t xml:space="preserve"> have significant positive effects on both literacy and numeracy.</w:t>
      </w:r>
    </w:p>
    <w:p w:rsidR="00BD7309" w:rsidRPr="00BD7309" w:rsidRDefault="00BD7309" w:rsidP="006C0A3B">
      <w:pPr>
        <w:spacing w:after="120" w:line="288" w:lineRule="auto"/>
        <w:rPr>
          <w:rFonts w:cs="Arial"/>
          <w:i/>
          <w:szCs w:val="20"/>
        </w:rPr>
      </w:pPr>
      <w:r w:rsidRPr="00BD7309">
        <w:rPr>
          <w:rFonts w:cs="Arial"/>
          <w:i/>
          <w:szCs w:val="20"/>
        </w:rPr>
        <w:t>Nature and prevalence of vocational education</w:t>
      </w:r>
    </w:p>
    <w:p w:rsidR="006C0A3B" w:rsidRPr="006C0A3B" w:rsidRDefault="006C0A3B" w:rsidP="006C0A3B">
      <w:pPr>
        <w:spacing w:after="120" w:line="288" w:lineRule="auto"/>
        <w:rPr>
          <w:rFonts w:cs="Arial"/>
          <w:szCs w:val="20"/>
        </w:rPr>
      </w:pPr>
      <w:r w:rsidRPr="006C0A3B">
        <w:rPr>
          <w:rFonts w:cs="Arial"/>
          <w:szCs w:val="20"/>
        </w:rPr>
        <w:t xml:space="preserve">Three factors relating to the </w:t>
      </w:r>
      <w:r w:rsidRPr="006C0A3B">
        <w:rPr>
          <w:rFonts w:cs="Arial"/>
          <w:b/>
          <w:color w:val="1F497D" w:themeColor="text2"/>
          <w:szCs w:val="20"/>
        </w:rPr>
        <w:t>nature and prevalence of vocational education</w:t>
      </w:r>
      <w:r w:rsidRPr="006C0A3B">
        <w:rPr>
          <w:rFonts w:cs="Arial"/>
          <w:color w:val="1F497D" w:themeColor="text2"/>
          <w:szCs w:val="20"/>
        </w:rPr>
        <w:t xml:space="preserve"> </w:t>
      </w:r>
      <w:r w:rsidRPr="006C0A3B">
        <w:rPr>
          <w:rFonts w:cs="Arial"/>
          <w:szCs w:val="20"/>
        </w:rPr>
        <w:t>seem to have significant positive effects on changes in literacy and numeracy rank order position. Table 6.2</w:t>
      </w:r>
      <w:r>
        <w:rPr>
          <w:rFonts w:cs="Arial"/>
          <w:szCs w:val="20"/>
        </w:rPr>
        <w:t xml:space="preserve"> shows the results of the relevant DID regressions, including the </w:t>
      </w:r>
      <w:r w:rsidRPr="006C0A3B">
        <w:rPr>
          <w:rFonts w:cs="Arial"/>
          <w:szCs w:val="20"/>
        </w:rPr>
        <w:t>coefficients for the effect sizes and significance levels.</w:t>
      </w:r>
    </w:p>
    <w:p w:rsidR="006C0A3B" w:rsidRPr="006C0A3B" w:rsidRDefault="006C0A3B" w:rsidP="006C0A3B">
      <w:pPr>
        <w:pStyle w:val="Caption"/>
        <w:spacing w:before="0" w:after="120" w:line="288" w:lineRule="auto"/>
        <w:rPr>
          <w:rFonts w:ascii="Verdana" w:hAnsi="Verdana"/>
          <w:b w:val="0"/>
          <w:sz w:val="20"/>
        </w:rPr>
      </w:pPr>
      <w:r w:rsidRPr="006C0A3B">
        <w:rPr>
          <w:rFonts w:ascii="Verdana" w:hAnsi="Verdana"/>
          <w:b w:val="0"/>
          <w:color w:val="1F497D" w:themeColor="text2"/>
          <w:sz w:val="20"/>
        </w:rPr>
        <w:t>Table 6.2 DID estimates of effects of the nature and prevalence of vocational education</w:t>
      </w:r>
    </w:p>
    <w:tbl>
      <w:tblPr>
        <w:tblW w:w="8789" w:type="dxa"/>
        <w:tblInd w:w="108" w:type="dxa"/>
        <w:tblLook w:val="04A0" w:firstRow="1" w:lastRow="0" w:firstColumn="1" w:lastColumn="0" w:noHBand="0" w:noVBand="1"/>
      </w:tblPr>
      <w:tblGrid>
        <w:gridCol w:w="3031"/>
        <w:gridCol w:w="2784"/>
        <w:gridCol w:w="2974"/>
      </w:tblGrid>
      <w:tr w:rsidR="006C0A3B" w:rsidRPr="001E31D3" w:rsidTr="007C2CE1">
        <w:trPr>
          <w:trHeight w:val="540"/>
        </w:trPr>
        <w:tc>
          <w:tcPr>
            <w:tcW w:w="3031" w:type="dxa"/>
            <w:vMerge w:val="restart"/>
            <w:tcBorders>
              <w:top w:val="single" w:sz="4" w:space="0" w:color="auto"/>
              <w:left w:val="single" w:sz="8" w:space="0" w:color="000000"/>
              <w:right w:val="nil"/>
            </w:tcBorders>
            <w:vAlign w:val="center"/>
            <w:hideMark/>
          </w:tcPr>
          <w:p w:rsidR="006C0A3B" w:rsidRPr="001E31D3" w:rsidRDefault="006C0A3B" w:rsidP="006C0A3B">
            <w:pPr>
              <w:spacing w:line="288" w:lineRule="auto"/>
              <w:jc w:val="left"/>
              <w:rPr>
                <w:rFonts w:cs="Arial"/>
                <w:sz w:val="22"/>
                <w:szCs w:val="20"/>
                <w:lang w:eastAsia="en-US"/>
              </w:rPr>
            </w:pPr>
            <w:r w:rsidRPr="001E31D3">
              <w:rPr>
                <w:rFonts w:cs="Arial"/>
                <w:szCs w:val="20"/>
              </w:rPr>
              <w:t> </w:t>
            </w:r>
          </w:p>
          <w:p w:rsidR="006C0A3B" w:rsidRPr="001E31D3" w:rsidRDefault="006C0A3B" w:rsidP="006C0A3B">
            <w:pPr>
              <w:spacing w:line="288" w:lineRule="auto"/>
              <w:jc w:val="left"/>
              <w:rPr>
                <w:rFonts w:cs="Arial"/>
                <w:sz w:val="22"/>
                <w:szCs w:val="20"/>
                <w:lang w:eastAsia="en-US"/>
              </w:rPr>
            </w:pPr>
            <w:r w:rsidRPr="001E31D3">
              <w:rPr>
                <w:rFonts w:cs="Arial"/>
                <w:szCs w:val="20"/>
              </w:rPr>
              <w:t> </w:t>
            </w:r>
          </w:p>
          <w:p w:rsidR="006C0A3B" w:rsidRPr="001E31D3" w:rsidRDefault="006C0A3B" w:rsidP="006C0A3B">
            <w:pPr>
              <w:spacing w:line="288" w:lineRule="auto"/>
              <w:jc w:val="left"/>
              <w:rPr>
                <w:rFonts w:cs="Arial"/>
                <w:sz w:val="22"/>
                <w:szCs w:val="20"/>
                <w:lang w:eastAsia="en-US"/>
              </w:rPr>
            </w:pPr>
            <w:r w:rsidRPr="001E31D3">
              <w:rPr>
                <w:rFonts w:cs="Arial"/>
                <w:szCs w:val="20"/>
              </w:rPr>
              <w:t> </w:t>
            </w:r>
          </w:p>
          <w:p w:rsidR="006C0A3B" w:rsidRPr="001E31D3" w:rsidRDefault="006C0A3B" w:rsidP="006C0A3B">
            <w:pPr>
              <w:spacing w:line="288" w:lineRule="auto"/>
              <w:jc w:val="left"/>
              <w:rPr>
                <w:rFonts w:cs="Arial"/>
                <w:sz w:val="22"/>
                <w:szCs w:val="20"/>
                <w:lang w:eastAsia="en-US"/>
              </w:rPr>
            </w:pPr>
            <w:r w:rsidRPr="001E31D3">
              <w:rPr>
                <w:rFonts w:cs="Arial"/>
                <w:szCs w:val="20"/>
              </w:rPr>
              <w:t> </w:t>
            </w:r>
          </w:p>
        </w:tc>
        <w:tc>
          <w:tcPr>
            <w:tcW w:w="2784" w:type="dxa"/>
            <w:tcBorders>
              <w:top w:val="single" w:sz="4" w:space="0" w:color="auto"/>
              <w:left w:val="single" w:sz="8" w:space="0" w:color="000000"/>
              <w:bottom w:val="single" w:sz="4" w:space="0" w:color="auto"/>
              <w:right w:val="single" w:sz="8" w:space="0" w:color="000000"/>
            </w:tcBorders>
            <w:shd w:val="clear" w:color="auto" w:fill="B8CCE4" w:themeFill="accent1" w:themeFillTint="66"/>
            <w:vAlign w:val="center"/>
            <w:hideMark/>
          </w:tcPr>
          <w:p w:rsidR="006C0A3B" w:rsidRPr="001E31D3" w:rsidRDefault="006C0A3B" w:rsidP="006C0A3B">
            <w:pPr>
              <w:spacing w:line="288" w:lineRule="auto"/>
              <w:jc w:val="left"/>
              <w:rPr>
                <w:rFonts w:cs="Arial"/>
                <w:b/>
                <w:sz w:val="22"/>
                <w:szCs w:val="20"/>
                <w:lang w:eastAsia="en-US"/>
              </w:rPr>
            </w:pPr>
            <w:r w:rsidRPr="001E31D3">
              <w:rPr>
                <w:rFonts w:cs="Arial"/>
                <w:b/>
                <w:szCs w:val="20"/>
              </w:rPr>
              <w:t>Numeracy (quintiles)</w:t>
            </w:r>
          </w:p>
        </w:tc>
        <w:tc>
          <w:tcPr>
            <w:tcW w:w="2974" w:type="dxa"/>
            <w:tcBorders>
              <w:top w:val="single" w:sz="4" w:space="0" w:color="auto"/>
              <w:left w:val="single" w:sz="8" w:space="0" w:color="000000"/>
              <w:bottom w:val="single" w:sz="4" w:space="0" w:color="auto"/>
              <w:right w:val="single" w:sz="4" w:space="0" w:color="auto"/>
            </w:tcBorders>
            <w:shd w:val="clear" w:color="auto" w:fill="B8CCE4" w:themeFill="accent1" w:themeFillTint="66"/>
            <w:vAlign w:val="center"/>
            <w:hideMark/>
          </w:tcPr>
          <w:p w:rsidR="006C0A3B" w:rsidRPr="001E31D3" w:rsidRDefault="006C0A3B" w:rsidP="006C0A3B">
            <w:pPr>
              <w:spacing w:line="288" w:lineRule="auto"/>
              <w:jc w:val="left"/>
              <w:rPr>
                <w:rFonts w:cs="Arial"/>
                <w:b/>
                <w:sz w:val="22"/>
                <w:szCs w:val="20"/>
                <w:lang w:eastAsia="en-US"/>
              </w:rPr>
            </w:pPr>
            <w:r w:rsidRPr="001E31D3">
              <w:rPr>
                <w:rFonts w:cs="Arial"/>
                <w:b/>
                <w:szCs w:val="20"/>
              </w:rPr>
              <w:t>Literacy (quintiles)</w:t>
            </w:r>
          </w:p>
        </w:tc>
      </w:tr>
      <w:tr w:rsidR="006C0A3B" w:rsidRPr="001E31D3" w:rsidTr="007C2CE1">
        <w:trPr>
          <w:trHeight w:val="906"/>
        </w:trPr>
        <w:tc>
          <w:tcPr>
            <w:tcW w:w="3031" w:type="dxa"/>
            <w:vMerge/>
            <w:tcBorders>
              <w:left w:val="single" w:sz="8" w:space="0" w:color="000000"/>
              <w:bottom w:val="single" w:sz="8" w:space="0" w:color="000000"/>
              <w:right w:val="nil"/>
            </w:tcBorders>
            <w:vAlign w:val="center"/>
            <w:hideMark/>
          </w:tcPr>
          <w:p w:rsidR="006C0A3B" w:rsidRPr="001E31D3" w:rsidRDefault="006C0A3B" w:rsidP="006C0A3B">
            <w:pPr>
              <w:spacing w:line="288" w:lineRule="auto"/>
              <w:jc w:val="left"/>
              <w:rPr>
                <w:rFonts w:cs="Arial"/>
                <w:sz w:val="22"/>
                <w:szCs w:val="20"/>
                <w:lang w:eastAsia="en-US"/>
              </w:rPr>
            </w:pPr>
          </w:p>
        </w:tc>
        <w:tc>
          <w:tcPr>
            <w:tcW w:w="2784" w:type="dxa"/>
            <w:tcBorders>
              <w:top w:val="single" w:sz="4" w:space="0" w:color="auto"/>
              <w:left w:val="single" w:sz="8" w:space="0" w:color="000000"/>
              <w:bottom w:val="single" w:sz="8" w:space="0" w:color="000000"/>
              <w:right w:val="single" w:sz="8" w:space="0" w:color="000000"/>
            </w:tcBorders>
            <w:shd w:val="clear" w:color="auto" w:fill="B8CCE4" w:themeFill="accent1" w:themeFillTint="66"/>
            <w:vAlign w:val="center"/>
            <w:hideMark/>
          </w:tcPr>
          <w:p w:rsidR="006C0A3B" w:rsidRPr="001E31D3" w:rsidRDefault="006C0A3B" w:rsidP="006C0A3B">
            <w:pPr>
              <w:spacing w:line="288" w:lineRule="auto"/>
              <w:jc w:val="left"/>
              <w:rPr>
                <w:rFonts w:cs="Arial"/>
                <w:b/>
                <w:sz w:val="22"/>
                <w:szCs w:val="20"/>
                <w:lang w:eastAsia="en-US"/>
              </w:rPr>
            </w:pPr>
            <w:r w:rsidRPr="001E31D3">
              <w:rPr>
                <w:rFonts w:cs="Arial"/>
                <w:b/>
                <w:szCs w:val="20"/>
              </w:rPr>
              <w:t xml:space="preserve">DID estimate </w:t>
            </w:r>
            <m:oMath>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c>
          <w:tcPr>
            <w:tcW w:w="2974" w:type="dxa"/>
            <w:tcBorders>
              <w:top w:val="single" w:sz="4" w:space="0" w:color="auto"/>
              <w:left w:val="single" w:sz="8" w:space="0" w:color="000000"/>
              <w:bottom w:val="single" w:sz="8" w:space="0" w:color="000000"/>
              <w:right w:val="single" w:sz="4" w:space="0" w:color="auto"/>
            </w:tcBorders>
            <w:shd w:val="clear" w:color="auto" w:fill="B8CCE4" w:themeFill="accent1" w:themeFillTint="66"/>
            <w:vAlign w:val="center"/>
            <w:hideMark/>
          </w:tcPr>
          <w:p w:rsidR="006C0A3B" w:rsidRPr="001E31D3" w:rsidRDefault="006C0A3B" w:rsidP="006C0A3B">
            <w:pPr>
              <w:spacing w:line="288" w:lineRule="auto"/>
              <w:jc w:val="left"/>
              <w:rPr>
                <w:rFonts w:cs="Arial"/>
                <w:b/>
                <w:sz w:val="22"/>
                <w:szCs w:val="20"/>
                <w:lang w:eastAsia="en-US"/>
              </w:rPr>
            </w:pPr>
            <w:r w:rsidRPr="001E31D3">
              <w:rPr>
                <w:rFonts w:cs="Arial"/>
                <w:b/>
                <w:szCs w:val="20"/>
              </w:rPr>
              <w:t xml:space="preserve">DID estimate </w:t>
            </w:r>
            <m:oMath>
              <m:r>
                <m:rPr>
                  <m:sty m:val="bi"/>
                </m:rPr>
                <w:rPr>
                  <w:rFonts w:ascii="Cambria Math" w:hAnsi="Cambria Math" w:cs="Arial"/>
                  <w:szCs w:val="20"/>
                </w:rPr>
                <m:t>(</m:t>
              </m:r>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r>
      <w:tr w:rsidR="00B4339D" w:rsidRPr="001E31D3" w:rsidTr="00D31B8E">
        <w:trPr>
          <w:trHeight w:val="397"/>
        </w:trPr>
        <w:tc>
          <w:tcPr>
            <w:tcW w:w="3031" w:type="dxa"/>
            <w:tcBorders>
              <w:top w:val="nil"/>
              <w:left w:val="single" w:sz="8" w:space="0" w:color="000000"/>
              <w:bottom w:val="single" w:sz="8" w:space="0" w:color="000000"/>
              <w:right w:val="nil"/>
            </w:tcBorders>
            <w:shd w:val="clear" w:color="auto" w:fill="B8CCE4" w:themeFill="accent1" w:themeFillTint="66"/>
            <w:vAlign w:val="center"/>
            <w:hideMark/>
          </w:tcPr>
          <w:p w:rsidR="00B4339D" w:rsidRPr="001E31D3" w:rsidRDefault="00B4339D" w:rsidP="006C0A3B">
            <w:pPr>
              <w:spacing w:line="288" w:lineRule="auto"/>
              <w:jc w:val="left"/>
              <w:rPr>
                <w:rFonts w:cs="Arial"/>
                <w:sz w:val="22"/>
                <w:szCs w:val="20"/>
                <w:lang w:eastAsia="en-US"/>
              </w:rPr>
            </w:pPr>
            <w:r w:rsidRPr="001E31D3">
              <w:rPr>
                <w:rFonts w:cs="Arial"/>
                <w:szCs w:val="20"/>
              </w:rPr>
              <w:t>Vocational prevalence (N:17)</w:t>
            </w:r>
          </w:p>
        </w:tc>
        <w:tc>
          <w:tcPr>
            <w:tcW w:w="2784" w:type="dxa"/>
            <w:tcBorders>
              <w:top w:val="single" w:sz="8" w:space="0" w:color="000000"/>
              <w:left w:val="single" w:sz="8" w:space="0" w:color="000000"/>
              <w:bottom w:val="single" w:sz="8" w:space="0" w:color="000000"/>
              <w:right w:val="single" w:sz="8" w:space="0" w:color="000000"/>
            </w:tcBorders>
            <w:vAlign w:val="center"/>
            <w:hideMark/>
          </w:tcPr>
          <w:p w:rsidR="00B4339D" w:rsidRPr="001E31D3" w:rsidRDefault="00B4339D" w:rsidP="006C0A3B">
            <w:pPr>
              <w:spacing w:line="288" w:lineRule="auto"/>
              <w:rPr>
                <w:rFonts w:cs="Arial"/>
                <w:sz w:val="22"/>
                <w:szCs w:val="20"/>
                <w:lang w:eastAsia="en-US"/>
              </w:rPr>
            </w:pPr>
            <w:r w:rsidRPr="001E31D3">
              <w:rPr>
                <w:rFonts w:cs="Arial"/>
                <w:szCs w:val="20"/>
              </w:rPr>
              <w:t xml:space="preserve"> 0.65***** (1.91)</w:t>
            </w:r>
          </w:p>
        </w:tc>
        <w:tc>
          <w:tcPr>
            <w:tcW w:w="2974" w:type="dxa"/>
            <w:tcBorders>
              <w:top w:val="single" w:sz="8" w:space="0" w:color="000000"/>
              <w:left w:val="single" w:sz="8" w:space="0" w:color="000000"/>
              <w:bottom w:val="single" w:sz="8" w:space="0" w:color="000000"/>
              <w:right w:val="single" w:sz="4" w:space="0" w:color="auto"/>
            </w:tcBorders>
            <w:vAlign w:val="center"/>
            <w:hideMark/>
          </w:tcPr>
          <w:p w:rsidR="00B4339D" w:rsidRPr="001E31D3" w:rsidRDefault="00B4339D" w:rsidP="006C0A3B">
            <w:pPr>
              <w:spacing w:line="288" w:lineRule="auto"/>
              <w:rPr>
                <w:rFonts w:cs="Arial"/>
                <w:sz w:val="22"/>
                <w:szCs w:val="20"/>
                <w:lang w:eastAsia="en-US"/>
              </w:rPr>
            </w:pPr>
            <w:r w:rsidRPr="001E31D3">
              <w:rPr>
                <w:rFonts w:cs="Arial"/>
                <w:szCs w:val="20"/>
              </w:rPr>
              <w:t>0.34* (2.60)</w:t>
            </w:r>
          </w:p>
        </w:tc>
      </w:tr>
      <w:tr w:rsidR="00B4339D" w:rsidRPr="001E31D3" w:rsidTr="00D31B8E">
        <w:trPr>
          <w:trHeight w:val="397"/>
        </w:trPr>
        <w:tc>
          <w:tcPr>
            <w:tcW w:w="3031" w:type="dxa"/>
            <w:tcBorders>
              <w:top w:val="nil"/>
              <w:left w:val="single" w:sz="8" w:space="0" w:color="000000"/>
              <w:bottom w:val="single" w:sz="8" w:space="0" w:color="000000"/>
              <w:right w:val="nil"/>
            </w:tcBorders>
            <w:shd w:val="clear" w:color="auto" w:fill="B8CCE4" w:themeFill="accent1" w:themeFillTint="66"/>
            <w:vAlign w:val="center"/>
            <w:hideMark/>
          </w:tcPr>
          <w:p w:rsidR="00B4339D" w:rsidRPr="001E31D3" w:rsidRDefault="00B4339D" w:rsidP="006C0A3B">
            <w:pPr>
              <w:spacing w:line="288" w:lineRule="auto"/>
              <w:jc w:val="left"/>
              <w:rPr>
                <w:rFonts w:cs="Arial"/>
                <w:sz w:val="22"/>
                <w:szCs w:val="20"/>
                <w:lang w:eastAsia="en-US"/>
              </w:rPr>
            </w:pPr>
            <w:r w:rsidRPr="001E31D3">
              <w:rPr>
                <w:rFonts w:cs="Arial"/>
                <w:szCs w:val="20"/>
              </w:rPr>
              <w:t>Vocational specificity (N:20)</w:t>
            </w:r>
          </w:p>
        </w:tc>
        <w:tc>
          <w:tcPr>
            <w:tcW w:w="2784" w:type="dxa"/>
            <w:tcBorders>
              <w:top w:val="single" w:sz="8" w:space="0" w:color="000000"/>
              <w:left w:val="single" w:sz="8" w:space="0" w:color="000000"/>
              <w:bottom w:val="single" w:sz="8" w:space="0" w:color="000000"/>
              <w:right w:val="single" w:sz="8" w:space="0" w:color="000000"/>
            </w:tcBorders>
            <w:vAlign w:val="center"/>
            <w:hideMark/>
          </w:tcPr>
          <w:p w:rsidR="00B4339D" w:rsidRPr="001E31D3" w:rsidRDefault="00B4339D" w:rsidP="006C0A3B">
            <w:pPr>
              <w:spacing w:line="288" w:lineRule="auto"/>
              <w:rPr>
                <w:rFonts w:cs="Arial"/>
                <w:sz w:val="22"/>
                <w:szCs w:val="20"/>
                <w:lang w:eastAsia="en-US"/>
              </w:rPr>
            </w:pPr>
            <w:r w:rsidRPr="001E31D3">
              <w:rPr>
                <w:rFonts w:cs="Arial"/>
                <w:szCs w:val="20"/>
              </w:rPr>
              <w:t>0.45***** (1.35)</w:t>
            </w:r>
          </w:p>
        </w:tc>
        <w:tc>
          <w:tcPr>
            <w:tcW w:w="2974" w:type="dxa"/>
            <w:tcBorders>
              <w:top w:val="single" w:sz="8" w:space="0" w:color="000000"/>
              <w:left w:val="single" w:sz="8" w:space="0" w:color="000000"/>
              <w:bottom w:val="single" w:sz="8" w:space="0" w:color="000000"/>
              <w:right w:val="single" w:sz="4" w:space="0" w:color="auto"/>
            </w:tcBorders>
            <w:vAlign w:val="center"/>
            <w:hideMark/>
          </w:tcPr>
          <w:p w:rsidR="00B4339D" w:rsidRPr="001E31D3" w:rsidRDefault="00B4339D" w:rsidP="006C0A3B">
            <w:pPr>
              <w:spacing w:line="288" w:lineRule="auto"/>
              <w:rPr>
                <w:rFonts w:cs="Arial"/>
                <w:sz w:val="22"/>
                <w:szCs w:val="20"/>
                <w:lang w:eastAsia="en-US"/>
              </w:rPr>
            </w:pPr>
            <w:r w:rsidRPr="001E31D3">
              <w:rPr>
                <w:rFonts w:cs="Arial"/>
                <w:szCs w:val="20"/>
              </w:rPr>
              <w:t>0.39***** (1.30)</w:t>
            </w:r>
          </w:p>
        </w:tc>
      </w:tr>
      <w:tr w:rsidR="00B4339D" w:rsidRPr="001E31D3" w:rsidTr="00D31B8E">
        <w:trPr>
          <w:trHeight w:val="397"/>
        </w:trPr>
        <w:tc>
          <w:tcPr>
            <w:tcW w:w="3031" w:type="dxa"/>
            <w:tcBorders>
              <w:top w:val="single" w:sz="8" w:space="0" w:color="000000"/>
              <w:left w:val="single" w:sz="8" w:space="0" w:color="000000"/>
              <w:bottom w:val="single" w:sz="4" w:space="0" w:color="auto"/>
              <w:right w:val="nil"/>
            </w:tcBorders>
            <w:shd w:val="clear" w:color="auto" w:fill="B8CCE4" w:themeFill="accent1" w:themeFillTint="66"/>
            <w:vAlign w:val="center"/>
            <w:hideMark/>
          </w:tcPr>
          <w:p w:rsidR="00B4339D" w:rsidRPr="001E31D3" w:rsidRDefault="00B4339D" w:rsidP="006C0A3B">
            <w:pPr>
              <w:spacing w:line="288" w:lineRule="auto"/>
              <w:jc w:val="left"/>
              <w:rPr>
                <w:rFonts w:cs="Arial"/>
                <w:sz w:val="22"/>
                <w:szCs w:val="20"/>
                <w:lang w:eastAsia="en-US"/>
              </w:rPr>
            </w:pPr>
            <w:r w:rsidRPr="001E31D3">
              <w:rPr>
                <w:rFonts w:cs="Arial"/>
                <w:szCs w:val="20"/>
              </w:rPr>
              <w:t>Social mix vocational track</w:t>
            </w:r>
            <w:r w:rsidR="00067EA4" w:rsidRPr="001E31D3">
              <w:rPr>
                <w:rFonts w:cs="Arial"/>
                <w:szCs w:val="20"/>
              </w:rPr>
              <w:t xml:space="preserve"> (N:</w:t>
            </w:r>
            <w:r w:rsidRPr="001E31D3">
              <w:rPr>
                <w:rFonts w:cs="Arial"/>
                <w:szCs w:val="20"/>
              </w:rPr>
              <w:t>16)</w:t>
            </w:r>
          </w:p>
        </w:tc>
        <w:tc>
          <w:tcPr>
            <w:tcW w:w="2784" w:type="dxa"/>
            <w:tcBorders>
              <w:top w:val="single" w:sz="8" w:space="0" w:color="000000"/>
              <w:left w:val="single" w:sz="8" w:space="0" w:color="000000"/>
              <w:bottom w:val="single" w:sz="4" w:space="0" w:color="auto"/>
              <w:right w:val="single" w:sz="8" w:space="0" w:color="000000"/>
            </w:tcBorders>
            <w:vAlign w:val="center"/>
            <w:hideMark/>
          </w:tcPr>
          <w:p w:rsidR="00B4339D" w:rsidRPr="001E31D3" w:rsidRDefault="00B4339D" w:rsidP="006C0A3B">
            <w:pPr>
              <w:spacing w:line="288" w:lineRule="auto"/>
              <w:rPr>
                <w:rFonts w:cs="Arial"/>
                <w:sz w:val="22"/>
                <w:szCs w:val="20"/>
                <w:lang w:eastAsia="en-US"/>
              </w:rPr>
            </w:pPr>
            <w:r w:rsidRPr="001E31D3">
              <w:rPr>
                <w:rFonts w:cs="Arial"/>
                <w:szCs w:val="20"/>
              </w:rPr>
              <w:t xml:space="preserve"> 0.72**** (2.21)</w:t>
            </w:r>
          </w:p>
        </w:tc>
        <w:tc>
          <w:tcPr>
            <w:tcW w:w="2974" w:type="dxa"/>
            <w:tcBorders>
              <w:top w:val="single" w:sz="8" w:space="0" w:color="000000"/>
              <w:left w:val="single" w:sz="8" w:space="0" w:color="000000"/>
              <w:bottom w:val="single" w:sz="4" w:space="0" w:color="auto"/>
              <w:right w:val="single" w:sz="4" w:space="0" w:color="auto"/>
            </w:tcBorders>
            <w:vAlign w:val="center"/>
            <w:hideMark/>
          </w:tcPr>
          <w:p w:rsidR="00B4339D" w:rsidRPr="001E31D3" w:rsidRDefault="00B4339D" w:rsidP="006C0A3B">
            <w:pPr>
              <w:spacing w:line="288" w:lineRule="auto"/>
              <w:rPr>
                <w:rFonts w:cs="Arial"/>
                <w:sz w:val="22"/>
                <w:szCs w:val="20"/>
                <w:lang w:eastAsia="en-US"/>
              </w:rPr>
            </w:pPr>
            <w:r w:rsidRPr="001E31D3">
              <w:rPr>
                <w:rFonts w:cs="Arial"/>
                <w:szCs w:val="20"/>
              </w:rPr>
              <w:t>0.81***** (2.21)</w:t>
            </w:r>
          </w:p>
        </w:tc>
      </w:tr>
      <w:tr w:rsidR="001E31D3" w:rsidRPr="001E31D3" w:rsidTr="007C2CE1">
        <w:trPr>
          <w:trHeight w:val="210"/>
        </w:trPr>
        <w:tc>
          <w:tcPr>
            <w:tcW w:w="8789" w:type="dxa"/>
            <w:gridSpan w:val="3"/>
            <w:tcBorders>
              <w:left w:val="nil"/>
              <w:right w:val="nil"/>
            </w:tcBorders>
          </w:tcPr>
          <w:p w:rsidR="006C0A3B" w:rsidRPr="001E31D3" w:rsidRDefault="006C0A3B" w:rsidP="00E62AE7">
            <w:pPr>
              <w:spacing w:after="120" w:line="288" w:lineRule="auto"/>
              <w:rPr>
                <w:rFonts w:cs="Arial"/>
                <w:sz w:val="16"/>
                <w:szCs w:val="16"/>
              </w:rPr>
            </w:pPr>
            <w:r w:rsidRPr="001E31D3">
              <w:rPr>
                <w:rFonts w:cs="Arial"/>
                <w:sz w:val="16"/>
                <w:szCs w:val="16"/>
              </w:rPr>
              <w:t>***** p &lt; 0.01, **** p&lt;0.05, *** p&lt;0.1, ** p &lt; 0.2, * p &lt; 0.3; the unit of measurement is a 10% increase</w:t>
            </w:r>
          </w:p>
        </w:tc>
      </w:tr>
    </w:tbl>
    <w:p w:rsidR="00327EF2" w:rsidRPr="001E31D3" w:rsidRDefault="006C0A3B" w:rsidP="006C0A3B">
      <w:pPr>
        <w:spacing w:after="120" w:line="288" w:lineRule="auto"/>
        <w:rPr>
          <w:rFonts w:cs="Arial"/>
          <w:szCs w:val="20"/>
        </w:rPr>
      </w:pPr>
      <w:r w:rsidRPr="001E31D3">
        <w:rPr>
          <w:rFonts w:cs="Arial"/>
          <w:szCs w:val="20"/>
        </w:rPr>
        <w:t xml:space="preserve">An increase of </w:t>
      </w:r>
      <w:r w:rsidR="00F86A9C" w:rsidRPr="001E31D3">
        <w:rPr>
          <w:rFonts w:cs="Arial"/>
          <w:b/>
          <w:color w:val="1F497D" w:themeColor="text2"/>
          <w:szCs w:val="20"/>
        </w:rPr>
        <w:t>v</w:t>
      </w:r>
      <w:r w:rsidRPr="001E31D3">
        <w:rPr>
          <w:rFonts w:cs="Arial"/>
          <w:b/>
          <w:color w:val="1F497D" w:themeColor="text2"/>
          <w:szCs w:val="20"/>
        </w:rPr>
        <w:t>ocational prevalence</w:t>
      </w:r>
      <w:r w:rsidRPr="001E31D3">
        <w:rPr>
          <w:rFonts w:cs="Arial"/>
          <w:color w:val="1F497D" w:themeColor="text2"/>
          <w:szCs w:val="20"/>
        </w:rPr>
        <w:t xml:space="preserve"> </w:t>
      </w:r>
      <w:r w:rsidRPr="001E31D3">
        <w:rPr>
          <w:rFonts w:cs="Arial"/>
          <w:szCs w:val="20"/>
        </w:rPr>
        <w:t>of 10% is associated with an improvement of roughly one third of a position (coefficient 0.34 positions, significant at p &lt; 0.3) in literacy and of more than half a position in numeracy (coefficient 0.65 positions, p &lt; 0.01).</w:t>
      </w:r>
      <w:r w:rsidR="007C2CE1" w:rsidRPr="001E31D3">
        <w:rPr>
          <w:rFonts w:cs="Arial"/>
          <w:szCs w:val="20"/>
        </w:rPr>
        <w:t xml:space="preserve"> A greater</w:t>
      </w:r>
      <w:r w:rsidRPr="001E31D3">
        <w:rPr>
          <w:rFonts w:cs="Arial"/>
          <w:szCs w:val="20"/>
        </w:rPr>
        <w:t xml:space="preserve"> </w:t>
      </w:r>
      <w:r w:rsidRPr="001E31D3">
        <w:rPr>
          <w:rFonts w:cs="Arial"/>
          <w:b/>
          <w:color w:val="1F497D" w:themeColor="text2"/>
          <w:szCs w:val="20"/>
        </w:rPr>
        <w:t>social mix of the vocation</w:t>
      </w:r>
      <w:r w:rsidR="007C2CE1" w:rsidRPr="001E31D3">
        <w:rPr>
          <w:rFonts w:cs="Arial"/>
          <w:b/>
          <w:color w:val="1F497D" w:themeColor="text2"/>
          <w:szCs w:val="20"/>
        </w:rPr>
        <w:t>al</w:t>
      </w:r>
      <w:r w:rsidRPr="001E31D3">
        <w:rPr>
          <w:rFonts w:cs="Arial"/>
          <w:b/>
          <w:color w:val="1F497D" w:themeColor="text2"/>
          <w:szCs w:val="20"/>
        </w:rPr>
        <w:t xml:space="preserve"> tracks</w:t>
      </w:r>
      <w:r w:rsidRPr="001E31D3">
        <w:rPr>
          <w:rFonts w:cs="Arial"/>
          <w:color w:val="1F497D" w:themeColor="text2"/>
          <w:szCs w:val="20"/>
        </w:rPr>
        <w:t xml:space="preserve"> </w:t>
      </w:r>
      <w:r w:rsidRPr="001E31D3">
        <w:rPr>
          <w:rFonts w:cs="Arial"/>
          <w:szCs w:val="20"/>
        </w:rPr>
        <w:t xml:space="preserve">has a similarly positive effect on literacy amounting to almost 1 position in the rank ordering (coefficient 0.81 positions), and numeracy (coefficient 0.73 positions), significant at the p&lt;0.05 level or above in both cases. </w:t>
      </w:r>
      <w:r w:rsidRPr="001E31D3">
        <w:rPr>
          <w:rFonts w:cs="Arial"/>
          <w:b/>
          <w:color w:val="1F497D" w:themeColor="text2"/>
          <w:szCs w:val="20"/>
        </w:rPr>
        <w:t>Vocational specificity</w:t>
      </w:r>
      <w:r w:rsidRPr="001E31D3">
        <w:rPr>
          <w:rFonts w:cs="Arial"/>
          <w:color w:val="1F497D" w:themeColor="text2"/>
          <w:szCs w:val="20"/>
        </w:rPr>
        <w:t xml:space="preserve"> </w:t>
      </w:r>
      <w:r w:rsidRPr="001E31D3">
        <w:rPr>
          <w:rFonts w:cs="Arial"/>
          <w:szCs w:val="20"/>
        </w:rPr>
        <w:t xml:space="preserve">has a positive effect on both literacy (coefficient 0.39 positions) and numeracy (coefficient 0.45 positions), significant at the highest levels in each case. The effect size seems to be greatest for the social mix variable. </w:t>
      </w:r>
    </w:p>
    <w:p w:rsidR="006C0A3B" w:rsidRPr="001E31D3" w:rsidRDefault="006C0A3B" w:rsidP="006C0A3B">
      <w:pPr>
        <w:spacing w:after="120" w:line="288" w:lineRule="auto"/>
        <w:rPr>
          <w:rFonts w:cs="Arial"/>
          <w:szCs w:val="20"/>
        </w:rPr>
      </w:pPr>
      <w:r w:rsidRPr="001E31D3">
        <w:rPr>
          <w:rFonts w:cs="Arial"/>
          <w:szCs w:val="20"/>
        </w:rPr>
        <w:t>In each case</w:t>
      </w:r>
      <w:r w:rsidR="00F86A9C" w:rsidRPr="001E31D3">
        <w:rPr>
          <w:rFonts w:cs="Arial"/>
          <w:szCs w:val="20"/>
        </w:rPr>
        <w:t>,</w:t>
      </w:r>
      <w:r w:rsidRPr="001E31D3">
        <w:rPr>
          <w:rFonts w:cs="Arial"/>
          <w:szCs w:val="20"/>
        </w:rPr>
        <w:t xml:space="preserve"> the relationships appear to be mainly driven by the Nordic (Types 1 and 2b systems) and the English-speaking countries (mostly Type 4 systems). Type 3 (Austria, Germany) systems also show a distinctive pattern. Nordic countries all show high rates of enrolment on vocational courses which are relatively socially mixed and these factors are positively related to </w:t>
      </w:r>
      <w:r w:rsidR="00085381" w:rsidRPr="001E31D3">
        <w:rPr>
          <w:rFonts w:cs="Arial"/>
          <w:szCs w:val="20"/>
        </w:rPr>
        <w:t>competence</w:t>
      </w:r>
      <w:r w:rsidRPr="001E31D3">
        <w:rPr>
          <w:rFonts w:cs="Arial"/>
          <w:szCs w:val="20"/>
        </w:rPr>
        <w:t xml:space="preserve"> position improvement. Austria and Germany share these positive characteristics and in addition display relatively high vocational curriculum specificity - measuring the proportion of vocational students in Dual System apprenticeships. The strength of this factor suggests that it is the apprentice rather than the academic tracks in Type 3 countries which are responsible for the positive effects of this type of system on country rank order positions. The English-speaking countries with mixed systems, by contrast, have low to average proportions of students on vocational courses which have a low level of social mixing and relatively low vocational specificity (apprenticeship quotient). All of these factors seem to be negatively associated with </w:t>
      </w:r>
      <w:r w:rsidR="007C2CE1" w:rsidRPr="001E31D3">
        <w:rPr>
          <w:rFonts w:cs="Arial"/>
          <w:szCs w:val="20"/>
        </w:rPr>
        <w:t>improving or maintaining young people’s competences at upper secondary and tertiary level.</w:t>
      </w:r>
      <w:r w:rsidR="00327EF2" w:rsidRPr="001E31D3">
        <w:rPr>
          <w:rFonts w:cs="Arial"/>
          <w:szCs w:val="20"/>
        </w:rPr>
        <w:t xml:space="preserve"> Figure 6.4 illustrates</w:t>
      </w:r>
      <w:r w:rsidR="00BD7309" w:rsidRPr="001E31D3">
        <w:rPr>
          <w:rFonts w:cs="Arial"/>
          <w:szCs w:val="20"/>
        </w:rPr>
        <w:t xml:space="preserve"> these patterns for the </w:t>
      </w:r>
      <w:r w:rsidR="00327EF2" w:rsidRPr="001E31D3">
        <w:rPr>
          <w:rFonts w:cs="Arial"/>
          <w:szCs w:val="20"/>
        </w:rPr>
        <w:t xml:space="preserve">social mix of vocational programmes </w:t>
      </w:r>
      <w:r w:rsidR="00BD7309" w:rsidRPr="001E31D3">
        <w:rPr>
          <w:rFonts w:cs="Arial"/>
          <w:szCs w:val="20"/>
        </w:rPr>
        <w:t>variable.</w:t>
      </w:r>
    </w:p>
    <w:p w:rsidR="00327EF2" w:rsidRPr="00BD7309" w:rsidRDefault="00327EF2" w:rsidP="00327EF2">
      <w:pPr>
        <w:pStyle w:val="Caption"/>
        <w:spacing w:before="0" w:after="120" w:line="288" w:lineRule="auto"/>
        <w:rPr>
          <w:rFonts w:ascii="Verdana" w:hAnsi="Verdana"/>
          <w:b w:val="0"/>
          <w:color w:val="1F497D" w:themeColor="text2"/>
          <w:sz w:val="20"/>
        </w:rPr>
      </w:pPr>
      <w:r w:rsidRPr="00BD7309">
        <w:rPr>
          <w:rFonts w:ascii="Verdana" w:hAnsi="Verdana"/>
          <w:b w:val="0"/>
          <w:color w:val="1F497D" w:themeColor="text2"/>
          <w:sz w:val="20"/>
        </w:rPr>
        <w:t xml:space="preserve">Figure </w:t>
      </w:r>
      <w:r w:rsidR="00BD7309" w:rsidRPr="00BD7309">
        <w:rPr>
          <w:rFonts w:ascii="Verdana" w:hAnsi="Verdana"/>
          <w:b w:val="0"/>
          <w:color w:val="1F497D" w:themeColor="text2"/>
          <w:sz w:val="20"/>
        </w:rPr>
        <w:t>6.4</w:t>
      </w:r>
      <w:r w:rsidR="00BD7309">
        <w:rPr>
          <w:rFonts w:ascii="Verdana" w:hAnsi="Verdana"/>
          <w:b w:val="0"/>
          <w:color w:val="1F497D" w:themeColor="text2"/>
          <w:sz w:val="20"/>
        </w:rPr>
        <w:t xml:space="preserve"> </w:t>
      </w:r>
      <w:r w:rsidRPr="00BD7309">
        <w:rPr>
          <w:rFonts w:ascii="Verdana" w:hAnsi="Verdana"/>
          <w:b w:val="0"/>
          <w:color w:val="1F497D" w:themeColor="text2"/>
          <w:sz w:val="20"/>
        </w:rPr>
        <w:t>The effects of the social mix of vocational programmes</w:t>
      </w:r>
    </w:p>
    <w:p w:rsidR="00327EF2" w:rsidRPr="00BD7309" w:rsidRDefault="00327EF2" w:rsidP="006C0A3B">
      <w:pPr>
        <w:spacing w:after="120" w:line="288" w:lineRule="auto"/>
        <w:rPr>
          <w:rFonts w:cs="Arial"/>
          <w:b/>
          <w:color w:val="auto"/>
          <w:sz w:val="22"/>
          <w:szCs w:val="20"/>
        </w:rPr>
      </w:pPr>
      <w:r w:rsidRPr="00BD7309">
        <w:rPr>
          <w:noProof/>
          <w:lang w:val="en-US" w:eastAsia="en-US"/>
        </w:rPr>
        <w:drawing>
          <wp:inline distT="0" distB="0" distL="0" distR="0" wp14:anchorId="53ACEAD4" wp14:editId="2BB9980D">
            <wp:extent cx="5580000" cy="3240000"/>
            <wp:effectExtent l="0" t="0" r="1905" b="0"/>
            <wp:docPr id="306" name="Chart 30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B4339D" w:rsidRPr="00067EA4" w:rsidRDefault="00B4339D" w:rsidP="006C0A3B">
      <w:pPr>
        <w:pStyle w:val="BodyText"/>
        <w:spacing w:line="288" w:lineRule="auto"/>
        <w:rPr>
          <w:i/>
          <w:sz w:val="16"/>
          <w:szCs w:val="16"/>
        </w:rPr>
      </w:pPr>
      <w:r w:rsidRPr="00067EA4">
        <w:rPr>
          <w:i/>
          <w:sz w:val="16"/>
          <w:szCs w:val="16"/>
        </w:rPr>
        <w:t>Notes:</w:t>
      </w:r>
      <w:r>
        <w:rPr>
          <w:i/>
          <w:sz w:val="16"/>
          <w:szCs w:val="16"/>
        </w:rPr>
        <w:t xml:space="preserve"> </w:t>
      </w:r>
      <w:r w:rsidR="000A7401">
        <w:rPr>
          <w:i/>
          <w:sz w:val="16"/>
          <w:szCs w:val="16"/>
        </w:rPr>
        <w:t>own analysis based on PIAAC data</w:t>
      </w:r>
    </w:p>
    <w:p w:rsidR="006C0A3B" w:rsidRPr="00BD7309" w:rsidRDefault="006C0A3B" w:rsidP="006C0A3B">
      <w:pPr>
        <w:pStyle w:val="BodyText"/>
        <w:spacing w:line="288" w:lineRule="auto"/>
      </w:pPr>
      <w:r w:rsidRPr="00BD7309">
        <w:t>The positive effects of these three characteristics seem consistent with general theories about the effects of vocational education. High enrolment of students on vocational programmes which are relatively socially mixed is indicative of the quality of those programmes and of relative parity of esteem between academic and voca</w:t>
      </w:r>
      <w:r w:rsidR="003E14B7">
        <w:t>tional tracks (Raffe et al 1998,</w:t>
      </w:r>
      <w:r w:rsidRPr="00BD7309">
        <w:t xml:space="preserve"> Raffe et al 2001).  High quality vocational provision which includes general education (see </w:t>
      </w:r>
      <w:r w:rsidR="00F86A9C">
        <w:t>below</w:t>
      </w:r>
      <w:r w:rsidRPr="00BD7309">
        <w:t xml:space="preserve">) is likely to raise the </w:t>
      </w:r>
      <w:r w:rsidR="00085381">
        <w:t>competence</w:t>
      </w:r>
      <w:r w:rsidRPr="00BD7309">
        <w:t xml:space="preserve"> level of the lower half of attainers who tend to populate these tracks. This is not only likely to close </w:t>
      </w:r>
      <w:r w:rsidR="00085381">
        <w:t>competence</w:t>
      </w:r>
      <w:r w:rsidRPr="00BD7309">
        <w:t xml:space="preserve"> gaps (see Green et al 2015) but also to raise the lower end of </w:t>
      </w:r>
      <w:r w:rsidR="00085381">
        <w:t>competences</w:t>
      </w:r>
      <w:r w:rsidRPr="00BD7309">
        <w:t xml:space="preserve"> where there is most cross-country variation and thus increase relative average </w:t>
      </w:r>
      <w:r w:rsidR="00085381">
        <w:t>competence</w:t>
      </w:r>
      <w:r w:rsidRPr="00BD7309">
        <w:t xml:space="preserve"> levels. </w:t>
      </w:r>
    </w:p>
    <w:p w:rsidR="006C0A3B" w:rsidRDefault="006C0A3B" w:rsidP="006C0A3B">
      <w:pPr>
        <w:pStyle w:val="BodyText"/>
        <w:spacing w:line="288" w:lineRule="auto"/>
      </w:pPr>
      <w:r w:rsidRPr="00BD7309">
        <w:t xml:space="preserve">The reason for the added benefits of vocational specificity – the proportion of vocational students in apprenticeships – is often explained by the distinctive relation between apprenticeships and the labour market. Employment-based apprenticeships by definition have close links between vocational qualifications and the labour market which may increase the pay-off to vocational education and thus the learning incentives for participants. Other forms of school-based vocational provision may not exhibit such close relationships and in some contexts (like England) do not exhibit such large returns to upper secondary vocational qualifications on the labour market (Dearden et al 2000) and do not perform well in terms of improving their </w:t>
      </w:r>
      <w:r w:rsidR="00085381">
        <w:t>competence</w:t>
      </w:r>
      <w:r w:rsidRPr="00BD7309">
        <w:t xml:space="preserve"> rankings. However, some other countries with high proportions of vocational students in school-based programmes (like Norway and Sweden), and some of the CEE countries</w:t>
      </w:r>
      <w:r w:rsidR="00613762">
        <w:t>,</w:t>
      </w:r>
      <w:r w:rsidRPr="00BD7309">
        <w:t xml:space="preserve"> also do well in improving </w:t>
      </w:r>
      <w:r w:rsidR="00085381">
        <w:t>competence</w:t>
      </w:r>
      <w:r w:rsidRPr="00BD7309">
        <w:t xml:space="preserve"> rankings.</w:t>
      </w:r>
    </w:p>
    <w:p w:rsidR="00BD7309" w:rsidRDefault="00BD7309">
      <w:pPr>
        <w:jc w:val="left"/>
      </w:pPr>
      <w:r>
        <w:br w:type="page"/>
      </w:r>
    </w:p>
    <w:p w:rsidR="00BD7309" w:rsidRPr="00BD7309" w:rsidRDefault="00BD7309" w:rsidP="006C0A3B">
      <w:pPr>
        <w:pStyle w:val="BodyText"/>
        <w:spacing w:line="288" w:lineRule="auto"/>
        <w:rPr>
          <w:i/>
        </w:rPr>
      </w:pPr>
      <w:r w:rsidRPr="00BD7309">
        <w:rPr>
          <w:i/>
        </w:rPr>
        <w:t>Access to learning of literacy an</w:t>
      </w:r>
      <w:r>
        <w:rPr>
          <w:i/>
        </w:rPr>
        <w:t>d</w:t>
      </w:r>
      <w:r w:rsidRPr="00BD7309">
        <w:rPr>
          <w:i/>
        </w:rPr>
        <w:t xml:space="preserve"> numeracy </w:t>
      </w:r>
      <w:r w:rsidR="00CF412F">
        <w:rPr>
          <w:i/>
        </w:rPr>
        <w:t>competence</w:t>
      </w:r>
    </w:p>
    <w:p w:rsidR="006C0A3B" w:rsidRPr="001E31D3" w:rsidRDefault="006C0A3B" w:rsidP="006C0A3B">
      <w:pPr>
        <w:pStyle w:val="BodyText"/>
        <w:spacing w:line="288" w:lineRule="auto"/>
        <w:rPr>
          <w:rFonts w:cs="Arial"/>
          <w:szCs w:val="20"/>
        </w:rPr>
      </w:pPr>
      <w:r w:rsidRPr="001E31D3">
        <w:t xml:space="preserve">Three other factors which have highly significant positive effects on changes in country </w:t>
      </w:r>
      <w:r w:rsidR="00085381" w:rsidRPr="001E31D3">
        <w:t>competence</w:t>
      </w:r>
      <w:r w:rsidRPr="001E31D3">
        <w:t xml:space="preserve"> rankings relate </w:t>
      </w:r>
      <w:r w:rsidRPr="001E31D3">
        <w:rPr>
          <w:b/>
          <w:color w:val="1F497D" w:themeColor="text2"/>
        </w:rPr>
        <w:t xml:space="preserve">directly to access to the learning of literacy and numeracy </w:t>
      </w:r>
      <w:r w:rsidR="00CF412F" w:rsidRPr="001E31D3">
        <w:rPr>
          <w:b/>
          <w:color w:val="1F497D" w:themeColor="text2"/>
        </w:rPr>
        <w:t>competence</w:t>
      </w:r>
      <w:r w:rsidRPr="001E31D3">
        <w:t>.</w:t>
      </w:r>
      <w:r w:rsidR="00BD7309" w:rsidRPr="001E31D3">
        <w:t xml:space="preserve"> </w:t>
      </w:r>
      <w:r w:rsidR="00BD7309" w:rsidRPr="001E31D3">
        <w:rPr>
          <w:rFonts w:cs="Arial"/>
          <w:szCs w:val="20"/>
        </w:rPr>
        <w:t>Table 6.3 shows the results of the relevant DID regressions, including the coefficients for the effect sizes and significance levels.</w:t>
      </w:r>
    </w:p>
    <w:p w:rsidR="00BD7309" w:rsidRPr="00BD7309" w:rsidRDefault="00BD7309" w:rsidP="00BD7309">
      <w:pPr>
        <w:pStyle w:val="Caption"/>
        <w:spacing w:before="0" w:after="120" w:line="288" w:lineRule="auto"/>
        <w:rPr>
          <w:rFonts w:ascii="Verdana" w:hAnsi="Verdana"/>
          <w:b w:val="0"/>
          <w:sz w:val="20"/>
        </w:rPr>
      </w:pPr>
      <w:r w:rsidRPr="00BD7309">
        <w:rPr>
          <w:rFonts w:ascii="Verdana" w:hAnsi="Verdana"/>
          <w:b w:val="0"/>
          <w:color w:val="1F497D" w:themeColor="text2"/>
          <w:sz w:val="20"/>
        </w:rPr>
        <w:t xml:space="preserve">Table </w:t>
      </w:r>
      <w:r>
        <w:rPr>
          <w:rFonts w:ascii="Verdana" w:hAnsi="Verdana"/>
          <w:b w:val="0"/>
          <w:color w:val="1F497D" w:themeColor="text2"/>
          <w:sz w:val="20"/>
        </w:rPr>
        <w:t>6.3</w:t>
      </w:r>
      <w:r w:rsidRPr="00BD7309">
        <w:rPr>
          <w:rFonts w:ascii="Verdana" w:hAnsi="Verdana"/>
          <w:b w:val="0"/>
          <w:color w:val="1F497D" w:themeColor="text2"/>
          <w:sz w:val="20"/>
        </w:rPr>
        <w:t xml:space="preserve"> DID estimates of effects of </w:t>
      </w:r>
      <w:r>
        <w:rPr>
          <w:rFonts w:ascii="Verdana" w:hAnsi="Verdana"/>
          <w:b w:val="0"/>
          <w:color w:val="1F497D" w:themeColor="text2"/>
          <w:sz w:val="20"/>
        </w:rPr>
        <w:t xml:space="preserve">access to learning of literacy and numeracy </w:t>
      </w:r>
      <w:r w:rsidR="00085381">
        <w:rPr>
          <w:rFonts w:ascii="Verdana" w:hAnsi="Verdana"/>
          <w:b w:val="0"/>
          <w:color w:val="1F497D" w:themeColor="text2"/>
          <w:sz w:val="20"/>
        </w:rPr>
        <w:t>competences</w:t>
      </w:r>
    </w:p>
    <w:tbl>
      <w:tblPr>
        <w:tblW w:w="8788" w:type="dxa"/>
        <w:tblInd w:w="109" w:type="dxa"/>
        <w:tblLook w:val="04A0" w:firstRow="1" w:lastRow="0" w:firstColumn="1" w:lastColumn="0" w:noHBand="0" w:noVBand="1"/>
      </w:tblPr>
      <w:tblGrid>
        <w:gridCol w:w="2775"/>
        <w:gridCol w:w="2993"/>
        <w:gridCol w:w="3020"/>
      </w:tblGrid>
      <w:tr w:rsidR="00107F8A" w:rsidRPr="00BD7309" w:rsidTr="00107F8A">
        <w:trPr>
          <w:trHeight w:val="540"/>
        </w:trPr>
        <w:tc>
          <w:tcPr>
            <w:tcW w:w="2775" w:type="dxa"/>
            <w:vMerge w:val="restart"/>
            <w:tcBorders>
              <w:top w:val="single" w:sz="4" w:space="0" w:color="auto"/>
              <w:left w:val="single" w:sz="8" w:space="0" w:color="000000"/>
              <w:right w:val="nil"/>
            </w:tcBorders>
            <w:vAlign w:val="center"/>
            <w:hideMark/>
          </w:tcPr>
          <w:p w:rsidR="00107F8A" w:rsidRPr="00BD7309" w:rsidRDefault="00107F8A" w:rsidP="00E62AE7">
            <w:pPr>
              <w:spacing w:after="120" w:line="288" w:lineRule="auto"/>
              <w:rPr>
                <w:rFonts w:cs="Arial"/>
                <w:color w:val="000000"/>
                <w:sz w:val="22"/>
                <w:szCs w:val="20"/>
                <w:lang w:eastAsia="en-US"/>
              </w:rPr>
            </w:pPr>
            <w:r w:rsidRPr="00BD7309">
              <w:rPr>
                <w:rFonts w:cs="Arial"/>
                <w:color w:val="000000"/>
                <w:szCs w:val="20"/>
              </w:rPr>
              <w:t> </w:t>
            </w:r>
          </w:p>
          <w:p w:rsidR="00107F8A" w:rsidRPr="00BD7309" w:rsidRDefault="00107F8A" w:rsidP="00E62AE7">
            <w:pPr>
              <w:spacing w:after="120" w:line="288" w:lineRule="auto"/>
              <w:rPr>
                <w:rFonts w:cs="Arial"/>
                <w:color w:val="000000"/>
                <w:sz w:val="22"/>
                <w:szCs w:val="20"/>
                <w:lang w:eastAsia="en-US"/>
              </w:rPr>
            </w:pPr>
            <w:r w:rsidRPr="00BD7309">
              <w:rPr>
                <w:rFonts w:cs="Arial"/>
                <w:color w:val="000000"/>
                <w:szCs w:val="20"/>
              </w:rPr>
              <w:t> </w:t>
            </w:r>
          </w:p>
          <w:p w:rsidR="00107F8A" w:rsidRPr="00BD7309" w:rsidRDefault="00107F8A" w:rsidP="00E62AE7">
            <w:pPr>
              <w:spacing w:after="120" w:line="288" w:lineRule="auto"/>
              <w:rPr>
                <w:rFonts w:cs="Arial"/>
                <w:color w:val="000000"/>
                <w:sz w:val="22"/>
                <w:szCs w:val="20"/>
                <w:lang w:eastAsia="en-US"/>
              </w:rPr>
            </w:pPr>
            <w:r w:rsidRPr="00BD7309">
              <w:rPr>
                <w:rFonts w:cs="Arial"/>
                <w:color w:val="000000"/>
                <w:szCs w:val="20"/>
              </w:rPr>
              <w:t> </w:t>
            </w:r>
          </w:p>
          <w:p w:rsidR="00107F8A" w:rsidRPr="00BD7309" w:rsidRDefault="00107F8A" w:rsidP="00E62AE7">
            <w:pPr>
              <w:spacing w:after="120" w:line="288" w:lineRule="auto"/>
              <w:rPr>
                <w:rFonts w:cs="Arial"/>
                <w:color w:val="000000"/>
                <w:sz w:val="22"/>
                <w:szCs w:val="20"/>
                <w:lang w:eastAsia="en-US"/>
              </w:rPr>
            </w:pPr>
            <w:r w:rsidRPr="00BD7309">
              <w:rPr>
                <w:rFonts w:cs="Arial"/>
                <w:color w:val="000000"/>
                <w:szCs w:val="20"/>
              </w:rPr>
              <w:t> </w:t>
            </w:r>
          </w:p>
        </w:tc>
        <w:tc>
          <w:tcPr>
            <w:tcW w:w="2993" w:type="dxa"/>
            <w:tcBorders>
              <w:top w:val="single" w:sz="4" w:space="0" w:color="auto"/>
              <w:left w:val="single" w:sz="8" w:space="0" w:color="000000"/>
              <w:bottom w:val="single" w:sz="4" w:space="0" w:color="auto"/>
              <w:right w:val="single" w:sz="8" w:space="0" w:color="000000"/>
            </w:tcBorders>
            <w:shd w:val="clear" w:color="auto" w:fill="B8CCE4" w:themeFill="accent1" w:themeFillTint="66"/>
            <w:vAlign w:val="center"/>
            <w:hideMark/>
          </w:tcPr>
          <w:p w:rsidR="00107F8A" w:rsidRPr="00BD7309" w:rsidRDefault="00107F8A" w:rsidP="00E62AE7">
            <w:pPr>
              <w:spacing w:after="120" w:line="288" w:lineRule="auto"/>
              <w:rPr>
                <w:rFonts w:cs="Arial"/>
                <w:b/>
                <w:color w:val="000000"/>
                <w:sz w:val="22"/>
                <w:szCs w:val="20"/>
                <w:lang w:eastAsia="en-US"/>
              </w:rPr>
            </w:pPr>
            <w:r w:rsidRPr="00BD7309">
              <w:rPr>
                <w:rFonts w:cs="Arial"/>
                <w:b/>
                <w:color w:val="000000"/>
                <w:szCs w:val="20"/>
              </w:rPr>
              <w:t>Numeracy (quintiles)</w:t>
            </w:r>
          </w:p>
        </w:tc>
        <w:tc>
          <w:tcPr>
            <w:tcW w:w="3020" w:type="dxa"/>
            <w:tcBorders>
              <w:top w:val="single" w:sz="4" w:space="0" w:color="auto"/>
              <w:left w:val="single" w:sz="8" w:space="0" w:color="000000"/>
              <w:bottom w:val="single" w:sz="4" w:space="0" w:color="auto"/>
              <w:right w:val="single" w:sz="4" w:space="0" w:color="auto"/>
            </w:tcBorders>
            <w:shd w:val="clear" w:color="auto" w:fill="B8CCE4" w:themeFill="accent1" w:themeFillTint="66"/>
            <w:vAlign w:val="center"/>
            <w:hideMark/>
          </w:tcPr>
          <w:p w:rsidR="00107F8A" w:rsidRPr="00BD7309" w:rsidRDefault="00107F8A" w:rsidP="00E62AE7">
            <w:pPr>
              <w:spacing w:after="120" w:line="288" w:lineRule="auto"/>
              <w:rPr>
                <w:rFonts w:cs="Arial"/>
                <w:b/>
                <w:color w:val="000000"/>
                <w:sz w:val="22"/>
                <w:szCs w:val="20"/>
                <w:lang w:eastAsia="en-US"/>
              </w:rPr>
            </w:pPr>
            <w:r w:rsidRPr="00BD7309">
              <w:rPr>
                <w:rFonts w:cs="Arial"/>
                <w:b/>
                <w:color w:val="000000"/>
                <w:szCs w:val="20"/>
              </w:rPr>
              <w:t>Literacy (quintiles)</w:t>
            </w:r>
          </w:p>
        </w:tc>
      </w:tr>
      <w:tr w:rsidR="00107F8A" w:rsidRPr="00BD7309" w:rsidTr="00107F8A">
        <w:trPr>
          <w:trHeight w:val="540"/>
        </w:trPr>
        <w:tc>
          <w:tcPr>
            <w:tcW w:w="2775" w:type="dxa"/>
            <w:vMerge/>
            <w:tcBorders>
              <w:left w:val="single" w:sz="8" w:space="0" w:color="000000"/>
              <w:bottom w:val="single" w:sz="8" w:space="0" w:color="000000"/>
              <w:right w:val="nil"/>
            </w:tcBorders>
            <w:vAlign w:val="center"/>
            <w:hideMark/>
          </w:tcPr>
          <w:p w:rsidR="00107F8A" w:rsidRPr="00BD7309" w:rsidRDefault="00107F8A" w:rsidP="00E62AE7">
            <w:pPr>
              <w:spacing w:after="120" w:line="288" w:lineRule="auto"/>
              <w:rPr>
                <w:rFonts w:cs="Arial"/>
                <w:color w:val="000000"/>
                <w:sz w:val="22"/>
                <w:szCs w:val="20"/>
                <w:lang w:eastAsia="en-US"/>
              </w:rPr>
            </w:pPr>
          </w:p>
        </w:tc>
        <w:tc>
          <w:tcPr>
            <w:tcW w:w="2993" w:type="dxa"/>
            <w:tcBorders>
              <w:top w:val="single" w:sz="4" w:space="0" w:color="auto"/>
              <w:left w:val="single" w:sz="8" w:space="0" w:color="000000"/>
              <w:bottom w:val="single" w:sz="8" w:space="0" w:color="000000"/>
              <w:right w:val="single" w:sz="8" w:space="0" w:color="000000"/>
            </w:tcBorders>
            <w:shd w:val="clear" w:color="auto" w:fill="B8CCE4" w:themeFill="accent1" w:themeFillTint="66"/>
            <w:vAlign w:val="center"/>
            <w:hideMark/>
          </w:tcPr>
          <w:p w:rsidR="00107F8A" w:rsidRPr="00BD7309" w:rsidRDefault="00107F8A" w:rsidP="00E62AE7">
            <w:pPr>
              <w:spacing w:after="120" w:line="288" w:lineRule="auto"/>
              <w:rPr>
                <w:rFonts w:cs="Arial"/>
                <w:b/>
                <w:color w:val="000000"/>
                <w:sz w:val="22"/>
                <w:szCs w:val="20"/>
                <w:lang w:eastAsia="en-US"/>
              </w:rPr>
            </w:pPr>
            <w:r w:rsidRPr="00BD7309">
              <w:rPr>
                <w:rFonts w:cs="Arial"/>
                <w:b/>
                <w:color w:val="000000"/>
                <w:szCs w:val="20"/>
              </w:rPr>
              <w:t xml:space="preserve">DID estimate </w:t>
            </w:r>
            <m:oMath>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c>
          <w:tcPr>
            <w:tcW w:w="3020" w:type="dxa"/>
            <w:tcBorders>
              <w:top w:val="single" w:sz="4" w:space="0" w:color="auto"/>
              <w:left w:val="single" w:sz="8" w:space="0" w:color="000000"/>
              <w:bottom w:val="single" w:sz="8" w:space="0" w:color="000000"/>
              <w:right w:val="single" w:sz="4" w:space="0" w:color="auto"/>
            </w:tcBorders>
            <w:shd w:val="clear" w:color="auto" w:fill="B8CCE4" w:themeFill="accent1" w:themeFillTint="66"/>
            <w:vAlign w:val="center"/>
            <w:hideMark/>
          </w:tcPr>
          <w:p w:rsidR="00107F8A" w:rsidRPr="00BD7309" w:rsidRDefault="00107F8A" w:rsidP="00E62AE7">
            <w:pPr>
              <w:spacing w:after="120" w:line="288" w:lineRule="auto"/>
              <w:rPr>
                <w:rFonts w:cs="Arial"/>
                <w:b/>
                <w:color w:val="000000"/>
                <w:sz w:val="22"/>
                <w:szCs w:val="20"/>
                <w:lang w:eastAsia="en-US"/>
              </w:rPr>
            </w:pPr>
            <w:r w:rsidRPr="00BD7309">
              <w:rPr>
                <w:rFonts w:cs="Arial"/>
                <w:b/>
                <w:color w:val="000000"/>
                <w:szCs w:val="20"/>
              </w:rPr>
              <w:t xml:space="preserve">DID estimate </w:t>
            </w:r>
            <m:oMath>
              <m:r>
                <m:rPr>
                  <m:sty m:val="bi"/>
                </m:rPr>
                <w:rPr>
                  <w:rFonts w:ascii="Cambria Math" w:hAnsi="Cambria Math" w:cs="Arial"/>
                  <w:color w:val="000000"/>
                  <w:szCs w:val="20"/>
                </w:rPr>
                <m:t>(</m:t>
              </m:r>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r>
      <w:tr w:rsidR="000A7401" w:rsidRPr="00BD7309" w:rsidTr="00D31B8E">
        <w:trPr>
          <w:trHeight w:val="397"/>
        </w:trPr>
        <w:tc>
          <w:tcPr>
            <w:tcW w:w="2775" w:type="dxa"/>
            <w:tcBorders>
              <w:top w:val="single" w:sz="4" w:space="0" w:color="auto"/>
              <w:left w:val="single" w:sz="8" w:space="0" w:color="000000"/>
              <w:bottom w:val="single" w:sz="8" w:space="0" w:color="000000"/>
              <w:right w:val="nil"/>
            </w:tcBorders>
            <w:shd w:val="clear" w:color="auto" w:fill="B8CCE4" w:themeFill="accent1" w:themeFillTint="66"/>
            <w:vAlign w:val="center"/>
            <w:hideMark/>
          </w:tcPr>
          <w:p w:rsidR="000A7401" w:rsidRPr="009074C7" w:rsidRDefault="000A7401" w:rsidP="00107F8A">
            <w:pPr>
              <w:spacing w:after="120" w:line="288" w:lineRule="auto"/>
              <w:jc w:val="left"/>
              <w:rPr>
                <w:rFonts w:cs="Arial"/>
                <w:color w:val="000000"/>
                <w:sz w:val="22"/>
                <w:szCs w:val="20"/>
                <w:lang w:eastAsia="en-US"/>
              </w:rPr>
            </w:pPr>
            <w:r w:rsidRPr="009074C7">
              <w:rPr>
                <w:rFonts w:cs="Arial"/>
                <w:color w:val="000000"/>
                <w:szCs w:val="20"/>
              </w:rPr>
              <w:t>Enrolment rate (17-18 YO)</w:t>
            </w:r>
            <w:r>
              <w:rPr>
                <w:rFonts w:cs="Arial"/>
                <w:color w:val="000000"/>
                <w:szCs w:val="20"/>
              </w:rPr>
              <w:t xml:space="preserve"> (N:18)</w:t>
            </w:r>
          </w:p>
        </w:tc>
        <w:tc>
          <w:tcPr>
            <w:tcW w:w="2993" w:type="dxa"/>
            <w:tcBorders>
              <w:top w:val="nil"/>
              <w:left w:val="single" w:sz="8" w:space="0" w:color="000000"/>
              <w:bottom w:val="single" w:sz="8" w:space="0" w:color="000000"/>
              <w:right w:val="single" w:sz="8" w:space="0" w:color="000000"/>
            </w:tcBorders>
            <w:vAlign w:val="center"/>
            <w:hideMark/>
          </w:tcPr>
          <w:p w:rsidR="000A7401" w:rsidRPr="009074C7" w:rsidRDefault="000A7401" w:rsidP="00E62AE7">
            <w:pPr>
              <w:spacing w:after="120" w:line="288" w:lineRule="auto"/>
              <w:rPr>
                <w:rFonts w:cs="Arial"/>
                <w:color w:val="000000"/>
                <w:sz w:val="22"/>
                <w:szCs w:val="20"/>
                <w:lang w:eastAsia="en-US"/>
              </w:rPr>
            </w:pPr>
            <w:r w:rsidRPr="009074C7">
              <w:rPr>
                <w:rFonts w:cs="Arial"/>
                <w:color w:val="000000"/>
                <w:szCs w:val="20"/>
              </w:rPr>
              <w:t>0.68***** (0.91)</w:t>
            </w:r>
          </w:p>
        </w:tc>
        <w:tc>
          <w:tcPr>
            <w:tcW w:w="3020" w:type="dxa"/>
            <w:tcBorders>
              <w:top w:val="nil"/>
              <w:left w:val="single" w:sz="8" w:space="0" w:color="000000"/>
              <w:bottom w:val="single" w:sz="8" w:space="0" w:color="000000"/>
              <w:right w:val="single" w:sz="4" w:space="0" w:color="auto"/>
            </w:tcBorders>
            <w:vAlign w:val="center"/>
            <w:hideMark/>
          </w:tcPr>
          <w:p w:rsidR="000A7401" w:rsidRPr="009074C7" w:rsidRDefault="000A7401" w:rsidP="00E62AE7">
            <w:pPr>
              <w:spacing w:after="120" w:line="288" w:lineRule="auto"/>
              <w:rPr>
                <w:rFonts w:cs="Arial"/>
                <w:color w:val="000000"/>
                <w:sz w:val="22"/>
                <w:szCs w:val="20"/>
                <w:lang w:eastAsia="en-US"/>
              </w:rPr>
            </w:pPr>
            <w:r w:rsidRPr="009074C7">
              <w:rPr>
                <w:rFonts w:cs="Arial"/>
                <w:color w:val="000000"/>
                <w:szCs w:val="20"/>
              </w:rPr>
              <w:t>0.59***** (1.63)</w:t>
            </w:r>
          </w:p>
        </w:tc>
      </w:tr>
      <w:tr w:rsidR="000A7401" w:rsidRPr="00BD7309" w:rsidTr="00D31B8E">
        <w:trPr>
          <w:trHeight w:val="397"/>
        </w:trPr>
        <w:tc>
          <w:tcPr>
            <w:tcW w:w="2775" w:type="dxa"/>
            <w:tcBorders>
              <w:top w:val="nil"/>
              <w:left w:val="single" w:sz="8" w:space="0" w:color="000000"/>
              <w:bottom w:val="single" w:sz="8" w:space="0" w:color="000000"/>
              <w:right w:val="nil"/>
            </w:tcBorders>
            <w:shd w:val="clear" w:color="auto" w:fill="B8CCE4" w:themeFill="accent1" w:themeFillTint="66"/>
            <w:vAlign w:val="center"/>
          </w:tcPr>
          <w:p w:rsidR="000A7401" w:rsidRPr="009074C7" w:rsidRDefault="000A7401" w:rsidP="00E62AE7">
            <w:pPr>
              <w:spacing w:after="120" w:line="288" w:lineRule="auto"/>
              <w:rPr>
                <w:rFonts w:cs="Arial"/>
                <w:color w:val="000000"/>
                <w:sz w:val="22"/>
                <w:szCs w:val="20"/>
                <w:lang w:eastAsia="en-US"/>
              </w:rPr>
            </w:pPr>
            <w:r w:rsidRPr="009074C7">
              <w:rPr>
                <w:rFonts w:cs="Arial"/>
                <w:color w:val="000000"/>
                <w:szCs w:val="20"/>
              </w:rPr>
              <w:t>ISCED3 completion</w:t>
            </w:r>
            <w:r>
              <w:rPr>
                <w:rFonts w:cs="Arial"/>
                <w:color w:val="000000"/>
                <w:szCs w:val="20"/>
              </w:rPr>
              <w:t xml:space="preserve"> (N:19)</w:t>
            </w:r>
            <w:r w:rsidRPr="009074C7">
              <w:rPr>
                <w:rFonts w:cs="Arial"/>
                <w:color w:val="000000"/>
                <w:szCs w:val="20"/>
              </w:rPr>
              <w:t xml:space="preserve"> </w:t>
            </w:r>
          </w:p>
        </w:tc>
        <w:tc>
          <w:tcPr>
            <w:tcW w:w="2993" w:type="dxa"/>
            <w:tcBorders>
              <w:top w:val="nil"/>
              <w:left w:val="single" w:sz="8" w:space="0" w:color="000000"/>
              <w:bottom w:val="single" w:sz="8" w:space="0" w:color="000000"/>
              <w:right w:val="single" w:sz="8" w:space="0" w:color="000000"/>
            </w:tcBorders>
            <w:vAlign w:val="center"/>
          </w:tcPr>
          <w:p w:rsidR="000A7401" w:rsidRPr="009074C7" w:rsidRDefault="000A7401" w:rsidP="00E62AE7">
            <w:pPr>
              <w:spacing w:after="120" w:line="288" w:lineRule="auto"/>
              <w:rPr>
                <w:rFonts w:cs="Arial"/>
                <w:color w:val="000000"/>
                <w:sz w:val="22"/>
                <w:szCs w:val="20"/>
                <w:lang w:eastAsia="en-US"/>
              </w:rPr>
            </w:pPr>
            <w:r w:rsidRPr="009074C7">
              <w:rPr>
                <w:rFonts w:cs="Arial"/>
                <w:color w:val="000000"/>
                <w:szCs w:val="20"/>
              </w:rPr>
              <w:t>0.21 (3.70)</w:t>
            </w:r>
          </w:p>
        </w:tc>
        <w:tc>
          <w:tcPr>
            <w:tcW w:w="3020" w:type="dxa"/>
            <w:tcBorders>
              <w:top w:val="nil"/>
              <w:left w:val="single" w:sz="8" w:space="0" w:color="000000"/>
              <w:bottom w:val="single" w:sz="8" w:space="0" w:color="000000"/>
              <w:right w:val="single" w:sz="4" w:space="0" w:color="auto"/>
            </w:tcBorders>
            <w:vAlign w:val="center"/>
          </w:tcPr>
          <w:p w:rsidR="000A7401" w:rsidRPr="009074C7" w:rsidRDefault="000A7401" w:rsidP="00E62AE7">
            <w:pPr>
              <w:spacing w:after="120" w:line="288" w:lineRule="auto"/>
              <w:rPr>
                <w:rFonts w:cs="Arial"/>
                <w:color w:val="000000"/>
                <w:sz w:val="22"/>
                <w:szCs w:val="20"/>
                <w:lang w:eastAsia="en-US"/>
              </w:rPr>
            </w:pPr>
            <w:r w:rsidRPr="009074C7">
              <w:rPr>
                <w:rFonts w:cs="Arial"/>
                <w:color w:val="000000"/>
                <w:szCs w:val="20"/>
              </w:rPr>
              <w:t>0.3* (2.63)</w:t>
            </w:r>
          </w:p>
        </w:tc>
      </w:tr>
      <w:tr w:rsidR="000A7401" w:rsidRPr="00BD7309" w:rsidTr="00D31B8E">
        <w:trPr>
          <w:trHeight w:val="397"/>
        </w:trPr>
        <w:tc>
          <w:tcPr>
            <w:tcW w:w="2775" w:type="dxa"/>
            <w:tcBorders>
              <w:top w:val="nil"/>
              <w:left w:val="single" w:sz="8" w:space="0" w:color="000000"/>
              <w:bottom w:val="single" w:sz="8" w:space="0" w:color="000000"/>
              <w:right w:val="nil"/>
            </w:tcBorders>
            <w:shd w:val="clear" w:color="auto" w:fill="B8CCE4" w:themeFill="accent1" w:themeFillTint="66"/>
            <w:vAlign w:val="center"/>
            <w:hideMark/>
          </w:tcPr>
          <w:p w:rsidR="000A7401" w:rsidRPr="00BD7309" w:rsidRDefault="000A7401" w:rsidP="00107F8A">
            <w:pPr>
              <w:spacing w:after="200" w:line="276" w:lineRule="auto"/>
              <w:jc w:val="left"/>
              <w:rPr>
                <w:rFonts w:cs="Arial"/>
                <w:color w:val="000000"/>
                <w:sz w:val="22"/>
                <w:szCs w:val="20"/>
                <w:lang w:eastAsia="en-US"/>
              </w:rPr>
            </w:pPr>
            <w:r>
              <w:rPr>
                <w:rFonts w:cs="Arial"/>
                <w:color w:val="000000"/>
                <w:szCs w:val="20"/>
              </w:rPr>
              <w:t>Compulsory language and m</w:t>
            </w:r>
            <w:r w:rsidRPr="00BD7309">
              <w:rPr>
                <w:rFonts w:cs="Arial"/>
                <w:color w:val="000000"/>
                <w:szCs w:val="20"/>
              </w:rPr>
              <w:t xml:space="preserve">aths </w:t>
            </w:r>
            <w:r>
              <w:rPr>
                <w:rFonts w:cs="Arial"/>
                <w:color w:val="000000"/>
                <w:szCs w:val="20"/>
              </w:rPr>
              <w:t>(N:17)</w:t>
            </w:r>
          </w:p>
        </w:tc>
        <w:tc>
          <w:tcPr>
            <w:tcW w:w="2993" w:type="dxa"/>
            <w:tcBorders>
              <w:top w:val="nil"/>
              <w:left w:val="single" w:sz="8" w:space="0" w:color="000000"/>
              <w:bottom w:val="single" w:sz="8" w:space="0" w:color="000000"/>
              <w:right w:val="single" w:sz="8" w:space="0" w:color="000000"/>
            </w:tcBorders>
            <w:vAlign w:val="center"/>
            <w:hideMark/>
          </w:tcPr>
          <w:p w:rsidR="000A7401" w:rsidRPr="00BD7309" w:rsidRDefault="000A7401" w:rsidP="00E62AE7">
            <w:pPr>
              <w:spacing w:after="120" w:line="288" w:lineRule="auto"/>
              <w:rPr>
                <w:rFonts w:cs="Arial"/>
                <w:color w:val="000000"/>
                <w:sz w:val="22"/>
                <w:szCs w:val="20"/>
                <w:lang w:eastAsia="en-US"/>
              </w:rPr>
            </w:pPr>
            <w:r w:rsidRPr="00BD7309">
              <w:rPr>
                <w:rFonts w:cs="Arial"/>
                <w:color w:val="000000"/>
                <w:szCs w:val="20"/>
              </w:rPr>
              <w:t>1.15***** (0.34)</w:t>
            </w:r>
          </w:p>
        </w:tc>
        <w:tc>
          <w:tcPr>
            <w:tcW w:w="3020" w:type="dxa"/>
            <w:tcBorders>
              <w:top w:val="nil"/>
              <w:left w:val="single" w:sz="8" w:space="0" w:color="000000"/>
              <w:bottom w:val="single" w:sz="8" w:space="0" w:color="000000"/>
              <w:right w:val="single" w:sz="4" w:space="0" w:color="auto"/>
            </w:tcBorders>
            <w:vAlign w:val="center"/>
            <w:hideMark/>
          </w:tcPr>
          <w:p w:rsidR="000A7401" w:rsidRPr="00BD7309" w:rsidRDefault="000A7401" w:rsidP="00E62AE7">
            <w:pPr>
              <w:spacing w:after="120" w:line="288" w:lineRule="auto"/>
              <w:rPr>
                <w:rFonts w:cs="Arial"/>
                <w:color w:val="000000"/>
                <w:sz w:val="22"/>
                <w:szCs w:val="20"/>
                <w:lang w:eastAsia="en-US"/>
              </w:rPr>
            </w:pPr>
            <w:r w:rsidRPr="00BD7309">
              <w:rPr>
                <w:rFonts w:cs="Arial"/>
                <w:color w:val="000000"/>
                <w:szCs w:val="20"/>
              </w:rPr>
              <w:t>1.35***** (0.23)</w:t>
            </w:r>
          </w:p>
        </w:tc>
      </w:tr>
      <w:tr w:rsidR="000A7401" w:rsidRPr="00BD7309" w:rsidTr="00D31B8E">
        <w:trPr>
          <w:trHeight w:val="397"/>
        </w:trPr>
        <w:tc>
          <w:tcPr>
            <w:tcW w:w="2775" w:type="dxa"/>
            <w:tcBorders>
              <w:top w:val="nil"/>
              <w:left w:val="single" w:sz="8" w:space="0" w:color="000000"/>
              <w:bottom w:val="single" w:sz="4" w:space="0" w:color="auto"/>
              <w:right w:val="nil"/>
            </w:tcBorders>
            <w:shd w:val="clear" w:color="auto" w:fill="B8CCE4" w:themeFill="accent1" w:themeFillTint="66"/>
            <w:vAlign w:val="center"/>
            <w:hideMark/>
          </w:tcPr>
          <w:p w:rsidR="000A7401" w:rsidRPr="00BD7309" w:rsidRDefault="000A7401" w:rsidP="00107F8A">
            <w:pPr>
              <w:spacing w:after="120" w:line="288" w:lineRule="auto"/>
              <w:jc w:val="left"/>
              <w:rPr>
                <w:rFonts w:cs="Arial"/>
                <w:color w:val="000000"/>
                <w:sz w:val="22"/>
                <w:szCs w:val="20"/>
                <w:lang w:eastAsia="en-US"/>
              </w:rPr>
            </w:pPr>
            <w:r w:rsidRPr="00BD7309">
              <w:rPr>
                <w:rFonts w:cs="Arial"/>
                <w:color w:val="000000"/>
                <w:szCs w:val="20"/>
              </w:rPr>
              <w:t xml:space="preserve">% Students </w:t>
            </w:r>
            <w:r>
              <w:rPr>
                <w:rFonts w:cs="Arial"/>
                <w:color w:val="000000"/>
                <w:szCs w:val="20"/>
              </w:rPr>
              <w:t>studying m</w:t>
            </w:r>
            <w:r w:rsidRPr="00BD7309">
              <w:rPr>
                <w:rFonts w:cs="Arial"/>
                <w:color w:val="000000"/>
                <w:szCs w:val="20"/>
              </w:rPr>
              <w:t>aths</w:t>
            </w:r>
            <w:r>
              <w:rPr>
                <w:rFonts w:cs="Arial"/>
                <w:color w:val="000000"/>
                <w:szCs w:val="20"/>
              </w:rPr>
              <w:t xml:space="preserve"> (N:19)</w:t>
            </w:r>
          </w:p>
        </w:tc>
        <w:tc>
          <w:tcPr>
            <w:tcW w:w="2993" w:type="dxa"/>
            <w:tcBorders>
              <w:top w:val="nil"/>
              <w:left w:val="single" w:sz="8" w:space="0" w:color="000000"/>
              <w:bottom w:val="single" w:sz="4" w:space="0" w:color="auto"/>
              <w:right w:val="single" w:sz="8" w:space="0" w:color="000000"/>
            </w:tcBorders>
            <w:vAlign w:val="center"/>
            <w:hideMark/>
          </w:tcPr>
          <w:p w:rsidR="000A7401" w:rsidRPr="00BD7309" w:rsidRDefault="000A7401" w:rsidP="00E62AE7">
            <w:pPr>
              <w:spacing w:after="120" w:line="288" w:lineRule="auto"/>
              <w:rPr>
                <w:rFonts w:cs="Arial"/>
                <w:color w:val="000000"/>
                <w:sz w:val="22"/>
                <w:szCs w:val="20"/>
                <w:lang w:eastAsia="en-US"/>
              </w:rPr>
            </w:pPr>
            <w:r w:rsidRPr="00BD7309">
              <w:rPr>
                <w:rFonts w:cs="Arial"/>
                <w:color w:val="000000"/>
                <w:szCs w:val="20"/>
              </w:rPr>
              <w:t>0.69***** (0.17)</w:t>
            </w:r>
          </w:p>
        </w:tc>
        <w:tc>
          <w:tcPr>
            <w:tcW w:w="3020" w:type="dxa"/>
            <w:tcBorders>
              <w:top w:val="nil"/>
              <w:left w:val="single" w:sz="8" w:space="0" w:color="000000"/>
              <w:bottom w:val="single" w:sz="4" w:space="0" w:color="auto"/>
              <w:right w:val="single" w:sz="4" w:space="0" w:color="auto"/>
            </w:tcBorders>
            <w:vAlign w:val="center"/>
            <w:hideMark/>
          </w:tcPr>
          <w:p w:rsidR="000A7401" w:rsidRPr="00BD7309" w:rsidRDefault="000A7401" w:rsidP="00E62AE7">
            <w:pPr>
              <w:spacing w:after="120" w:line="288" w:lineRule="auto"/>
              <w:rPr>
                <w:rFonts w:cs="Arial"/>
                <w:color w:val="000000"/>
                <w:sz w:val="22"/>
                <w:szCs w:val="20"/>
                <w:lang w:eastAsia="en-US"/>
              </w:rPr>
            </w:pPr>
            <w:r w:rsidRPr="00BD7309">
              <w:rPr>
                <w:rFonts w:cs="Arial"/>
                <w:color w:val="000000"/>
                <w:szCs w:val="20"/>
              </w:rPr>
              <w:t>0.64***** (0.15)</w:t>
            </w:r>
          </w:p>
        </w:tc>
      </w:tr>
      <w:tr w:rsidR="00BD7309" w:rsidRPr="00BD7309" w:rsidTr="00107F8A">
        <w:trPr>
          <w:trHeight w:val="210"/>
        </w:trPr>
        <w:tc>
          <w:tcPr>
            <w:tcW w:w="8788" w:type="dxa"/>
            <w:gridSpan w:val="3"/>
            <w:tcBorders>
              <w:top w:val="single" w:sz="4" w:space="0" w:color="auto"/>
              <w:left w:val="nil"/>
              <w:bottom w:val="single" w:sz="4" w:space="0" w:color="auto"/>
              <w:right w:val="nil"/>
            </w:tcBorders>
          </w:tcPr>
          <w:p w:rsidR="00BD7309" w:rsidRPr="00C358E2" w:rsidRDefault="00BD7309" w:rsidP="00E62AE7">
            <w:pPr>
              <w:spacing w:after="120" w:line="288" w:lineRule="auto"/>
              <w:rPr>
                <w:rFonts w:cs="Arial"/>
                <w:color w:val="000000"/>
                <w:sz w:val="16"/>
                <w:szCs w:val="16"/>
                <w:lang w:eastAsia="en-US"/>
              </w:rPr>
            </w:pPr>
            <w:r w:rsidRPr="00C358E2">
              <w:rPr>
                <w:rFonts w:cs="Arial"/>
                <w:color w:val="000000"/>
                <w:sz w:val="16"/>
                <w:szCs w:val="16"/>
              </w:rPr>
              <w:t xml:space="preserve">***** p &lt; 0.01, **** p&lt;0.05, *** p&lt;0.1, ** p &lt; 0.2, * p &lt; 0.3 </w:t>
            </w:r>
          </w:p>
        </w:tc>
      </w:tr>
      <w:tr w:rsidR="00BD7309" w:rsidRPr="000A7401" w:rsidTr="00107F8A">
        <w:trPr>
          <w:trHeight w:val="794"/>
        </w:trPr>
        <w:tc>
          <w:tcPr>
            <w:tcW w:w="8788" w:type="dxa"/>
            <w:gridSpan w:val="3"/>
            <w:tcBorders>
              <w:top w:val="single" w:sz="4" w:space="0" w:color="auto"/>
              <w:left w:val="nil"/>
              <w:bottom w:val="nil"/>
              <w:right w:val="nil"/>
            </w:tcBorders>
          </w:tcPr>
          <w:p w:rsidR="00BD7309" w:rsidRPr="000A7401" w:rsidRDefault="00BD7309" w:rsidP="00107F8A">
            <w:pPr>
              <w:rPr>
                <w:rFonts w:cs="Arial"/>
                <w:i/>
                <w:color w:val="000000"/>
                <w:sz w:val="22"/>
                <w:szCs w:val="20"/>
                <w:lang w:eastAsia="en-US"/>
              </w:rPr>
            </w:pPr>
            <w:r w:rsidRPr="000A7401">
              <w:rPr>
                <w:rFonts w:cs="Arial"/>
                <w:i/>
                <w:color w:val="000000"/>
                <w:sz w:val="16"/>
                <w:szCs w:val="16"/>
              </w:rPr>
              <w:t>Notes:</w:t>
            </w:r>
            <w:r w:rsidRPr="000A7401">
              <w:rPr>
                <w:rFonts w:cs="Arial"/>
                <w:b/>
                <w:i/>
                <w:color w:val="000000"/>
                <w:sz w:val="16"/>
                <w:szCs w:val="16"/>
              </w:rPr>
              <w:t xml:space="preserve"> </w:t>
            </w:r>
            <w:r w:rsidR="00107F8A" w:rsidRPr="000A7401">
              <w:rPr>
                <w:rFonts w:cs="Arial"/>
                <w:b/>
                <w:i/>
                <w:color w:val="000000"/>
                <w:sz w:val="16"/>
                <w:szCs w:val="16"/>
              </w:rPr>
              <w:t xml:space="preserve">Enrolment rate: </w:t>
            </w:r>
            <w:r w:rsidR="00107F8A" w:rsidRPr="000A7401">
              <w:rPr>
                <w:rFonts w:cs="Arial"/>
                <w:i/>
                <w:color w:val="000000"/>
                <w:sz w:val="16"/>
                <w:szCs w:val="16"/>
              </w:rPr>
              <w:t xml:space="preserve">unit of measurement is a 10% increase; </w:t>
            </w:r>
            <w:r w:rsidRPr="000A7401">
              <w:rPr>
                <w:rFonts w:cs="Arial"/>
                <w:b/>
                <w:i/>
                <w:color w:val="000000"/>
                <w:sz w:val="16"/>
                <w:szCs w:val="16"/>
              </w:rPr>
              <w:t>Compulsory language and maths</w:t>
            </w:r>
            <w:r w:rsidRPr="000A7401">
              <w:rPr>
                <w:rFonts w:cs="Arial"/>
                <w:i/>
                <w:color w:val="000000"/>
                <w:sz w:val="16"/>
                <w:szCs w:val="16"/>
              </w:rPr>
              <w:t xml:space="preserve">: 2: </w:t>
            </w:r>
            <w:r w:rsidRPr="000A7401">
              <w:rPr>
                <w:i/>
                <w:sz w:val="16"/>
                <w:szCs w:val="16"/>
              </w:rPr>
              <w:t xml:space="preserve">Language and </w:t>
            </w:r>
            <w:r w:rsidR="007115DD" w:rsidRPr="000A7401">
              <w:rPr>
                <w:i/>
                <w:sz w:val="16"/>
                <w:szCs w:val="16"/>
              </w:rPr>
              <w:t>m</w:t>
            </w:r>
            <w:r w:rsidRPr="000A7401">
              <w:rPr>
                <w:i/>
                <w:sz w:val="16"/>
                <w:szCs w:val="16"/>
              </w:rPr>
              <w:t xml:space="preserve">aths compulsory in both upper secondary tracks; 1: Either </w:t>
            </w:r>
            <w:r w:rsidR="007115DD" w:rsidRPr="000A7401">
              <w:rPr>
                <w:i/>
                <w:sz w:val="16"/>
                <w:szCs w:val="16"/>
              </w:rPr>
              <w:t>n</w:t>
            </w:r>
            <w:r w:rsidRPr="000A7401">
              <w:rPr>
                <w:i/>
                <w:sz w:val="16"/>
                <w:szCs w:val="16"/>
              </w:rPr>
              <w:t xml:space="preserve">ational </w:t>
            </w:r>
            <w:r w:rsidR="007115DD" w:rsidRPr="000A7401">
              <w:rPr>
                <w:i/>
                <w:sz w:val="16"/>
                <w:szCs w:val="16"/>
              </w:rPr>
              <w:t>l</w:t>
            </w:r>
            <w:r w:rsidRPr="000A7401">
              <w:rPr>
                <w:i/>
                <w:sz w:val="16"/>
                <w:szCs w:val="16"/>
              </w:rPr>
              <w:t xml:space="preserve">anguage or </w:t>
            </w:r>
            <w:r w:rsidR="007115DD" w:rsidRPr="000A7401">
              <w:rPr>
                <w:i/>
                <w:sz w:val="16"/>
                <w:szCs w:val="16"/>
              </w:rPr>
              <w:t>m</w:t>
            </w:r>
            <w:r w:rsidRPr="000A7401">
              <w:rPr>
                <w:i/>
                <w:sz w:val="16"/>
                <w:szCs w:val="16"/>
              </w:rPr>
              <w:t xml:space="preserve">aths is </w:t>
            </w:r>
            <w:r w:rsidR="007115DD" w:rsidRPr="000A7401">
              <w:rPr>
                <w:i/>
                <w:sz w:val="16"/>
                <w:szCs w:val="16"/>
              </w:rPr>
              <w:t>c</w:t>
            </w:r>
            <w:r w:rsidRPr="000A7401">
              <w:rPr>
                <w:i/>
                <w:sz w:val="16"/>
                <w:szCs w:val="16"/>
              </w:rPr>
              <w:t>ompulsory; 0: Neither are compulsory in all programmes</w:t>
            </w:r>
            <w:r w:rsidR="00107F8A" w:rsidRPr="000A7401">
              <w:rPr>
                <w:i/>
                <w:sz w:val="16"/>
                <w:szCs w:val="16"/>
              </w:rPr>
              <w:t xml:space="preserve">; </w:t>
            </w:r>
            <w:r w:rsidRPr="000A7401">
              <w:rPr>
                <w:b/>
                <w:i/>
                <w:sz w:val="16"/>
                <w:szCs w:val="16"/>
              </w:rPr>
              <w:t xml:space="preserve">% Students </w:t>
            </w:r>
            <w:r w:rsidR="007115DD" w:rsidRPr="000A7401">
              <w:rPr>
                <w:b/>
                <w:i/>
                <w:sz w:val="16"/>
                <w:szCs w:val="16"/>
              </w:rPr>
              <w:t>studying m</w:t>
            </w:r>
            <w:r w:rsidRPr="000A7401">
              <w:rPr>
                <w:b/>
                <w:i/>
                <w:sz w:val="16"/>
                <w:szCs w:val="16"/>
              </w:rPr>
              <w:t>aths</w:t>
            </w:r>
            <w:r w:rsidRPr="000A7401">
              <w:rPr>
                <w:i/>
                <w:sz w:val="16"/>
                <w:szCs w:val="16"/>
              </w:rPr>
              <w:t xml:space="preserve">: Proportions of </w:t>
            </w:r>
            <w:r w:rsidR="007115DD" w:rsidRPr="000A7401">
              <w:rPr>
                <w:i/>
                <w:sz w:val="16"/>
                <w:szCs w:val="16"/>
              </w:rPr>
              <w:t>u</w:t>
            </w:r>
            <w:r w:rsidRPr="000A7401">
              <w:rPr>
                <w:i/>
                <w:sz w:val="16"/>
                <w:szCs w:val="16"/>
              </w:rPr>
              <w:t xml:space="preserve">pper </w:t>
            </w:r>
            <w:r w:rsidR="007115DD" w:rsidRPr="000A7401">
              <w:rPr>
                <w:i/>
                <w:sz w:val="16"/>
                <w:szCs w:val="16"/>
              </w:rPr>
              <w:t>s</w:t>
            </w:r>
            <w:r w:rsidRPr="000A7401">
              <w:rPr>
                <w:i/>
                <w:sz w:val="16"/>
                <w:szCs w:val="16"/>
              </w:rPr>
              <w:t xml:space="preserve">econdary students studying </w:t>
            </w:r>
            <w:r w:rsidR="007115DD" w:rsidRPr="000A7401">
              <w:rPr>
                <w:i/>
                <w:sz w:val="16"/>
                <w:szCs w:val="16"/>
              </w:rPr>
              <w:t>m</w:t>
            </w:r>
            <w:r w:rsidRPr="000A7401">
              <w:rPr>
                <w:i/>
                <w:sz w:val="16"/>
                <w:szCs w:val="16"/>
              </w:rPr>
              <w:t>aths (1: 0-5%; 2: 6-20%; 3: 21-50%; 4: 51-80%; 5: 81-94%)</w:t>
            </w:r>
          </w:p>
        </w:tc>
      </w:tr>
    </w:tbl>
    <w:p w:rsidR="00107F8A" w:rsidRDefault="00107F8A" w:rsidP="00107F8A">
      <w:pPr>
        <w:shd w:val="clear" w:color="auto" w:fill="FFFFFF"/>
        <w:spacing w:after="120" w:line="288" w:lineRule="auto"/>
      </w:pPr>
    </w:p>
    <w:p w:rsidR="00107F8A" w:rsidRPr="001E31D3" w:rsidRDefault="00107F8A" w:rsidP="00107F8A">
      <w:pPr>
        <w:shd w:val="clear" w:color="auto" w:fill="FFFFFF"/>
        <w:spacing w:after="120" w:line="288" w:lineRule="auto"/>
      </w:pPr>
      <w:r w:rsidRPr="001E31D3">
        <w:t xml:space="preserve">A </w:t>
      </w:r>
      <w:r w:rsidRPr="001E31D3">
        <w:rPr>
          <w:b/>
          <w:color w:val="1F497D" w:themeColor="text2"/>
        </w:rPr>
        <w:t>higher enrolment rate at 17 and 18</w:t>
      </w:r>
      <w:r w:rsidRPr="001E31D3">
        <w:t xml:space="preserve"> contributes to boost both literacy and numeracy competences. In our sample, an increase of 10% in the enrolment rate is associated with an upward shift in the rank ordering of 0.59 positions in literacy and 0.68 in numeracy (both with significance at p &lt; 0.01 level). Similarly, the indicator of the </w:t>
      </w:r>
      <w:r w:rsidRPr="001E31D3">
        <w:rPr>
          <w:b/>
          <w:color w:val="1F497D" w:themeColor="text2"/>
        </w:rPr>
        <w:t>proportion studying maths in upper secondary education and training</w:t>
      </w:r>
      <w:r w:rsidRPr="001E31D3">
        <w:rPr>
          <w:color w:val="1F497D" w:themeColor="text2"/>
        </w:rPr>
        <w:t xml:space="preserve"> </w:t>
      </w:r>
      <w:r w:rsidRPr="001E31D3">
        <w:t xml:space="preserve">has a positive effect on both literacy and numeracy. The indicator of </w:t>
      </w:r>
      <w:r w:rsidRPr="001E31D3">
        <w:rPr>
          <w:color w:val="1F497D" w:themeColor="text2"/>
        </w:rPr>
        <w:t xml:space="preserve">the </w:t>
      </w:r>
      <w:r w:rsidR="00611986" w:rsidRPr="001E31D3">
        <w:rPr>
          <w:b/>
          <w:color w:val="1F497D" w:themeColor="text2"/>
        </w:rPr>
        <w:t xml:space="preserve">compulsory </w:t>
      </w:r>
      <w:r w:rsidRPr="001E31D3">
        <w:rPr>
          <w:b/>
          <w:color w:val="1F497D" w:themeColor="text2"/>
        </w:rPr>
        <w:t>maths and national language learning</w:t>
      </w:r>
      <w:r w:rsidRPr="001E31D3">
        <w:t xml:space="preserve"> </w:t>
      </w:r>
      <w:r w:rsidR="00611986" w:rsidRPr="001E31D3">
        <w:t>shows that t</w:t>
      </w:r>
      <w:r w:rsidRPr="001E31D3">
        <w:t xml:space="preserve">he introduction of the compulsory tuition </w:t>
      </w:r>
      <w:r w:rsidR="007115DD" w:rsidRPr="001E31D3">
        <w:t>of</w:t>
      </w:r>
      <w:r w:rsidRPr="001E31D3">
        <w:t xml:space="preserve"> an additional subject is associated with an improvement of the position in literacy of 1.35 positions and in numeracy of 1.35 positions (both with significance at the p &lt; 0.01 level). </w:t>
      </w:r>
      <w:r w:rsidR="00611986" w:rsidRPr="001E31D3">
        <w:t>Figure 6.5 illustrates these patterns for enrolment rates at age 17/18 variable.</w:t>
      </w:r>
    </w:p>
    <w:p w:rsidR="006C0A3B" w:rsidRPr="00611986" w:rsidRDefault="006C0A3B" w:rsidP="006C0A3B">
      <w:pPr>
        <w:pStyle w:val="Caption"/>
        <w:spacing w:before="0" w:after="120" w:line="288" w:lineRule="auto"/>
        <w:rPr>
          <w:rFonts w:ascii="Verdana" w:hAnsi="Verdana"/>
          <w:b w:val="0"/>
          <w:color w:val="1F497D" w:themeColor="text2"/>
          <w:sz w:val="20"/>
        </w:rPr>
      </w:pPr>
      <w:r w:rsidRPr="00611986">
        <w:rPr>
          <w:rFonts w:ascii="Verdana" w:hAnsi="Verdana"/>
          <w:b w:val="0"/>
          <w:color w:val="1F497D" w:themeColor="text2"/>
          <w:sz w:val="20"/>
        </w:rPr>
        <w:t xml:space="preserve">Figure </w:t>
      </w:r>
      <w:r w:rsidR="00611986" w:rsidRPr="00611986">
        <w:rPr>
          <w:rFonts w:ascii="Verdana" w:hAnsi="Verdana"/>
          <w:b w:val="0"/>
          <w:color w:val="1F497D" w:themeColor="text2"/>
          <w:sz w:val="20"/>
        </w:rPr>
        <w:t>6.5</w:t>
      </w:r>
      <w:r w:rsidR="009074C7">
        <w:rPr>
          <w:rFonts w:ascii="Verdana" w:hAnsi="Verdana"/>
          <w:b w:val="0"/>
          <w:color w:val="1F497D" w:themeColor="text2"/>
          <w:sz w:val="20"/>
        </w:rPr>
        <w:t xml:space="preserve"> </w:t>
      </w:r>
      <w:r w:rsidRPr="00611986">
        <w:rPr>
          <w:rFonts w:ascii="Verdana" w:hAnsi="Verdana"/>
          <w:b w:val="0"/>
          <w:color w:val="1F497D" w:themeColor="text2"/>
          <w:sz w:val="20"/>
        </w:rPr>
        <w:t xml:space="preserve">The effects of enrolment rates at age 17/18 </w:t>
      </w:r>
    </w:p>
    <w:p w:rsidR="006C0A3B" w:rsidRPr="00065622" w:rsidRDefault="006C0A3B" w:rsidP="006C0A3B">
      <w:pPr>
        <w:spacing w:after="120" w:line="288" w:lineRule="auto"/>
        <w:rPr>
          <w:rFonts w:cs="Arial"/>
          <w:color w:val="auto"/>
          <w:sz w:val="22"/>
          <w:szCs w:val="20"/>
          <w:highlight w:val="yellow"/>
        </w:rPr>
      </w:pPr>
      <w:r w:rsidRPr="00065622">
        <w:rPr>
          <w:noProof/>
          <w:highlight w:val="yellow"/>
          <w:lang w:val="en-US" w:eastAsia="en-US"/>
        </w:rPr>
        <w:drawing>
          <wp:inline distT="0" distB="0" distL="0" distR="0" wp14:anchorId="0A0B0278" wp14:editId="636A5D9B">
            <wp:extent cx="5580000" cy="3240000"/>
            <wp:effectExtent l="0" t="0" r="1905" b="0"/>
            <wp:docPr id="304" name="Chart 30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0A7401" w:rsidRPr="00067EA4" w:rsidRDefault="000A7401" w:rsidP="009074C7">
      <w:pPr>
        <w:spacing w:after="120" w:line="288" w:lineRule="auto"/>
        <w:rPr>
          <w:rFonts w:cs="Arial"/>
          <w:i/>
          <w:sz w:val="16"/>
          <w:szCs w:val="16"/>
        </w:rPr>
      </w:pPr>
      <w:r w:rsidRPr="00067EA4">
        <w:rPr>
          <w:rFonts w:cs="Arial"/>
          <w:i/>
          <w:sz w:val="16"/>
          <w:szCs w:val="16"/>
        </w:rPr>
        <w:t>Notes: Own analysis based on PIAAC data and</w:t>
      </w:r>
      <w:r>
        <w:rPr>
          <w:rFonts w:cs="Arial"/>
          <w:i/>
          <w:sz w:val="16"/>
          <w:szCs w:val="16"/>
        </w:rPr>
        <w:t xml:space="preserve"> data from</w:t>
      </w:r>
      <w:r w:rsidRPr="00067EA4">
        <w:rPr>
          <w:rFonts w:cs="Arial"/>
          <w:i/>
          <w:sz w:val="16"/>
          <w:szCs w:val="16"/>
        </w:rPr>
        <w:t xml:space="preserve"> OECD, Education at a Glance 2001: 131</w:t>
      </w:r>
    </w:p>
    <w:p w:rsidR="006C0A3B" w:rsidRPr="00107F8A" w:rsidRDefault="006C0A3B" w:rsidP="009074C7">
      <w:pPr>
        <w:spacing w:after="120" w:line="288" w:lineRule="auto"/>
        <w:rPr>
          <w:rFonts w:cs="Arial"/>
          <w:szCs w:val="20"/>
        </w:rPr>
      </w:pPr>
      <w:r w:rsidRPr="00107F8A">
        <w:rPr>
          <w:rFonts w:cs="Arial"/>
          <w:szCs w:val="20"/>
        </w:rPr>
        <w:t>These results seem quite intuitive. Where more people are enrolled for longer in upper secondary education and training</w:t>
      </w:r>
      <w:r w:rsidR="007115DD">
        <w:rPr>
          <w:rFonts w:cs="Arial"/>
          <w:szCs w:val="20"/>
        </w:rPr>
        <w:t>,</w:t>
      </w:r>
      <w:r w:rsidRPr="00107F8A">
        <w:rPr>
          <w:rFonts w:cs="Arial"/>
          <w:szCs w:val="20"/>
        </w:rPr>
        <w:t xml:space="preserve"> they are likely to be receiving more continuing tuition in the subjects which most affe</w:t>
      </w:r>
      <w:r w:rsidR="009074C7">
        <w:rPr>
          <w:rFonts w:cs="Arial"/>
          <w:szCs w:val="20"/>
        </w:rPr>
        <w:t xml:space="preserve">ct literacy and numeracy competence </w:t>
      </w:r>
      <w:r w:rsidRPr="00107F8A">
        <w:rPr>
          <w:rFonts w:cs="Arial"/>
          <w:szCs w:val="20"/>
        </w:rPr>
        <w:t>acquisition (i.e. the national language and maths). Not all students in upper secondary education and training do follow these subjects but</w:t>
      </w:r>
      <w:r w:rsidR="007115DD">
        <w:rPr>
          <w:rFonts w:cs="Arial"/>
          <w:szCs w:val="20"/>
        </w:rPr>
        <w:t>,</w:t>
      </w:r>
      <w:r w:rsidRPr="00107F8A">
        <w:rPr>
          <w:rFonts w:cs="Arial"/>
          <w:szCs w:val="20"/>
        </w:rPr>
        <w:t xml:space="preserve"> where the proportion of young people studying maths is highest</w:t>
      </w:r>
      <w:r w:rsidR="007115DD">
        <w:rPr>
          <w:rFonts w:cs="Arial"/>
          <w:szCs w:val="20"/>
        </w:rPr>
        <w:t>,</w:t>
      </w:r>
      <w:r w:rsidRPr="00107F8A">
        <w:rPr>
          <w:rFonts w:cs="Arial"/>
          <w:szCs w:val="20"/>
        </w:rPr>
        <w:t xml:space="preserve"> improvements in country </w:t>
      </w:r>
      <w:r w:rsidR="009074C7">
        <w:rPr>
          <w:rFonts w:cs="Arial"/>
          <w:szCs w:val="20"/>
        </w:rPr>
        <w:t>competence</w:t>
      </w:r>
      <w:r w:rsidRPr="00107F8A">
        <w:rPr>
          <w:rFonts w:cs="Arial"/>
          <w:szCs w:val="20"/>
        </w:rPr>
        <w:t xml:space="preserve"> rankings are greatest. The fact that this effect applies equally to literacy </w:t>
      </w:r>
      <w:r w:rsidR="009074C7">
        <w:rPr>
          <w:rFonts w:cs="Arial"/>
          <w:szCs w:val="20"/>
        </w:rPr>
        <w:t xml:space="preserve">and </w:t>
      </w:r>
      <w:r w:rsidRPr="00107F8A">
        <w:rPr>
          <w:rFonts w:cs="Arial"/>
          <w:szCs w:val="20"/>
        </w:rPr>
        <w:t>numeracy is not difficult to explain. Countries which have mandatory numeracy tuition in all upper secondary programmes also tend to have mandatory l</w:t>
      </w:r>
      <w:r w:rsidR="009074C7">
        <w:rPr>
          <w:rFonts w:cs="Arial"/>
          <w:szCs w:val="20"/>
        </w:rPr>
        <w:t>iteracy provision (Hodgen et al</w:t>
      </w:r>
      <w:r w:rsidRPr="00107F8A">
        <w:rPr>
          <w:rFonts w:cs="Arial"/>
          <w:szCs w:val="20"/>
        </w:rPr>
        <w:t xml:space="preserve"> 2010). It is surprising perhaps that participation at 17/18 has a more significant effect than level 3 completion rates. </w:t>
      </w:r>
    </w:p>
    <w:p w:rsidR="006C0A3B" w:rsidRPr="009074C7" w:rsidRDefault="006C0A3B" w:rsidP="009074C7">
      <w:pPr>
        <w:spacing w:after="120" w:line="288" w:lineRule="auto"/>
        <w:rPr>
          <w:rFonts w:cs="Arial"/>
          <w:szCs w:val="20"/>
        </w:rPr>
      </w:pPr>
      <w:r w:rsidRPr="00107F8A">
        <w:rPr>
          <w:rFonts w:cs="Arial"/>
          <w:szCs w:val="20"/>
        </w:rPr>
        <w:t xml:space="preserve">The best performing countries on both the enrolment and the maths participation measures include the Nordic countries (Type 1 and Type 2b) and Germany (Type 3) which are all amongst those which perform relatively well in terms of </w:t>
      </w:r>
      <w:r w:rsidR="009074C7">
        <w:rPr>
          <w:rFonts w:cs="Arial"/>
          <w:szCs w:val="20"/>
        </w:rPr>
        <w:t>improvement</w:t>
      </w:r>
      <w:r w:rsidRPr="00107F8A">
        <w:rPr>
          <w:rFonts w:cs="Arial"/>
          <w:szCs w:val="20"/>
        </w:rPr>
        <w:t xml:space="preserve"> in country </w:t>
      </w:r>
      <w:r w:rsidR="009074C7">
        <w:rPr>
          <w:rFonts w:cs="Arial"/>
          <w:szCs w:val="20"/>
        </w:rPr>
        <w:t>competence</w:t>
      </w:r>
      <w:r w:rsidRPr="00107F8A">
        <w:rPr>
          <w:rFonts w:cs="Arial"/>
          <w:szCs w:val="20"/>
        </w:rPr>
        <w:t xml:space="preserve"> rankings. The worst performing countries on these measures are those with mixed systems which include Spain and all the Anglophone countries bar Canada. They also perform </w:t>
      </w:r>
      <w:r w:rsidR="007115DD">
        <w:rPr>
          <w:rFonts w:cs="Arial"/>
          <w:szCs w:val="20"/>
        </w:rPr>
        <w:t xml:space="preserve">least well </w:t>
      </w:r>
      <w:r w:rsidR="009074C7">
        <w:rPr>
          <w:rFonts w:cs="Arial"/>
          <w:szCs w:val="20"/>
        </w:rPr>
        <w:t>on improvements in country competence</w:t>
      </w:r>
      <w:r w:rsidRPr="00107F8A">
        <w:rPr>
          <w:rFonts w:cs="Arial"/>
          <w:szCs w:val="20"/>
        </w:rPr>
        <w:t xml:space="preserve"> rankings. </w:t>
      </w:r>
    </w:p>
    <w:p w:rsidR="009074C7" w:rsidRDefault="009074C7" w:rsidP="009074C7">
      <w:pPr>
        <w:spacing w:after="120" w:line="288" w:lineRule="auto"/>
        <w:jc w:val="left"/>
        <w:rPr>
          <w:b/>
          <w:color w:val="1F497D" w:themeColor="text2"/>
        </w:rPr>
      </w:pPr>
      <w:r>
        <w:rPr>
          <w:b/>
          <w:color w:val="1F497D" w:themeColor="text2"/>
        </w:rPr>
        <w:br w:type="page"/>
      </w:r>
    </w:p>
    <w:p w:rsidR="00065622" w:rsidRPr="009074C7" w:rsidRDefault="00065622" w:rsidP="00065622">
      <w:pPr>
        <w:spacing w:after="120" w:line="288" w:lineRule="auto"/>
        <w:rPr>
          <w:b/>
          <w:color w:val="1F497D" w:themeColor="text2"/>
        </w:rPr>
      </w:pPr>
      <w:r w:rsidRPr="009074C7">
        <w:rPr>
          <w:b/>
          <w:color w:val="1F497D" w:themeColor="text2"/>
        </w:rPr>
        <w:t xml:space="preserve">Negative effects </w:t>
      </w:r>
    </w:p>
    <w:p w:rsidR="00067EA4" w:rsidRDefault="00BD7309" w:rsidP="00065622">
      <w:pPr>
        <w:spacing w:after="120" w:line="288" w:lineRule="auto"/>
      </w:pPr>
      <w:r w:rsidRPr="00BD7309">
        <w:t xml:space="preserve">Two factors are identified </w:t>
      </w:r>
      <w:r w:rsidR="009074C7">
        <w:t>to have</w:t>
      </w:r>
      <w:r w:rsidRPr="00BD7309">
        <w:t xml:space="preserve"> significant negative effects on both literacy and numeracy (social gradient of ISC</w:t>
      </w:r>
      <w:r w:rsidR="009074C7">
        <w:t>E</w:t>
      </w:r>
      <w:r w:rsidRPr="00BD7309">
        <w:t xml:space="preserve">D 3 completion and standardisation of outputs). </w:t>
      </w:r>
    </w:p>
    <w:p w:rsidR="00BD7309" w:rsidRPr="00BD7309" w:rsidRDefault="00833041" w:rsidP="00065622">
      <w:pPr>
        <w:spacing w:after="120" w:line="288" w:lineRule="auto"/>
        <w:rPr>
          <w:rFonts w:cstheme="minorBidi"/>
          <w:b/>
          <w:i/>
          <w:szCs w:val="22"/>
          <w:highlight w:val="yellow"/>
        </w:rPr>
      </w:pPr>
      <w:r>
        <w:rPr>
          <w:rFonts w:cs="Arial"/>
          <w:i/>
          <w:szCs w:val="20"/>
        </w:rPr>
        <w:t>E</w:t>
      </w:r>
      <w:r w:rsidR="009074C7">
        <w:rPr>
          <w:rFonts w:cs="Arial"/>
          <w:i/>
          <w:szCs w:val="20"/>
        </w:rPr>
        <w:t>ducational equity</w:t>
      </w:r>
    </w:p>
    <w:p w:rsidR="003D68D9" w:rsidRDefault="009074C7" w:rsidP="009074C7">
      <w:pPr>
        <w:spacing w:after="120" w:line="288" w:lineRule="auto"/>
      </w:pPr>
      <w:r w:rsidRPr="009074C7">
        <w:t xml:space="preserve">The </w:t>
      </w:r>
      <w:r w:rsidRPr="009074C7">
        <w:rPr>
          <w:b/>
          <w:color w:val="1F497D" w:themeColor="text2"/>
        </w:rPr>
        <w:t>social gradient of ISCED 3 completion</w:t>
      </w:r>
      <w:r w:rsidRPr="009074C7">
        <w:t xml:space="preserve"> has a highly significant (p&lt;0.01) and consistent negative effect on both literacy (coefficient – 0.54) a</w:t>
      </w:r>
      <w:r>
        <w:t>nd numeracy (coefficient - 0.56). This means that</w:t>
      </w:r>
      <w:r w:rsidR="00E747FA">
        <w:t>,</w:t>
      </w:r>
      <w:r>
        <w:t xml:space="preserve"> if</w:t>
      </w:r>
      <w:r w:rsidRPr="009074C7">
        <w:t xml:space="preserve"> the odds of ISCED 3 completion for students with graduate parents compared with students of non-graduate parents are increased by 1</w:t>
      </w:r>
      <w:r>
        <w:t>,</w:t>
      </w:r>
      <w:r w:rsidRPr="009074C7">
        <w:t xml:space="preserve"> the expected</w:t>
      </w:r>
      <w:r>
        <w:t xml:space="preserve"> negative</w:t>
      </w:r>
      <w:r w:rsidRPr="009074C7">
        <w:t xml:space="preserve"> change in rank ordering for literacy and numeracy is about half a position (see Table 6.4). </w:t>
      </w:r>
    </w:p>
    <w:p w:rsidR="003D68D9" w:rsidRPr="003D68D9" w:rsidRDefault="003D68D9" w:rsidP="003D68D9">
      <w:pPr>
        <w:pStyle w:val="Caption"/>
        <w:spacing w:before="0" w:after="120" w:line="288" w:lineRule="auto"/>
        <w:rPr>
          <w:rFonts w:ascii="Verdana" w:hAnsi="Verdana"/>
          <w:b w:val="0"/>
          <w:sz w:val="20"/>
        </w:rPr>
      </w:pPr>
      <w:r w:rsidRPr="003D68D9">
        <w:rPr>
          <w:rFonts w:ascii="Verdana" w:hAnsi="Verdana"/>
          <w:b w:val="0"/>
          <w:color w:val="1F497D" w:themeColor="text2"/>
          <w:sz w:val="20"/>
        </w:rPr>
        <w:t>Table 6.4</w:t>
      </w:r>
      <w:r>
        <w:rPr>
          <w:rFonts w:ascii="Verdana" w:hAnsi="Verdana"/>
          <w:b w:val="0"/>
          <w:color w:val="1F497D" w:themeColor="text2"/>
          <w:sz w:val="20"/>
        </w:rPr>
        <w:t xml:space="preserve"> </w:t>
      </w:r>
      <w:r w:rsidRPr="003D68D9">
        <w:rPr>
          <w:rFonts w:ascii="Verdana" w:hAnsi="Verdana"/>
          <w:b w:val="0"/>
          <w:color w:val="1F497D" w:themeColor="text2"/>
          <w:sz w:val="20"/>
        </w:rPr>
        <w:t>DID estimates of effects of educational equity</w:t>
      </w:r>
    </w:p>
    <w:tbl>
      <w:tblPr>
        <w:tblW w:w="8788" w:type="dxa"/>
        <w:tblInd w:w="109" w:type="dxa"/>
        <w:tblLook w:val="04A0" w:firstRow="1" w:lastRow="0" w:firstColumn="1" w:lastColumn="0" w:noHBand="0" w:noVBand="1"/>
      </w:tblPr>
      <w:tblGrid>
        <w:gridCol w:w="993"/>
        <w:gridCol w:w="1668"/>
        <w:gridCol w:w="3048"/>
        <w:gridCol w:w="3079"/>
      </w:tblGrid>
      <w:tr w:rsidR="003D68D9" w:rsidRPr="001E31D3" w:rsidTr="003D68D9">
        <w:trPr>
          <w:trHeight w:val="540"/>
        </w:trPr>
        <w:tc>
          <w:tcPr>
            <w:tcW w:w="993" w:type="dxa"/>
            <w:tcBorders>
              <w:top w:val="single" w:sz="4" w:space="0" w:color="auto"/>
              <w:left w:val="single" w:sz="8" w:space="0" w:color="000000"/>
              <w:bottom w:val="single" w:sz="4" w:space="0" w:color="auto"/>
              <w:right w:val="nil"/>
            </w:tcBorders>
            <w:vAlign w:val="center"/>
            <w:hideMark/>
          </w:tcPr>
          <w:p w:rsidR="003D68D9" w:rsidRPr="001E31D3" w:rsidRDefault="003D68D9" w:rsidP="00E62AE7">
            <w:pPr>
              <w:spacing w:after="120" w:line="288" w:lineRule="auto"/>
              <w:rPr>
                <w:rFonts w:cs="Arial"/>
                <w:sz w:val="22"/>
                <w:szCs w:val="20"/>
                <w:lang w:eastAsia="en-US"/>
              </w:rPr>
            </w:pPr>
            <w:r w:rsidRPr="001E31D3">
              <w:rPr>
                <w:rFonts w:cs="Arial"/>
                <w:szCs w:val="20"/>
              </w:rPr>
              <w:t> </w:t>
            </w:r>
          </w:p>
        </w:tc>
        <w:tc>
          <w:tcPr>
            <w:tcW w:w="1668" w:type="dxa"/>
            <w:tcBorders>
              <w:top w:val="single" w:sz="4" w:space="0" w:color="auto"/>
              <w:left w:val="single" w:sz="8" w:space="0" w:color="000000"/>
              <w:bottom w:val="single" w:sz="4" w:space="0" w:color="auto"/>
              <w:right w:val="nil"/>
            </w:tcBorders>
            <w:vAlign w:val="center"/>
            <w:hideMark/>
          </w:tcPr>
          <w:p w:rsidR="003D68D9" w:rsidRPr="001E31D3" w:rsidRDefault="003D68D9" w:rsidP="00E62AE7">
            <w:pPr>
              <w:spacing w:after="120" w:line="288" w:lineRule="auto"/>
              <w:rPr>
                <w:rFonts w:cs="Arial"/>
                <w:sz w:val="22"/>
                <w:szCs w:val="20"/>
                <w:lang w:eastAsia="en-US"/>
              </w:rPr>
            </w:pPr>
            <w:r w:rsidRPr="001E31D3">
              <w:rPr>
                <w:rFonts w:cs="Arial"/>
                <w:szCs w:val="20"/>
              </w:rPr>
              <w:t> </w:t>
            </w:r>
          </w:p>
        </w:tc>
        <w:tc>
          <w:tcPr>
            <w:tcW w:w="3048" w:type="dxa"/>
            <w:tcBorders>
              <w:top w:val="single" w:sz="4" w:space="0" w:color="auto"/>
              <w:left w:val="single" w:sz="8" w:space="0" w:color="000000"/>
              <w:bottom w:val="single" w:sz="4" w:space="0" w:color="auto"/>
              <w:right w:val="single" w:sz="8" w:space="0" w:color="000000"/>
            </w:tcBorders>
            <w:shd w:val="clear" w:color="auto" w:fill="B8CCE4" w:themeFill="accent1" w:themeFillTint="66"/>
            <w:vAlign w:val="center"/>
            <w:hideMark/>
          </w:tcPr>
          <w:p w:rsidR="003D68D9" w:rsidRPr="001E31D3" w:rsidRDefault="003D68D9" w:rsidP="00E62AE7">
            <w:pPr>
              <w:spacing w:after="120" w:line="288" w:lineRule="auto"/>
              <w:rPr>
                <w:rFonts w:cs="Arial"/>
                <w:b/>
                <w:sz w:val="22"/>
                <w:szCs w:val="20"/>
                <w:lang w:eastAsia="en-US"/>
              </w:rPr>
            </w:pPr>
            <w:r w:rsidRPr="001E31D3">
              <w:rPr>
                <w:rFonts w:cs="Arial"/>
                <w:b/>
                <w:szCs w:val="20"/>
              </w:rPr>
              <w:t>Numeracy (quintiles)</w:t>
            </w:r>
          </w:p>
        </w:tc>
        <w:tc>
          <w:tcPr>
            <w:tcW w:w="3079" w:type="dxa"/>
            <w:tcBorders>
              <w:top w:val="single" w:sz="4" w:space="0" w:color="auto"/>
              <w:left w:val="single" w:sz="8" w:space="0" w:color="000000"/>
              <w:bottom w:val="single" w:sz="4" w:space="0" w:color="auto"/>
              <w:right w:val="single" w:sz="4" w:space="0" w:color="auto"/>
            </w:tcBorders>
            <w:shd w:val="clear" w:color="auto" w:fill="B8CCE4" w:themeFill="accent1" w:themeFillTint="66"/>
            <w:vAlign w:val="center"/>
            <w:hideMark/>
          </w:tcPr>
          <w:p w:rsidR="003D68D9" w:rsidRPr="001E31D3" w:rsidRDefault="003D68D9" w:rsidP="00E62AE7">
            <w:pPr>
              <w:spacing w:after="120" w:line="288" w:lineRule="auto"/>
              <w:rPr>
                <w:rFonts w:cs="Arial"/>
                <w:b/>
                <w:sz w:val="22"/>
                <w:szCs w:val="20"/>
                <w:lang w:eastAsia="en-US"/>
              </w:rPr>
            </w:pPr>
            <w:r w:rsidRPr="001E31D3">
              <w:rPr>
                <w:rFonts w:cs="Arial"/>
                <w:b/>
                <w:szCs w:val="20"/>
              </w:rPr>
              <w:t>Literacy (quintiles)</w:t>
            </w:r>
          </w:p>
        </w:tc>
      </w:tr>
      <w:tr w:rsidR="003D68D9" w:rsidRPr="001E31D3" w:rsidTr="003D68D9">
        <w:trPr>
          <w:trHeight w:val="540"/>
        </w:trPr>
        <w:tc>
          <w:tcPr>
            <w:tcW w:w="993" w:type="dxa"/>
            <w:tcBorders>
              <w:top w:val="single" w:sz="4" w:space="0" w:color="auto"/>
              <w:left w:val="single" w:sz="8" w:space="0" w:color="000000"/>
              <w:bottom w:val="single" w:sz="8" w:space="0" w:color="000000"/>
              <w:right w:val="nil"/>
            </w:tcBorders>
            <w:vAlign w:val="center"/>
            <w:hideMark/>
          </w:tcPr>
          <w:p w:rsidR="003D68D9" w:rsidRPr="001E31D3" w:rsidRDefault="003D68D9" w:rsidP="00E62AE7">
            <w:pPr>
              <w:spacing w:after="120" w:line="288" w:lineRule="auto"/>
              <w:rPr>
                <w:rFonts w:cs="Arial"/>
                <w:sz w:val="22"/>
                <w:szCs w:val="20"/>
                <w:lang w:eastAsia="en-US"/>
              </w:rPr>
            </w:pPr>
            <w:r w:rsidRPr="001E31D3">
              <w:rPr>
                <w:rFonts w:cs="Arial"/>
                <w:szCs w:val="20"/>
              </w:rPr>
              <w:t> </w:t>
            </w:r>
          </w:p>
        </w:tc>
        <w:tc>
          <w:tcPr>
            <w:tcW w:w="1668" w:type="dxa"/>
            <w:tcBorders>
              <w:top w:val="single" w:sz="4" w:space="0" w:color="auto"/>
              <w:left w:val="single" w:sz="8" w:space="0" w:color="000000"/>
              <w:bottom w:val="single" w:sz="8" w:space="0" w:color="000000"/>
              <w:right w:val="nil"/>
            </w:tcBorders>
            <w:vAlign w:val="center"/>
            <w:hideMark/>
          </w:tcPr>
          <w:p w:rsidR="003D68D9" w:rsidRPr="001E31D3" w:rsidRDefault="003D68D9" w:rsidP="00E62AE7">
            <w:pPr>
              <w:spacing w:after="120" w:line="288" w:lineRule="auto"/>
              <w:rPr>
                <w:rFonts w:cs="Arial"/>
                <w:sz w:val="22"/>
                <w:szCs w:val="20"/>
                <w:lang w:eastAsia="en-US"/>
              </w:rPr>
            </w:pPr>
            <w:r w:rsidRPr="001E31D3">
              <w:rPr>
                <w:rFonts w:cs="Arial"/>
                <w:szCs w:val="20"/>
              </w:rPr>
              <w:t> </w:t>
            </w:r>
          </w:p>
        </w:tc>
        <w:tc>
          <w:tcPr>
            <w:tcW w:w="3048" w:type="dxa"/>
            <w:tcBorders>
              <w:top w:val="single" w:sz="4" w:space="0" w:color="auto"/>
              <w:left w:val="single" w:sz="8" w:space="0" w:color="000000"/>
              <w:bottom w:val="single" w:sz="8" w:space="0" w:color="000000"/>
              <w:right w:val="single" w:sz="8" w:space="0" w:color="000000"/>
            </w:tcBorders>
            <w:shd w:val="clear" w:color="auto" w:fill="B8CCE4" w:themeFill="accent1" w:themeFillTint="66"/>
            <w:vAlign w:val="center"/>
            <w:hideMark/>
          </w:tcPr>
          <w:p w:rsidR="003D68D9" w:rsidRPr="001E31D3" w:rsidRDefault="003D68D9" w:rsidP="00E62AE7">
            <w:pPr>
              <w:spacing w:after="120" w:line="288" w:lineRule="auto"/>
              <w:rPr>
                <w:rFonts w:cs="Arial"/>
                <w:b/>
                <w:sz w:val="22"/>
                <w:szCs w:val="20"/>
                <w:lang w:eastAsia="en-US"/>
              </w:rPr>
            </w:pPr>
            <w:r w:rsidRPr="001E31D3">
              <w:rPr>
                <w:rFonts w:cs="Arial"/>
                <w:b/>
                <w:szCs w:val="20"/>
              </w:rPr>
              <w:t xml:space="preserve">DID estimate </w:t>
            </w:r>
            <m:oMath>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c>
          <w:tcPr>
            <w:tcW w:w="3079" w:type="dxa"/>
            <w:tcBorders>
              <w:top w:val="single" w:sz="4" w:space="0" w:color="auto"/>
              <w:left w:val="single" w:sz="8" w:space="0" w:color="000000"/>
              <w:bottom w:val="single" w:sz="8" w:space="0" w:color="000000"/>
              <w:right w:val="single" w:sz="4" w:space="0" w:color="auto"/>
            </w:tcBorders>
            <w:shd w:val="clear" w:color="auto" w:fill="B8CCE4" w:themeFill="accent1" w:themeFillTint="66"/>
            <w:vAlign w:val="center"/>
            <w:hideMark/>
          </w:tcPr>
          <w:p w:rsidR="003D68D9" w:rsidRPr="001E31D3" w:rsidRDefault="003D68D9" w:rsidP="00E62AE7">
            <w:pPr>
              <w:spacing w:after="120" w:line="288" w:lineRule="auto"/>
              <w:rPr>
                <w:rFonts w:cs="Arial"/>
                <w:b/>
                <w:sz w:val="22"/>
                <w:szCs w:val="20"/>
                <w:lang w:eastAsia="en-US"/>
              </w:rPr>
            </w:pPr>
            <w:r w:rsidRPr="001E31D3">
              <w:rPr>
                <w:rFonts w:cs="Arial"/>
                <w:b/>
                <w:szCs w:val="20"/>
              </w:rPr>
              <w:t xml:space="preserve">DID estimate </w:t>
            </w:r>
            <m:oMath>
              <m:r>
                <m:rPr>
                  <m:sty m:val="bi"/>
                </m:rPr>
                <w:rPr>
                  <w:rFonts w:ascii="Cambria Math" w:hAnsi="Cambria Math" w:cs="Arial"/>
                  <w:szCs w:val="20"/>
                </w:rPr>
                <m:t>(</m:t>
              </m:r>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r>
      <w:tr w:rsidR="000A7401" w:rsidRPr="001E31D3" w:rsidTr="00D31B8E">
        <w:trPr>
          <w:trHeight w:val="397"/>
        </w:trPr>
        <w:tc>
          <w:tcPr>
            <w:tcW w:w="2661" w:type="dxa"/>
            <w:gridSpan w:val="2"/>
            <w:tcBorders>
              <w:top w:val="nil"/>
              <w:left w:val="single" w:sz="8" w:space="0" w:color="000000"/>
              <w:bottom w:val="single" w:sz="4" w:space="0" w:color="auto"/>
              <w:right w:val="nil"/>
            </w:tcBorders>
            <w:shd w:val="clear" w:color="auto" w:fill="B8CCE4" w:themeFill="accent1" w:themeFillTint="66"/>
            <w:vAlign w:val="center"/>
            <w:hideMark/>
          </w:tcPr>
          <w:p w:rsidR="000A7401" w:rsidRPr="001E31D3" w:rsidRDefault="000A7401" w:rsidP="00E62AE7">
            <w:pPr>
              <w:spacing w:after="120" w:line="288" w:lineRule="auto"/>
              <w:rPr>
                <w:rFonts w:cs="Arial"/>
                <w:szCs w:val="20"/>
              </w:rPr>
            </w:pPr>
            <w:r w:rsidRPr="001E31D3">
              <w:rPr>
                <w:rFonts w:cs="Arial"/>
                <w:szCs w:val="20"/>
              </w:rPr>
              <w:t>ISCED3 social gradient</w:t>
            </w:r>
          </w:p>
          <w:p w:rsidR="000A7401" w:rsidRPr="001E31D3" w:rsidRDefault="000A7401" w:rsidP="00E62AE7">
            <w:pPr>
              <w:spacing w:after="120" w:line="288" w:lineRule="auto"/>
              <w:rPr>
                <w:rFonts w:cs="Arial"/>
                <w:sz w:val="22"/>
                <w:szCs w:val="20"/>
                <w:lang w:eastAsia="en-US"/>
              </w:rPr>
            </w:pPr>
            <w:r w:rsidRPr="001E31D3">
              <w:rPr>
                <w:rFonts w:cs="Arial"/>
                <w:szCs w:val="20"/>
              </w:rPr>
              <w:t>(N:18)</w:t>
            </w:r>
          </w:p>
        </w:tc>
        <w:tc>
          <w:tcPr>
            <w:tcW w:w="3048" w:type="dxa"/>
            <w:tcBorders>
              <w:top w:val="nil"/>
              <w:left w:val="single" w:sz="8" w:space="0" w:color="000000"/>
              <w:bottom w:val="single" w:sz="4" w:space="0" w:color="auto"/>
              <w:right w:val="single" w:sz="8" w:space="0" w:color="000000"/>
            </w:tcBorders>
            <w:vAlign w:val="center"/>
            <w:hideMark/>
          </w:tcPr>
          <w:p w:rsidR="000A7401" w:rsidRPr="001E31D3" w:rsidRDefault="000A7401" w:rsidP="00E62AE7">
            <w:pPr>
              <w:spacing w:after="120" w:line="288" w:lineRule="auto"/>
              <w:rPr>
                <w:rFonts w:cs="Arial"/>
                <w:sz w:val="22"/>
                <w:szCs w:val="20"/>
                <w:lang w:eastAsia="en-US"/>
              </w:rPr>
            </w:pPr>
            <w:r w:rsidRPr="001E31D3">
              <w:rPr>
                <w:rFonts w:cs="Arial"/>
                <w:szCs w:val="20"/>
              </w:rPr>
              <w:t>-0.56***** (0.13)</w:t>
            </w:r>
          </w:p>
        </w:tc>
        <w:tc>
          <w:tcPr>
            <w:tcW w:w="3079" w:type="dxa"/>
            <w:tcBorders>
              <w:top w:val="nil"/>
              <w:left w:val="single" w:sz="8" w:space="0" w:color="000000"/>
              <w:bottom w:val="single" w:sz="4" w:space="0" w:color="auto"/>
              <w:right w:val="single" w:sz="4" w:space="0" w:color="auto"/>
            </w:tcBorders>
            <w:vAlign w:val="center"/>
            <w:hideMark/>
          </w:tcPr>
          <w:p w:rsidR="000A7401" w:rsidRPr="001E31D3" w:rsidRDefault="000A7401" w:rsidP="00E62AE7">
            <w:pPr>
              <w:spacing w:after="120" w:line="288" w:lineRule="auto"/>
              <w:rPr>
                <w:rFonts w:cs="Arial"/>
                <w:sz w:val="22"/>
                <w:szCs w:val="20"/>
                <w:lang w:eastAsia="en-US"/>
              </w:rPr>
            </w:pPr>
            <w:r w:rsidRPr="001E31D3">
              <w:rPr>
                <w:rFonts w:cs="Arial"/>
                <w:szCs w:val="20"/>
              </w:rPr>
              <w:t>-0.54***** (0.13)</w:t>
            </w:r>
          </w:p>
        </w:tc>
      </w:tr>
      <w:tr w:rsidR="001E31D3" w:rsidRPr="001E31D3" w:rsidTr="003D68D9">
        <w:trPr>
          <w:trHeight w:val="210"/>
        </w:trPr>
        <w:tc>
          <w:tcPr>
            <w:tcW w:w="8788" w:type="dxa"/>
            <w:gridSpan w:val="4"/>
            <w:tcBorders>
              <w:top w:val="single" w:sz="4" w:space="0" w:color="auto"/>
              <w:left w:val="nil"/>
              <w:right w:val="nil"/>
            </w:tcBorders>
          </w:tcPr>
          <w:p w:rsidR="003D68D9" w:rsidRPr="001E31D3" w:rsidRDefault="003D68D9" w:rsidP="00E62AE7">
            <w:pPr>
              <w:spacing w:after="120" w:line="288" w:lineRule="auto"/>
              <w:rPr>
                <w:rFonts w:cs="Arial"/>
                <w:sz w:val="16"/>
                <w:szCs w:val="16"/>
                <w:lang w:eastAsia="en-US"/>
              </w:rPr>
            </w:pPr>
            <w:r w:rsidRPr="001E31D3">
              <w:rPr>
                <w:rFonts w:cs="Arial"/>
                <w:sz w:val="16"/>
                <w:szCs w:val="16"/>
              </w:rPr>
              <w:t xml:space="preserve">***** p &lt; 0.01, **** p&lt;0.05, *** p&lt;0.1, ** p &lt; 0.2, * p &lt; 0.3 </w:t>
            </w:r>
          </w:p>
        </w:tc>
      </w:tr>
    </w:tbl>
    <w:p w:rsidR="003D68D9" w:rsidRPr="001E31D3" w:rsidRDefault="009074C7" w:rsidP="003D68D9">
      <w:pPr>
        <w:spacing w:after="120" w:line="288" w:lineRule="auto"/>
        <w:rPr>
          <w:rFonts w:cs="Arial"/>
          <w:szCs w:val="20"/>
        </w:rPr>
      </w:pPr>
      <w:r w:rsidRPr="001E31D3">
        <w:t>Those countries where parental educational background has a larger effect on completing a level 3 qualification</w:t>
      </w:r>
      <w:r w:rsidR="003D68D9" w:rsidRPr="001E31D3">
        <w:t xml:space="preserve"> are less successful in equipping young people with numeracy and literacy competences at upper secondary and tertiary level than countries where the educational background of parents is less influential on completion rates. </w:t>
      </w:r>
      <w:r w:rsidR="003D68D9" w:rsidRPr="001E31D3">
        <w:rPr>
          <w:rFonts w:cs="Arial"/>
          <w:szCs w:val="20"/>
        </w:rPr>
        <w:t>Figure 6.6 illustrates these patterns across countries.</w:t>
      </w:r>
    </w:p>
    <w:p w:rsidR="003D68D9" w:rsidRPr="001E31D3" w:rsidRDefault="003D68D9">
      <w:pPr>
        <w:jc w:val="left"/>
      </w:pPr>
      <w:r w:rsidRPr="001E31D3">
        <w:br w:type="page"/>
      </w:r>
    </w:p>
    <w:p w:rsidR="003D68D9" w:rsidRPr="003D68D9" w:rsidRDefault="003D68D9" w:rsidP="003D68D9">
      <w:pPr>
        <w:spacing w:after="120" w:line="288" w:lineRule="auto"/>
        <w:rPr>
          <w:bCs/>
          <w:color w:val="1F497D" w:themeColor="text2"/>
        </w:rPr>
      </w:pPr>
      <w:r w:rsidRPr="003D68D9">
        <w:t>Figure 6.6</w:t>
      </w:r>
      <w:r w:rsidR="00833041">
        <w:rPr>
          <w:bCs/>
          <w:color w:val="1F497D" w:themeColor="text2"/>
        </w:rPr>
        <w:t xml:space="preserve"> </w:t>
      </w:r>
      <w:r w:rsidRPr="003D68D9">
        <w:rPr>
          <w:bCs/>
          <w:color w:val="1F497D" w:themeColor="text2"/>
        </w:rPr>
        <w:t xml:space="preserve">The effects of </w:t>
      </w:r>
      <w:r>
        <w:rPr>
          <w:bCs/>
          <w:color w:val="1F497D" w:themeColor="text2"/>
        </w:rPr>
        <w:t>educational equity</w:t>
      </w:r>
    </w:p>
    <w:p w:rsidR="00065622" w:rsidRPr="00065622" w:rsidRDefault="00065622" w:rsidP="00065622">
      <w:pPr>
        <w:spacing w:after="120" w:line="288" w:lineRule="auto"/>
        <w:rPr>
          <w:color w:val="auto"/>
          <w:sz w:val="22"/>
          <w:szCs w:val="22"/>
          <w:highlight w:val="yellow"/>
          <w:lang w:eastAsia="en-US"/>
        </w:rPr>
      </w:pPr>
      <w:r w:rsidRPr="00065622">
        <w:rPr>
          <w:noProof/>
          <w:highlight w:val="yellow"/>
          <w:lang w:val="en-US" w:eastAsia="en-US"/>
        </w:rPr>
        <w:drawing>
          <wp:inline distT="0" distB="0" distL="0" distR="0" wp14:anchorId="0295DD00" wp14:editId="4A4C0CBC">
            <wp:extent cx="5580000" cy="3240000"/>
            <wp:effectExtent l="0" t="0" r="1905" b="0"/>
            <wp:docPr id="310" name="Chart 3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0A7401" w:rsidRPr="00067EA4" w:rsidRDefault="000A7401" w:rsidP="00065622">
      <w:pPr>
        <w:spacing w:after="120" w:line="288" w:lineRule="auto"/>
        <w:rPr>
          <w:i/>
          <w:sz w:val="16"/>
          <w:szCs w:val="16"/>
        </w:rPr>
      </w:pPr>
      <w:r w:rsidRPr="00067EA4">
        <w:rPr>
          <w:i/>
          <w:sz w:val="16"/>
          <w:szCs w:val="16"/>
        </w:rPr>
        <w:t>Notes:</w:t>
      </w:r>
      <w:r>
        <w:rPr>
          <w:i/>
          <w:sz w:val="16"/>
          <w:szCs w:val="16"/>
        </w:rPr>
        <w:t xml:space="preserve"> </w:t>
      </w:r>
      <w:r w:rsidR="00370605">
        <w:rPr>
          <w:i/>
          <w:sz w:val="16"/>
          <w:szCs w:val="16"/>
        </w:rPr>
        <w:t>own analysis based on PIAAC data</w:t>
      </w:r>
    </w:p>
    <w:p w:rsidR="00065622" w:rsidRPr="001E31D3" w:rsidRDefault="00065622" w:rsidP="00065622">
      <w:pPr>
        <w:spacing w:after="120" w:line="288" w:lineRule="auto"/>
      </w:pPr>
      <w:r w:rsidRPr="001E31D3">
        <w:t>This is consistent with several of the studies on the relationship between educational equality and efficiency at the lower secondary level (</w:t>
      </w:r>
      <w:r w:rsidR="00E747FA" w:rsidRPr="001E31D3">
        <w:t>e.g.</w:t>
      </w:r>
      <w:r w:rsidR="003E14B7">
        <w:t xml:space="preserve"> Hanushek/</w:t>
      </w:r>
      <w:r w:rsidRPr="001E31D3">
        <w:t>Woes</w:t>
      </w:r>
      <w:r w:rsidR="003E14B7">
        <w:t>smann 2006, Werfhorst/</w:t>
      </w:r>
      <w:r w:rsidR="003D68D9" w:rsidRPr="001E31D3">
        <w:t>Mifs</w:t>
      </w:r>
      <w:r w:rsidRPr="001E31D3">
        <w:t xml:space="preserve"> 2010). The social gradient variable measures inequality of educational opportunity in terms of the influence of parental educational level on students’ educational achievement. Most studies find that inequality of educational opportunity is correlated with inequality of educational outcomes (distributions), and inequality of educational outcomes correlates quite closely with inequality of </w:t>
      </w:r>
      <w:r w:rsidR="00085381" w:rsidRPr="001E31D3">
        <w:t>competence</w:t>
      </w:r>
      <w:r w:rsidRPr="001E31D3">
        <w:t xml:space="preserve"> outcomes. Both are typically high in English-speaking countries relat</w:t>
      </w:r>
      <w:r w:rsidR="003D68D9" w:rsidRPr="001E31D3">
        <w:t>ive to other countries in PIAAC</w:t>
      </w:r>
      <w:r w:rsidRPr="001E31D3">
        <w:t>. Countries with wider distributi</w:t>
      </w:r>
      <w:r w:rsidR="003D68D9" w:rsidRPr="001E31D3">
        <w:t xml:space="preserve">ons of </w:t>
      </w:r>
      <w:r w:rsidR="00085381" w:rsidRPr="001E31D3">
        <w:t>competence</w:t>
      </w:r>
      <w:r w:rsidR="003D68D9" w:rsidRPr="001E31D3">
        <w:t xml:space="preserve"> (Green et al</w:t>
      </w:r>
      <w:r w:rsidRPr="001E31D3">
        <w:t xml:space="preserve"> 2015) also tend to have lower average levels of </w:t>
      </w:r>
      <w:r w:rsidR="00085381" w:rsidRPr="001E31D3">
        <w:t>competence</w:t>
      </w:r>
      <w:r w:rsidRPr="001E31D3">
        <w:t xml:space="preserve">, probably because of the longer tail of lower achievers bringing down average </w:t>
      </w:r>
      <w:r w:rsidR="00085381" w:rsidRPr="001E31D3">
        <w:t>competence</w:t>
      </w:r>
      <w:r w:rsidRPr="001E31D3">
        <w:t xml:space="preserve"> levels.</w:t>
      </w:r>
      <w:r w:rsidRPr="001E31D3">
        <w:rPr>
          <w:rStyle w:val="FootnoteReference"/>
        </w:rPr>
        <w:footnoteReference w:id="31"/>
      </w:r>
      <w:r w:rsidRPr="001E31D3">
        <w:t xml:space="preserve">  In this case the higher social gradients of ISCED </w:t>
      </w:r>
      <w:r w:rsidR="00E747FA" w:rsidRPr="001E31D3">
        <w:t xml:space="preserve">3 </w:t>
      </w:r>
      <w:r w:rsidRPr="001E31D3">
        <w:t xml:space="preserve">completion in most English-speaking countries and in Spain (all Type 4 systems) are likely to be driving the negative association with </w:t>
      </w:r>
      <w:r w:rsidR="00085381" w:rsidRPr="001E31D3">
        <w:t>competence</w:t>
      </w:r>
      <w:r w:rsidRPr="001E31D3">
        <w:t xml:space="preserve"> position improvement because of the negative effects of inequality of </w:t>
      </w:r>
      <w:r w:rsidR="00085381" w:rsidRPr="001E31D3">
        <w:t>competence</w:t>
      </w:r>
      <w:r w:rsidRPr="001E31D3">
        <w:t xml:space="preserve"> opportunity on </w:t>
      </w:r>
      <w:r w:rsidR="00085381" w:rsidRPr="001E31D3">
        <w:t>competence</w:t>
      </w:r>
      <w:r w:rsidRPr="001E31D3">
        <w:t xml:space="preserve"> gain amongst lower achievers. Conversely, all the Nordic countries have relatively low inequality of educational opportunity and relatively high relative improvement in </w:t>
      </w:r>
      <w:r w:rsidR="00085381" w:rsidRPr="001E31D3">
        <w:t>competences</w:t>
      </w:r>
      <w:r w:rsidRPr="001E31D3">
        <w:t xml:space="preserve"> which also re-enforces this negative relationship. </w:t>
      </w:r>
    </w:p>
    <w:p w:rsidR="003D68D9" w:rsidRDefault="003D68D9">
      <w:pPr>
        <w:jc w:val="left"/>
        <w:rPr>
          <w:i/>
        </w:rPr>
      </w:pPr>
      <w:r>
        <w:rPr>
          <w:i/>
        </w:rPr>
        <w:br w:type="page"/>
      </w:r>
    </w:p>
    <w:p w:rsidR="003D68D9" w:rsidRPr="00833041" w:rsidRDefault="00833041" w:rsidP="00065622">
      <w:pPr>
        <w:spacing w:after="120" w:line="288" w:lineRule="auto"/>
        <w:rPr>
          <w:i/>
        </w:rPr>
      </w:pPr>
      <w:r w:rsidRPr="00833041">
        <w:rPr>
          <w:i/>
        </w:rPr>
        <w:t>Standardisation of</w:t>
      </w:r>
      <w:r w:rsidR="003D68D9" w:rsidRPr="00833041">
        <w:rPr>
          <w:i/>
        </w:rPr>
        <w:t xml:space="preserve"> outputs</w:t>
      </w:r>
    </w:p>
    <w:p w:rsidR="00833041" w:rsidRPr="001E31D3" w:rsidRDefault="00833041" w:rsidP="00833041">
      <w:pPr>
        <w:spacing w:after="120" w:line="288" w:lineRule="auto"/>
      </w:pPr>
      <w:r w:rsidRPr="001E31D3">
        <w:rPr>
          <w:rFonts w:eastAsiaTheme="minorEastAsia"/>
          <w:w w:val="105"/>
        </w:rPr>
        <w:t xml:space="preserve">Table 6.5 shows the results of the DID regression for standardisation of outputs. </w:t>
      </w:r>
      <w:r w:rsidRPr="001E31D3">
        <w:rPr>
          <w:rFonts w:cs="Arial"/>
          <w:szCs w:val="20"/>
        </w:rPr>
        <w:t xml:space="preserve">The </w:t>
      </w:r>
      <w:r w:rsidRPr="001E31D3">
        <w:rPr>
          <w:rFonts w:cs="Arial"/>
          <w:b/>
          <w:color w:val="1F497D" w:themeColor="text2"/>
          <w:szCs w:val="20"/>
        </w:rPr>
        <w:t>standardised outputs</w:t>
      </w:r>
      <w:r w:rsidRPr="001E31D3">
        <w:rPr>
          <w:rFonts w:cs="Arial"/>
          <w:szCs w:val="20"/>
        </w:rPr>
        <w:t xml:space="preserve"> variable has a negative effect on both literacy (coefficient -0.75) and numeracy (coefficient -0.94) but the significan</w:t>
      </w:r>
      <w:r w:rsidR="00E747FA" w:rsidRPr="001E31D3">
        <w:rPr>
          <w:rFonts w:cs="Arial"/>
          <w:szCs w:val="20"/>
        </w:rPr>
        <w:t>ce</w:t>
      </w:r>
      <w:r w:rsidRPr="001E31D3">
        <w:rPr>
          <w:rFonts w:cs="Arial"/>
          <w:szCs w:val="20"/>
        </w:rPr>
        <w:t xml:space="preserve"> is low in b</w:t>
      </w:r>
      <w:r w:rsidR="00810364" w:rsidRPr="001E31D3">
        <w:rPr>
          <w:rFonts w:cs="Arial"/>
          <w:szCs w:val="20"/>
        </w:rPr>
        <w:t>oth cases at the p &lt; 0.2 level.</w:t>
      </w:r>
    </w:p>
    <w:p w:rsidR="00833041" w:rsidRPr="00833041" w:rsidRDefault="00833041" w:rsidP="00833041">
      <w:pPr>
        <w:pStyle w:val="Caption"/>
        <w:spacing w:before="0" w:after="120" w:line="288" w:lineRule="auto"/>
        <w:rPr>
          <w:rFonts w:ascii="Verdana" w:hAnsi="Verdana"/>
          <w:b w:val="0"/>
          <w:sz w:val="20"/>
        </w:rPr>
      </w:pPr>
      <w:r w:rsidRPr="00833041">
        <w:rPr>
          <w:rFonts w:ascii="Verdana" w:hAnsi="Verdana"/>
          <w:b w:val="0"/>
          <w:color w:val="1F497D" w:themeColor="text2"/>
          <w:sz w:val="20"/>
        </w:rPr>
        <w:t xml:space="preserve">Table </w:t>
      </w:r>
      <w:r w:rsidRPr="00833041">
        <w:rPr>
          <w:rFonts w:ascii="Verdana" w:hAnsi="Verdana"/>
          <w:b w:val="0"/>
          <w:color w:val="1F497D" w:themeColor="text2"/>
          <w:sz w:val="20"/>
        </w:rPr>
        <w:fldChar w:fldCharType="begin"/>
      </w:r>
      <w:r w:rsidRPr="00833041">
        <w:rPr>
          <w:rFonts w:ascii="Verdana" w:hAnsi="Verdana"/>
          <w:b w:val="0"/>
          <w:color w:val="1F497D" w:themeColor="text2"/>
          <w:sz w:val="20"/>
        </w:rPr>
        <w:instrText xml:space="preserve"> STYLEREF 1 \s </w:instrText>
      </w:r>
      <w:r w:rsidRPr="00833041">
        <w:rPr>
          <w:rFonts w:ascii="Verdana" w:hAnsi="Verdana"/>
          <w:b w:val="0"/>
          <w:color w:val="1F497D" w:themeColor="text2"/>
          <w:sz w:val="20"/>
        </w:rPr>
        <w:fldChar w:fldCharType="separate"/>
      </w:r>
      <w:r w:rsidR="009924B8">
        <w:rPr>
          <w:rFonts w:ascii="Verdana" w:hAnsi="Verdana"/>
          <w:b w:val="0"/>
          <w:noProof/>
          <w:color w:val="1F497D" w:themeColor="text2"/>
          <w:sz w:val="20"/>
        </w:rPr>
        <w:t>0</w:t>
      </w:r>
      <w:r w:rsidRPr="00833041">
        <w:rPr>
          <w:rFonts w:ascii="Verdana" w:hAnsi="Verdana"/>
          <w:b w:val="0"/>
          <w:noProof/>
          <w:color w:val="1F497D" w:themeColor="text2"/>
          <w:sz w:val="20"/>
        </w:rPr>
        <w:fldChar w:fldCharType="end"/>
      </w:r>
      <w:r w:rsidRPr="00833041">
        <w:rPr>
          <w:rFonts w:ascii="Verdana" w:hAnsi="Verdana"/>
          <w:b w:val="0"/>
          <w:color w:val="1F497D" w:themeColor="text2"/>
          <w:sz w:val="20"/>
        </w:rPr>
        <w:t>.5 DID estimates of effects of standardisation of outputs</w:t>
      </w:r>
    </w:p>
    <w:tbl>
      <w:tblPr>
        <w:tblW w:w="8788" w:type="dxa"/>
        <w:tblInd w:w="109" w:type="dxa"/>
        <w:tblLook w:val="04A0" w:firstRow="1" w:lastRow="0" w:firstColumn="1" w:lastColumn="0" w:noHBand="0" w:noVBand="1"/>
      </w:tblPr>
      <w:tblGrid>
        <w:gridCol w:w="2661"/>
        <w:gridCol w:w="3048"/>
        <w:gridCol w:w="3079"/>
      </w:tblGrid>
      <w:tr w:rsidR="00833041" w:rsidRPr="001E31D3" w:rsidTr="00833041">
        <w:trPr>
          <w:trHeight w:val="540"/>
        </w:trPr>
        <w:tc>
          <w:tcPr>
            <w:tcW w:w="2661" w:type="dxa"/>
            <w:vMerge w:val="restart"/>
            <w:tcBorders>
              <w:top w:val="single" w:sz="4" w:space="0" w:color="auto"/>
              <w:left w:val="single" w:sz="8" w:space="0" w:color="000000"/>
              <w:right w:val="nil"/>
            </w:tcBorders>
            <w:vAlign w:val="center"/>
            <w:hideMark/>
          </w:tcPr>
          <w:p w:rsidR="00833041" w:rsidRPr="001E31D3" w:rsidRDefault="00833041" w:rsidP="00E62AE7">
            <w:pPr>
              <w:spacing w:after="120" w:line="288" w:lineRule="auto"/>
              <w:rPr>
                <w:rFonts w:cs="Arial"/>
                <w:sz w:val="22"/>
                <w:szCs w:val="20"/>
                <w:lang w:eastAsia="en-US"/>
              </w:rPr>
            </w:pPr>
            <w:r w:rsidRPr="001E31D3">
              <w:rPr>
                <w:rFonts w:cs="Arial"/>
                <w:szCs w:val="20"/>
              </w:rPr>
              <w:t> </w:t>
            </w:r>
          </w:p>
          <w:p w:rsidR="00833041" w:rsidRPr="001E31D3" w:rsidRDefault="00833041" w:rsidP="00E62AE7">
            <w:pPr>
              <w:spacing w:after="120" w:line="288" w:lineRule="auto"/>
              <w:rPr>
                <w:rFonts w:cs="Arial"/>
                <w:sz w:val="22"/>
                <w:szCs w:val="20"/>
                <w:lang w:eastAsia="en-US"/>
              </w:rPr>
            </w:pPr>
            <w:r w:rsidRPr="001E31D3">
              <w:rPr>
                <w:rFonts w:cs="Arial"/>
                <w:szCs w:val="20"/>
              </w:rPr>
              <w:t> </w:t>
            </w:r>
          </w:p>
          <w:p w:rsidR="00833041" w:rsidRPr="001E31D3" w:rsidRDefault="00833041" w:rsidP="00E62AE7">
            <w:pPr>
              <w:spacing w:after="120" w:line="288" w:lineRule="auto"/>
              <w:rPr>
                <w:rFonts w:cs="Arial"/>
                <w:sz w:val="22"/>
                <w:szCs w:val="20"/>
                <w:lang w:eastAsia="en-US"/>
              </w:rPr>
            </w:pPr>
            <w:r w:rsidRPr="001E31D3">
              <w:rPr>
                <w:rFonts w:cs="Arial"/>
                <w:szCs w:val="20"/>
              </w:rPr>
              <w:t> </w:t>
            </w:r>
          </w:p>
          <w:p w:rsidR="00833041" w:rsidRPr="001E31D3" w:rsidRDefault="00833041" w:rsidP="00E62AE7">
            <w:pPr>
              <w:spacing w:after="120" w:line="288" w:lineRule="auto"/>
              <w:rPr>
                <w:rFonts w:cs="Arial"/>
                <w:sz w:val="22"/>
                <w:szCs w:val="20"/>
                <w:lang w:eastAsia="en-US"/>
              </w:rPr>
            </w:pPr>
            <w:r w:rsidRPr="001E31D3">
              <w:rPr>
                <w:rFonts w:cs="Arial"/>
                <w:szCs w:val="20"/>
              </w:rPr>
              <w:t> </w:t>
            </w:r>
          </w:p>
        </w:tc>
        <w:tc>
          <w:tcPr>
            <w:tcW w:w="3048" w:type="dxa"/>
            <w:tcBorders>
              <w:top w:val="single" w:sz="4" w:space="0" w:color="auto"/>
              <w:left w:val="single" w:sz="8" w:space="0" w:color="000000"/>
              <w:bottom w:val="single" w:sz="4" w:space="0" w:color="auto"/>
              <w:right w:val="single" w:sz="8" w:space="0" w:color="000000"/>
            </w:tcBorders>
            <w:shd w:val="clear" w:color="auto" w:fill="B8CCE4" w:themeFill="accent1" w:themeFillTint="66"/>
            <w:vAlign w:val="center"/>
            <w:hideMark/>
          </w:tcPr>
          <w:p w:rsidR="00833041" w:rsidRPr="001E31D3" w:rsidRDefault="00833041" w:rsidP="00E62AE7">
            <w:pPr>
              <w:spacing w:after="120" w:line="288" w:lineRule="auto"/>
              <w:rPr>
                <w:rFonts w:cs="Arial"/>
                <w:b/>
                <w:sz w:val="22"/>
                <w:szCs w:val="20"/>
                <w:lang w:eastAsia="en-US"/>
              </w:rPr>
            </w:pPr>
            <w:r w:rsidRPr="001E31D3">
              <w:rPr>
                <w:rFonts w:cs="Arial"/>
                <w:b/>
                <w:szCs w:val="20"/>
              </w:rPr>
              <w:t>Numeracy (quintiles)</w:t>
            </w:r>
          </w:p>
        </w:tc>
        <w:tc>
          <w:tcPr>
            <w:tcW w:w="3079" w:type="dxa"/>
            <w:tcBorders>
              <w:top w:val="single" w:sz="4" w:space="0" w:color="auto"/>
              <w:left w:val="single" w:sz="8" w:space="0" w:color="000000"/>
              <w:bottom w:val="single" w:sz="4" w:space="0" w:color="auto"/>
              <w:right w:val="single" w:sz="4" w:space="0" w:color="auto"/>
            </w:tcBorders>
            <w:shd w:val="clear" w:color="auto" w:fill="B8CCE4" w:themeFill="accent1" w:themeFillTint="66"/>
            <w:vAlign w:val="center"/>
            <w:hideMark/>
          </w:tcPr>
          <w:p w:rsidR="00833041" w:rsidRPr="001E31D3" w:rsidRDefault="00833041" w:rsidP="00E62AE7">
            <w:pPr>
              <w:spacing w:after="120" w:line="288" w:lineRule="auto"/>
              <w:rPr>
                <w:rFonts w:cs="Arial"/>
                <w:b/>
                <w:sz w:val="22"/>
                <w:szCs w:val="20"/>
                <w:lang w:eastAsia="en-US"/>
              </w:rPr>
            </w:pPr>
            <w:r w:rsidRPr="001E31D3">
              <w:rPr>
                <w:rFonts w:cs="Arial"/>
                <w:b/>
                <w:szCs w:val="20"/>
              </w:rPr>
              <w:t>Literacy (quintiles)</w:t>
            </w:r>
          </w:p>
        </w:tc>
      </w:tr>
      <w:tr w:rsidR="00833041" w:rsidRPr="001E31D3" w:rsidTr="00833041">
        <w:trPr>
          <w:trHeight w:val="540"/>
        </w:trPr>
        <w:tc>
          <w:tcPr>
            <w:tcW w:w="2661" w:type="dxa"/>
            <w:vMerge/>
            <w:tcBorders>
              <w:left w:val="single" w:sz="8" w:space="0" w:color="000000"/>
              <w:bottom w:val="single" w:sz="8" w:space="0" w:color="000000"/>
              <w:right w:val="nil"/>
            </w:tcBorders>
            <w:vAlign w:val="center"/>
            <w:hideMark/>
          </w:tcPr>
          <w:p w:rsidR="00833041" w:rsidRPr="001E31D3" w:rsidRDefault="00833041" w:rsidP="00E62AE7">
            <w:pPr>
              <w:spacing w:after="120" w:line="288" w:lineRule="auto"/>
              <w:rPr>
                <w:rFonts w:cs="Arial"/>
                <w:sz w:val="22"/>
                <w:szCs w:val="20"/>
                <w:lang w:eastAsia="en-US"/>
              </w:rPr>
            </w:pPr>
          </w:p>
        </w:tc>
        <w:tc>
          <w:tcPr>
            <w:tcW w:w="3048" w:type="dxa"/>
            <w:tcBorders>
              <w:top w:val="single" w:sz="4" w:space="0" w:color="auto"/>
              <w:left w:val="single" w:sz="8" w:space="0" w:color="000000"/>
              <w:bottom w:val="single" w:sz="8" w:space="0" w:color="000000"/>
              <w:right w:val="single" w:sz="8" w:space="0" w:color="000000"/>
            </w:tcBorders>
            <w:shd w:val="clear" w:color="auto" w:fill="B8CCE4" w:themeFill="accent1" w:themeFillTint="66"/>
            <w:vAlign w:val="center"/>
            <w:hideMark/>
          </w:tcPr>
          <w:p w:rsidR="00833041" w:rsidRPr="001E31D3" w:rsidRDefault="00833041" w:rsidP="00E62AE7">
            <w:pPr>
              <w:spacing w:after="120" w:line="288" w:lineRule="auto"/>
              <w:rPr>
                <w:rFonts w:cs="Arial"/>
                <w:b/>
                <w:sz w:val="22"/>
                <w:szCs w:val="20"/>
                <w:lang w:eastAsia="en-US"/>
              </w:rPr>
            </w:pPr>
            <w:r w:rsidRPr="001E31D3">
              <w:rPr>
                <w:rFonts w:cs="Arial"/>
                <w:b/>
                <w:szCs w:val="20"/>
              </w:rPr>
              <w:t xml:space="preserve">DID estimate </w:t>
            </w:r>
            <m:oMath>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c>
          <w:tcPr>
            <w:tcW w:w="3079" w:type="dxa"/>
            <w:tcBorders>
              <w:top w:val="single" w:sz="4" w:space="0" w:color="auto"/>
              <w:left w:val="single" w:sz="8" w:space="0" w:color="000000"/>
              <w:bottom w:val="single" w:sz="8" w:space="0" w:color="000000"/>
              <w:right w:val="single" w:sz="4" w:space="0" w:color="auto"/>
            </w:tcBorders>
            <w:shd w:val="clear" w:color="auto" w:fill="B8CCE4" w:themeFill="accent1" w:themeFillTint="66"/>
            <w:vAlign w:val="center"/>
            <w:hideMark/>
          </w:tcPr>
          <w:p w:rsidR="00833041" w:rsidRPr="001E31D3" w:rsidRDefault="00833041" w:rsidP="00E62AE7">
            <w:pPr>
              <w:spacing w:after="120" w:line="288" w:lineRule="auto"/>
              <w:rPr>
                <w:rFonts w:cs="Arial"/>
                <w:b/>
                <w:sz w:val="22"/>
                <w:szCs w:val="20"/>
                <w:lang w:eastAsia="en-US"/>
              </w:rPr>
            </w:pPr>
            <w:r w:rsidRPr="001E31D3">
              <w:rPr>
                <w:rFonts w:cs="Arial"/>
                <w:b/>
                <w:szCs w:val="20"/>
              </w:rPr>
              <w:t xml:space="preserve">DID estimate </w:t>
            </w:r>
            <m:oMath>
              <m:r>
                <m:rPr>
                  <m:sty m:val="bi"/>
                </m:rPr>
                <w:rPr>
                  <w:rFonts w:ascii="Cambria Math" w:hAnsi="Cambria Math" w:cs="Arial"/>
                  <w:szCs w:val="20"/>
                </w:rPr>
                <m:t>(</m:t>
              </m:r>
              <m:sSub>
                <m:sSubPr>
                  <m:ctrlPr>
                    <w:rPr>
                      <w:rFonts w:ascii="Cambria Math" w:eastAsia="Batang" w:hAnsi="Cambria Math" w:cs="Arial"/>
                      <w:b/>
                      <w:i/>
                      <w:w w:val="105"/>
                      <w:sz w:val="22"/>
                      <w:szCs w:val="22"/>
                      <w:lang w:eastAsia="en-US"/>
                    </w:rPr>
                  </m:ctrlPr>
                </m:sSubPr>
                <m:e>
                  <m:r>
                    <m:rPr>
                      <m:sty m:val="bi"/>
                    </m:rPr>
                    <w:rPr>
                      <w:rFonts w:ascii="Cambria Math" w:eastAsia="Batang" w:hAnsi="Cambria Math" w:cs="Arial"/>
                      <w:w w:val="105"/>
                      <w:szCs w:val="20"/>
                    </w:rPr>
                    <m:t>γ</m:t>
                  </m:r>
                </m:e>
                <m:sub>
                  <m:r>
                    <m:rPr>
                      <m:sty m:val="bi"/>
                    </m:rPr>
                    <w:rPr>
                      <w:rFonts w:ascii="Cambria Math" w:eastAsia="Batang" w:hAnsi="Cambria Math" w:cs="Arial"/>
                      <w:w w:val="105"/>
                      <w:szCs w:val="20"/>
                    </w:rPr>
                    <m:t>1</m:t>
                  </m:r>
                </m:sub>
              </m:sSub>
              <m:r>
                <m:rPr>
                  <m:sty m:val="bi"/>
                </m:rPr>
                <w:rPr>
                  <w:rFonts w:ascii="Cambria Math" w:eastAsia="Batang" w:hAnsi="Cambria Math" w:cs="Arial"/>
                  <w:w w:val="105"/>
                  <w:szCs w:val="20"/>
                </w:rPr>
                <m:t>Y.age</m:t>
              </m:r>
              <m:r>
                <m:rPr>
                  <m:sty m:val="bi"/>
                </m:rPr>
                <w:rPr>
                  <w:rFonts w:ascii="Cambria Math" w:eastAsia="Batang" w:hAnsi="Cambria Math" w:cs="Arial"/>
                  <w:w w:val="105"/>
                  <w:szCs w:val="20"/>
                </w:rPr>
                <m:t>27)</m:t>
              </m:r>
            </m:oMath>
          </w:p>
        </w:tc>
      </w:tr>
      <w:tr w:rsidR="00370605" w:rsidRPr="001E31D3" w:rsidTr="00D31B8E">
        <w:trPr>
          <w:trHeight w:val="397"/>
        </w:trPr>
        <w:tc>
          <w:tcPr>
            <w:tcW w:w="2661" w:type="dxa"/>
            <w:tcBorders>
              <w:top w:val="nil"/>
              <w:left w:val="single" w:sz="8" w:space="0" w:color="000000"/>
              <w:bottom w:val="single" w:sz="4" w:space="0" w:color="auto"/>
              <w:right w:val="nil"/>
            </w:tcBorders>
            <w:shd w:val="clear" w:color="auto" w:fill="B8CCE4" w:themeFill="accent1" w:themeFillTint="66"/>
            <w:vAlign w:val="center"/>
            <w:hideMark/>
          </w:tcPr>
          <w:p w:rsidR="00370605" w:rsidRPr="001E31D3" w:rsidRDefault="00370605" w:rsidP="00E62AE7">
            <w:pPr>
              <w:spacing w:after="120" w:line="288" w:lineRule="auto"/>
              <w:rPr>
                <w:rFonts w:cs="Arial"/>
                <w:b/>
                <w:sz w:val="22"/>
                <w:szCs w:val="20"/>
                <w:lang w:eastAsia="en-US"/>
              </w:rPr>
            </w:pPr>
          </w:p>
          <w:p w:rsidR="00370605" w:rsidRPr="001E31D3" w:rsidRDefault="00370605" w:rsidP="00E62AE7">
            <w:pPr>
              <w:spacing w:after="120" w:line="288" w:lineRule="auto"/>
              <w:rPr>
                <w:rFonts w:cs="Arial"/>
                <w:szCs w:val="20"/>
              </w:rPr>
            </w:pPr>
            <w:r w:rsidRPr="001E31D3">
              <w:rPr>
                <w:rFonts w:cs="Arial"/>
                <w:szCs w:val="20"/>
              </w:rPr>
              <w:t>Standardised outputs</w:t>
            </w:r>
          </w:p>
          <w:p w:rsidR="00370605" w:rsidRPr="001E31D3" w:rsidRDefault="00370605" w:rsidP="00E62AE7">
            <w:pPr>
              <w:spacing w:after="120" w:line="288" w:lineRule="auto"/>
              <w:rPr>
                <w:rFonts w:cs="Arial"/>
                <w:sz w:val="22"/>
                <w:szCs w:val="20"/>
                <w:lang w:eastAsia="en-US"/>
              </w:rPr>
            </w:pPr>
            <w:r w:rsidRPr="001E31D3">
              <w:rPr>
                <w:rFonts w:cs="Arial"/>
                <w:szCs w:val="20"/>
              </w:rPr>
              <w:t>(N:20)</w:t>
            </w:r>
          </w:p>
        </w:tc>
        <w:tc>
          <w:tcPr>
            <w:tcW w:w="3048" w:type="dxa"/>
            <w:tcBorders>
              <w:top w:val="nil"/>
              <w:left w:val="single" w:sz="8" w:space="0" w:color="000000"/>
              <w:bottom w:val="single" w:sz="4" w:space="0" w:color="auto"/>
              <w:right w:val="single" w:sz="8" w:space="0" w:color="000000"/>
            </w:tcBorders>
            <w:vAlign w:val="center"/>
            <w:hideMark/>
          </w:tcPr>
          <w:p w:rsidR="00370605" w:rsidRPr="001E31D3" w:rsidRDefault="00370605" w:rsidP="00E62AE7">
            <w:pPr>
              <w:spacing w:after="120" w:line="288" w:lineRule="auto"/>
              <w:rPr>
                <w:rFonts w:cs="Arial"/>
                <w:sz w:val="22"/>
                <w:szCs w:val="20"/>
                <w:lang w:eastAsia="en-US"/>
              </w:rPr>
            </w:pPr>
            <w:r w:rsidRPr="001E31D3">
              <w:rPr>
                <w:rFonts w:cs="Arial"/>
                <w:szCs w:val="20"/>
              </w:rPr>
              <w:t>-0.94** (0.63)</w:t>
            </w:r>
          </w:p>
        </w:tc>
        <w:tc>
          <w:tcPr>
            <w:tcW w:w="3079" w:type="dxa"/>
            <w:tcBorders>
              <w:top w:val="nil"/>
              <w:left w:val="single" w:sz="8" w:space="0" w:color="000000"/>
              <w:bottom w:val="single" w:sz="4" w:space="0" w:color="auto"/>
              <w:right w:val="single" w:sz="4" w:space="0" w:color="auto"/>
            </w:tcBorders>
            <w:vAlign w:val="center"/>
            <w:hideMark/>
          </w:tcPr>
          <w:p w:rsidR="00370605" w:rsidRPr="001E31D3" w:rsidRDefault="00370605" w:rsidP="00E62AE7">
            <w:pPr>
              <w:spacing w:after="120" w:line="288" w:lineRule="auto"/>
              <w:rPr>
                <w:rFonts w:cs="Arial"/>
                <w:sz w:val="22"/>
                <w:szCs w:val="20"/>
                <w:lang w:eastAsia="en-US"/>
              </w:rPr>
            </w:pPr>
            <w:r w:rsidRPr="001E31D3">
              <w:rPr>
                <w:rFonts w:cs="Arial"/>
                <w:szCs w:val="20"/>
              </w:rPr>
              <w:t>-0.75* (0.61)</w:t>
            </w:r>
          </w:p>
        </w:tc>
      </w:tr>
      <w:tr w:rsidR="001E31D3" w:rsidRPr="001E31D3" w:rsidTr="00833041">
        <w:trPr>
          <w:trHeight w:val="210"/>
        </w:trPr>
        <w:tc>
          <w:tcPr>
            <w:tcW w:w="8788" w:type="dxa"/>
            <w:gridSpan w:val="3"/>
            <w:tcBorders>
              <w:top w:val="single" w:sz="4" w:space="0" w:color="auto"/>
              <w:left w:val="nil"/>
              <w:right w:val="nil"/>
            </w:tcBorders>
          </w:tcPr>
          <w:p w:rsidR="00833041" w:rsidRPr="001E31D3" w:rsidRDefault="00833041" w:rsidP="00E62AE7">
            <w:pPr>
              <w:spacing w:after="120" w:line="288" w:lineRule="auto"/>
              <w:rPr>
                <w:rFonts w:cs="Arial"/>
                <w:sz w:val="16"/>
                <w:szCs w:val="16"/>
                <w:lang w:eastAsia="en-US"/>
              </w:rPr>
            </w:pPr>
            <w:r w:rsidRPr="001E31D3">
              <w:rPr>
                <w:rFonts w:cs="Arial"/>
                <w:sz w:val="16"/>
                <w:szCs w:val="16"/>
              </w:rPr>
              <w:t xml:space="preserve">***** p &lt; 0.01, **** p&lt;0.05, *** p&lt;0.1, ** p &lt; 0.2, * p &lt; 0.3 </w:t>
            </w:r>
          </w:p>
        </w:tc>
      </w:tr>
    </w:tbl>
    <w:p w:rsidR="00065622" w:rsidRPr="001E31D3" w:rsidRDefault="00065622" w:rsidP="00065622">
      <w:pPr>
        <w:spacing w:after="120" w:line="288" w:lineRule="auto"/>
        <w:rPr>
          <w:rFonts w:cs="Arial"/>
          <w:szCs w:val="20"/>
        </w:rPr>
      </w:pPr>
      <w:r w:rsidRPr="001E31D3">
        <w:rPr>
          <w:rFonts w:cs="Arial"/>
          <w:szCs w:val="20"/>
        </w:rPr>
        <w:t xml:space="preserve">While some studies </w:t>
      </w:r>
      <w:r w:rsidR="003E14B7">
        <w:rPr>
          <w:rFonts w:eastAsia="Batang" w:cs="Arial"/>
          <w:w w:val="110"/>
          <w:szCs w:val="20"/>
        </w:rPr>
        <w:t>(Bol/</w:t>
      </w:r>
      <w:r w:rsidRPr="001E31D3">
        <w:rPr>
          <w:rFonts w:eastAsia="Batang" w:cs="Arial"/>
          <w:w w:val="110"/>
          <w:szCs w:val="20"/>
        </w:rPr>
        <w:t>Van de Werfhorst 2013</w:t>
      </w:r>
      <w:r w:rsidR="003E14B7">
        <w:rPr>
          <w:rFonts w:eastAsia="Batang" w:cs="Arial"/>
          <w:w w:val="110"/>
          <w:szCs w:val="20"/>
        </w:rPr>
        <w:t>,</w:t>
      </w:r>
      <w:r w:rsidRPr="001E31D3">
        <w:rPr>
          <w:rFonts w:cs="Arial"/>
          <w:szCs w:val="20"/>
        </w:rPr>
        <w:t xml:space="preserve"> </w:t>
      </w:r>
      <w:r w:rsidR="00833041" w:rsidRPr="001E31D3">
        <w:rPr>
          <w:rFonts w:eastAsia="Batang" w:cs="Arial"/>
          <w:w w:val="110"/>
          <w:szCs w:val="20"/>
        </w:rPr>
        <w:t xml:space="preserve">Woessmann </w:t>
      </w:r>
      <w:r w:rsidRPr="001E31D3">
        <w:rPr>
          <w:rFonts w:eastAsia="Batang" w:cs="Arial"/>
          <w:w w:val="110"/>
          <w:szCs w:val="20"/>
        </w:rPr>
        <w:t>2005)</w:t>
      </w:r>
      <w:r w:rsidRPr="001E31D3">
        <w:rPr>
          <w:rFonts w:cs="Arial"/>
          <w:szCs w:val="20"/>
        </w:rPr>
        <w:t xml:space="preserve"> suggest that this characteristic – which basically measures the prevalence of externally set and marked exams - is significantly positively related with performance at 15 in PISA across countries, our analysis here provides no evidence of significant effects at the upper secondary level. Given that Woessmann (2005) finds that central exit exams have more im</w:t>
      </w:r>
      <w:r w:rsidR="00833041" w:rsidRPr="001E31D3">
        <w:rPr>
          <w:rFonts w:cs="Arial"/>
          <w:szCs w:val="20"/>
        </w:rPr>
        <w:t>pact on</w:t>
      </w:r>
      <w:r w:rsidRPr="001E31D3">
        <w:rPr>
          <w:rFonts w:cs="Arial"/>
          <w:szCs w:val="20"/>
        </w:rPr>
        <w:t xml:space="preserve"> older lower secondary students this may seem surprising. </w:t>
      </w:r>
    </w:p>
    <w:p w:rsidR="00833041" w:rsidRPr="001E31D3" w:rsidRDefault="00833041" w:rsidP="00065622">
      <w:pPr>
        <w:spacing w:after="120" w:line="288" w:lineRule="auto"/>
        <w:rPr>
          <w:rFonts w:cs="Arial"/>
          <w:i/>
          <w:szCs w:val="20"/>
        </w:rPr>
      </w:pPr>
      <w:r w:rsidRPr="001E31D3">
        <w:rPr>
          <w:rFonts w:cs="Arial"/>
          <w:i/>
          <w:szCs w:val="20"/>
        </w:rPr>
        <w:t>No effects</w:t>
      </w:r>
    </w:p>
    <w:p w:rsidR="009074C7" w:rsidRPr="001E31D3" w:rsidRDefault="00833041" w:rsidP="00065622">
      <w:pPr>
        <w:spacing w:after="120" w:line="288" w:lineRule="auto"/>
      </w:pPr>
      <w:r w:rsidRPr="001E31D3">
        <w:rPr>
          <w:rFonts w:cs="Arial"/>
          <w:szCs w:val="20"/>
        </w:rPr>
        <w:t>No effects were found for the prevalence of secondary private schools.</w:t>
      </w:r>
    </w:p>
    <w:p w:rsidR="00833041" w:rsidRDefault="00833041" w:rsidP="00065622">
      <w:pPr>
        <w:spacing w:after="120" w:line="288" w:lineRule="auto"/>
        <w:rPr>
          <w:rFonts w:cs="Arial"/>
          <w:color w:val="262626" w:themeColor="text1" w:themeTint="D9"/>
          <w:szCs w:val="20"/>
          <w:highlight w:val="yellow"/>
        </w:rPr>
      </w:pPr>
    </w:p>
    <w:p w:rsidR="00833041" w:rsidRDefault="00833041">
      <w:pPr>
        <w:jc w:val="left"/>
        <w:rPr>
          <w:rFonts w:cs="Arial"/>
          <w:b/>
          <w:bCs/>
          <w:noProof/>
          <w:color w:val="263673"/>
          <w:kern w:val="32"/>
          <w:sz w:val="28"/>
          <w:szCs w:val="32"/>
        </w:rPr>
      </w:pPr>
      <w:r>
        <w:rPr>
          <w:noProof/>
        </w:rPr>
        <w:br w:type="page"/>
      </w:r>
    </w:p>
    <w:p w:rsidR="00FA0851" w:rsidRPr="0021350B" w:rsidRDefault="00FA0851" w:rsidP="00FA0851">
      <w:pPr>
        <w:pStyle w:val="Heading1"/>
        <w:rPr>
          <w:lang w:val="en-US"/>
        </w:rPr>
      </w:pPr>
      <w:bookmarkStart w:id="227" w:name="_Toc435802114"/>
      <w:bookmarkEnd w:id="206"/>
      <w:r>
        <w:rPr>
          <w:lang w:val="en-US"/>
        </w:rPr>
        <w:t>7</w:t>
      </w:r>
      <w:r w:rsidRPr="00425879">
        <w:rPr>
          <w:lang w:val="en-US"/>
        </w:rPr>
        <w:t>. Concluding discussion and recommendations</w:t>
      </w:r>
      <w:bookmarkEnd w:id="227"/>
    </w:p>
    <w:p w:rsidR="00FA0851" w:rsidRPr="0021350B"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21350B">
        <w:rPr>
          <w:rFonts w:cs="Helvetica"/>
          <w:szCs w:val="20"/>
          <w:lang w:val="en-US"/>
        </w:rPr>
        <w:t>The purpose of this study has been to examine the nature and scale of the link between basic competences in literacy and numeracy and formal educational attainment in Europe, and to examine the causes behind the relationships observed. In this concluding section, we bring together the various sections of the analysis to discuss what the findings mean for education and training policy, and to derive policy recommendations both in relation to improving the quality and effectiveness of initial formal education and in terms of what adjustments are needed to the collection of comparable information on formal educational attainment, as well as international assessments of competences.</w:t>
      </w:r>
    </w:p>
    <w:p w:rsidR="00FA0851" w:rsidRPr="0021350B"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b/>
          <w:color w:val="1F497D" w:themeColor="text2"/>
          <w:szCs w:val="20"/>
          <w:lang w:val="en-US"/>
        </w:rPr>
      </w:pPr>
      <w:r w:rsidRPr="0021350B">
        <w:rPr>
          <w:rFonts w:cs="Helvetica"/>
          <w:b/>
          <w:color w:val="1F497D" w:themeColor="text2"/>
          <w:szCs w:val="20"/>
          <w:lang w:val="en-US"/>
        </w:rPr>
        <w:t>There are major variations across Europe with regards to average literacy and numeracy competence levels and the dispersion of competences amongst young adults…</w:t>
      </w:r>
    </w:p>
    <w:p w:rsidR="00FA0851" w:rsidRPr="00797F06" w:rsidRDefault="00FA0851" w:rsidP="00FA0851">
      <w:pPr>
        <w:spacing w:after="120" w:line="288" w:lineRule="auto"/>
        <w:rPr>
          <w:rFonts w:cs="Arial"/>
          <w:szCs w:val="20"/>
        </w:rPr>
      </w:pPr>
      <w:r w:rsidRPr="00797F06">
        <w:rPr>
          <w:rFonts w:cs="Helvetica"/>
          <w:szCs w:val="20"/>
          <w:lang w:val="en-US"/>
        </w:rPr>
        <w:t>Variation is an intrinsic feature of European education and training systems, and the study has highlighted the large differences that exist between EU Member States</w:t>
      </w:r>
      <w:r w:rsidRPr="00797F06">
        <w:rPr>
          <w:rFonts w:cs="Arial"/>
          <w:szCs w:val="20"/>
          <w:lang w:val="en-US"/>
        </w:rPr>
        <w:t xml:space="preserve"> </w:t>
      </w:r>
      <w:r w:rsidRPr="00797F06">
        <w:rPr>
          <w:rFonts w:cs="Arial"/>
          <w:szCs w:val="20"/>
        </w:rPr>
        <w:t>both with regards to average numeracy and literacy competences amongst young adults with regard to the dispersion</w:t>
      </w:r>
      <w:r w:rsidR="00370605">
        <w:rPr>
          <w:rFonts w:cs="Arial"/>
          <w:szCs w:val="20"/>
        </w:rPr>
        <w:t xml:space="preserve"> (equity)</w:t>
      </w:r>
      <w:r w:rsidRPr="00797F06">
        <w:rPr>
          <w:rFonts w:cs="Arial"/>
          <w:szCs w:val="20"/>
        </w:rPr>
        <w:t xml:space="preserve"> of competences within this group (Chapter Three). </w:t>
      </w:r>
      <w:r w:rsidRPr="00797F06">
        <w:rPr>
          <w:rFonts w:cs="Helvetica"/>
          <w:szCs w:val="20"/>
          <w:lang w:val="en-US"/>
        </w:rPr>
        <w:t>At the same time, the study has shown that it is possible to identify groups of countries that display similar patterns with respect to both dimensions. Most countries can be grouped into four clusters:</w:t>
      </w:r>
    </w:p>
    <w:p w:rsidR="00FA0851" w:rsidRPr="00797F06" w:rsidRDefault="00FA0851" w:rsidP="00FA0851">
      <w:pPr>
        <w:pStyle w:val="ListParagraph"/>
        <w:numPr>
          <w:ilvl w:val="0"/>
          <w:numId w:val="14"/>
        </w:numPr>
        <w:spacing w:after="120" w:line="288" w:lineRule="auto"/>
        <w:rPr>
          <w:rFonts w:cs="Arial"/>
          <w:szCs w:val="20"/>
        </w:rPr>
      </w:pPr>
      <w:r w:rsidRPr="00797F06">
        <w:rPr>
          <w:rFonts w:cs="Arial"/>
          <w:szCs w:val="20"/>
        </w:rPr>
        <w:t>Those with above average mean scores and below average dispersion of competences. For numeracy, this group includes Belgium</w:t>
      </w:r>
      <w:r>
        <w:rPr>
          <w:rFonts w:cs="Arial"/>
          <w:szCs w:val="20"/>
        </w:rPr>
        <w:t xml:space="preserve"> (FL)</w:t>
      </w:r>
      <w:r w:rsidRPr="00797F06">
        <w:rPr>
          <w:rFonts w:cs="Arial"/>
          <w:szCs w:val="20"/>
        </w:rPr>
        <w:t>, the Czech Republic, Estonia, Finland and the Netherlands. For literacy, this group includes again Belgium</w:t>
      </w:r>
      <w:r>
        <w:rPr>
          <w:rFonts w:cs="Arial"/>
          <w:szCs w:val="20"/>
        </w:rPr>
        <w:t xml:space="preserve"> (FL)</w:t>
      </w:r>
      <w:r w:rsidRPr="00797F06">
        <w:rPr>
          <w:rFonts w:cs="Arial"/>
          <w:szCs w:val="20"/>
        </w:rPr>
        <w:t>, Estonia and Finland.</w:t>
      </w:r>
    </w:p>
    <w:p w:rsidR="00FA0851" w:rsidRPr="00797F06" w:rsidRDefault="00FA0851" w:rsidP="00FA0851">
      <w:pPr>
        <w:pStyle w:val="ListParagraph"/>
        <w:numPr>
          <w:ilvl w:val="0"/>
          <w:numId w:val="14"/>
        </w:numPr>
        <w:spacing w:after="120" w:line="288" w:lineRule="auto"/>
        <w:rPr>
          <w:rFonts w:cs="Arial"/>
          <w:szCs w:val="20"/>
        </w:rPr>
      </w:pPr>
      <w:r w:rsidRPr="00797F06">
        <w:rPr>
          <w:rFonts w:cs="Arial"/>
          <w:szCs w:val="20"/>
        </w:rPr>
        <w:t>Those with below</w:t>
      </w:r>
      <w:r w:rsidR="00044F62">
        <w:rPr>
          <w:rFonts w:cs="Arial"/>
          <w:szCs w:val="20"/>
        </w:rPr>
        <w:t xml:space="preserve"> </w:t>
      </w:r>
      <w:r w:rsidRPr="00797F06">
        <w:rPr>
          <w:rFonts w:cs="Arial"/>
          <w:szCs w:val="20"/>
        </w:rPr>
        <w:t>average mean scores and above average dispersion. For numeracy, this group includes the United Kingdom</w:t>
      </w:r>
      <w:r>
        <w:rPr>
          <w:rFonts w:cs="Arial"/>
          <w:szCs w:val="20"/>
        </w:rPr>
        <w:t xml:space="preserve"> (EN/NI)</w:t>
      </w:r>
      <w:r w:rsidRPr="00797F06">
        <w:rPr>
          <w:rFonts w:cs="Arial"/>
          <w:szCs w:val="20"/>
        </w:rPr>
        <w:t xml:space="preserve"> and France. For literacy, this group again includes the United Kingdom</w:t>
      </w:r>
      <w:r>
        <w:rPr>
          <w:rFonts w:cs="Arial"/>
          <w:szCs w:val="20"/>
        </w:rPr>
        <w:t xml:space="preserve"> (EN/NI)</w:t>
      </w:r>
      <w:r w:rsidR="00044F62">
        <w:rPr>
          <w:rFonts w:cs="Arial"/>
          <w:szCs w:val="20"/>
        </w:rPr>
        <w:t>,</w:t>
      </w:r>
      <w:r w:rsidRPr="00797F06">
        <w:rPr>
          <w:rFonts w:cs="Arial"/>
          <w:szCs w:val="20"/>
        </w:rPr>
        <w:t xml:space="preserve"> and</w:t>
      </w:r>
      <w:r w:rsidR="00044F62">
        <w:rPr>
          <w:rFonts w:cs="Arial"/>
          <w:szCs w:val="20"/>
        </w:rPr>
        <w:t xml:space="preserve"> also</w:t>
      </w:r>
      <w:r w:rsidRPr="00797F06">
        <w:rPr>
          <w:rFonts w:cs="Arial"/>
          <w:szCs w:val="20"/>
        </w:rPr>
        <w:t xml:space="preserve"> Poland.</w:t>
      </w:r>
    </w:p>
    <w:p w:rsidR="00FA0851" w:rsidRPr="00797F06" w:rsidRDefault="00FA0851" w:rsidP="00FA0851">
      <w:pPr>
        <w:pStyle w:val="ListParagraph"/>
        <w:numPr>
          <w:ilvl w:val="0"/>
          <w:numId w:val="14"/>
        </w:numPr>
        <w:spacing w:after="120" w:line="288" w:lineRule="auto"/>
        <w:rPr>
          <w:rFonts w:cs="Arial"/>
          <w:szCs w:val="20"/>
        </w:rPr>
      </w:pPr>
      <w:r w:rsidRPr="00797F06">
        <w:rPr>
          <w:rFonts w:cs="Arial"/>
          <w:szCs w:val="20"/>
        </w:rPr>
        <w:t>Those with above average mean scores, but also above average dispersion. This group includes Sweden and Denmark for numeracy and again Sweden and the Netherlands for literacy.</w:t>
      </w:r>
    </w:p>
    <w:p w:rsidR="00FA0851" w:rsidRPr="00797F06" w:rsidRDefault="00FA0851" w:rsidP="00FA0851">
      <w:pPr>
        <w:pStyle w:val="ListParagraph"/>
        <w:numPr>
          <w:ilvl w:val="0"/>
          <w:numId w:val="14"/>
        </w:numPr>
        <w:spacing w:after="120" w:line="288" w:lineRule="auto"/>
        <w:rPr>
          <w:rFonts w:cs="Arial"/>
          <w:szCs w:val="20"/>
        </w:rPr>
      </w:pPr>
      <w:r w:rsidRPr="00797F06">
        <w:rPr>
          <w:rFonts w:cs="Arial"/>
          <w:szCs w:val="20"/>
        </w:rPr>
        <w:t>Those with below average mean scores and below average dispersion. For numeracy, this group includes Italy and Spain. For literacy, the group includes Ireland, Italy, the Slovak Republic and Spain.</w:t>
      </w:r>
    </w:p>
    <w:p w:rsidR="00FA0851" w:rsidRPr="00797F06"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Arial"/>
          <w:szCs w:val="20"/>
        </w:rPr>
      </w:pPr>
      <w:r w:rsidRPr="00797F06">
        <w:rPr>
          <w:rFonts w:cs="Arial"/>
          <w:szCs w:val="20"/>
        </w:rPr>
        <w:t>A number of countries cannot be attributed clearly to any of these clusters. Austria, Germany, Ireland, Poland and the Slovak Republic cannot be clearly attributed when it comes to numeracy. Austria, Germany, the Czech Republic, Denmark and France can not be attributed to any cluster when it comes to literacy.</w:t>
      </w:r>
    </w:p>
    <w:p w:rsidR="00FA0851" w:rsidRDefault="00FA0851" w:rsidP="00FA0851">
      <w:pPr>
        <w:pStyle w:val="CommentText"/>
        <w:spacing w:after="120"/>
        <w:jc w:val="both"/>
        <w:rPr>
          <w:rFonts w:ascii="Verdana" w:hAnsi="Verdana" w:cs="Arial"/>
          <w:color w:val="333333"/>
        </w:rPr>
      </w:pPr>
      <w:r w:rsidRPr="00797F06">
        <w:rPr>
          <w:rFonts w:ascii="Verdana" w:hAnsi="Verdana" w:cs="Arial"/>
          <w:color w:val="333333"/>
        </w:rPr>
        <w:t xml:space="preserve">Overall, the analysis shows that it is possible to achieve both high average competence levels and a low degree of competence dispersion. </w:t>
      </w:r>
      <w:r>
        <w:rPr>
          <w:rFonts w:ascii="Verdana" w:hAnsi="Verdana" w:cs="Arial"/>
          <w:color w:val="333333"/>
        </w:rPr>
        <w:t xml:space="preserve">This is interesting </w:t>
      </w:r>
      <w:r w:rsidR="00044F62">
        <w:rPr>
          <w:rFonts w:ascii="Verdana" w:hAnsi="Verdana" w:cs="Arial"/>
          <w:color w:val="333333"/>
        </w:rPr>
        <w:t>since</w:t>
      </w:r>
      <w:r>
        <w:rPr>
          <w:rFonts w:ascii="Verdana" w:hAnsi="Verdana" w:cs="Arial"/>
          <w:color w:val="333333"/>
        </w:rPr>
        <w:t xml:space="preserve"> i</w:t>
      </w:r>
      <w:r w:rsidRPr="00797F06">
        <w:rPr>
          <w:rFonts w:ascii="Verdana" w:hAnsi="Verdana" w:cs="Arial"/>
          <w:color w:val="333333"/>
        </w:rPr>
        <w:t>t is sometimes argued that there is a trade-off between these two aspects.</w:t>
      </w:r>
    </w:p>
    <w:p w:rsidR="00FA0851" w:rsidRDefault="00FA0851" w:rsidP="00FA0851">
      <w:pPr>
        <w:pStyle w:val="CommentText"/>
        <w:spacing w:after="120"/>
        <w:jc w:val="both"/>
        <w:rPr>
          <w:rFonts w:ascii="Verdana" w:hAnsi="Verdana" w:cs="Arial"/>
          <w:color w:val="333333"/>
        </w:rPr>
      </w:pPr>
    </w:p>
    <w:p w:rsidR="00FA0851" w:rsidRPr="00797F06" w:rsidRDefault="00FA0851" w:rsidP="00FA0851">
      <w:pPr>
        <w:pStyle w:val="CommentText"/>
        <w:spacing w:after="120"/>
        <w:jc w:val="both"/>
        <w:rPr>
          <w:rFonts w:ascii="Verdana" w:hAnsi="Verdana" w:cs="Arial"/>
          <w:color w:val="333333"/>
        </w:rPr>
      </w:pPr>
      <w:r w:rsidRPr="008B13C6">
        <w:rPr>
          <w:rFonts w:ascii="Verdana" w:hAnsi="Verdana" w:cs="Arial"/>
          <w:noProof/>
          <w:lang w:val="en-US" w:eastAsia="en-US"/>
        </w:rPr>
        <mc:AlternateContent>
          <mc:Choice Requires="wps">
            <w:drawing>
              <wp:inline distT="0" distB="0" distL="0" distR="0" wp14:anchorId="629169EE" wp14:editId="7F99B3F0">
                <wp:extent cx="5580000" cy="2562447"/>
                <wp:effectExtent l="38100" t="38100" r="135255" b="123825"/>
                <wp:docPr id="9"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80000" cy="2562447"/>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797F06">
                              <w:rPr>
                                <w:rFonts w:cs="Helvetica"/>
                                <w:b/>
                                <w:color w:val="1F497D" w:themeColor="text2"/>
                                <w:szCs w:val="20"/>
                                <w:lang w:val="en-US"/>
                              </w:rPr>
                              <w:t>Recommendation</w:t>
                            </w:r>
                            <w:r>
                              <w:rPr>
                                <w:rFonts w:cs="Helvetica"/>
                                <w:b/>
                                <w:color w:val="1F497D" w:themeColor="text2"/>
                                <w:szCs w:val="20"/>
                                <w:lang w:val="en-US"/>
                              </w:rPr>
                              <w:t xml:space="preserve"> 1</w:t>
                            </w:r>
                          </w:p>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Pr>
                                <w:rFonts w:cs="Helvetica"/>
                                <w:b/>
                                <w:color w:val="1F497D" w:themeColor="text2"/>
                                <w:szCs w:val="20"/>
                                <w:lang w:val="en-US"/>
                              </w:rPr>
                              <w:t>-</w:t>
                            </w:r>
                            <w:r w:rsidRPr="00797F06">
                              <w:rPr>
                                <w:rFonts w:cs="Helvetica"/>
                                <w:b/>
                                <w:color w:val="1F497D" w:themeColor="text2"/>
                                <w:szCs w:val="20"/>
                                <w:lang w:val="en-US"/>
                              </w:rPr>
                              <w:t xml:space="preserve"> </w:t>
                            </w:r>
                            <w:r w:rsidRPr="00797F06">
                              <w:rPr>
                                <w:rFonts w:cs="Helvetica"/>
                                <w:i/>
                                <w:color w:val="1F497D" w:themeColor="text2"/>
                                <w:szCs w:val="20"/>
                                <w:lang w:val="en-US"/>
                              </w:rPr>
                              <w:t>improving the quality and effectiveness of initial formal education</w:t>
                            </w:r>
                            <w:r>
                              <w:rPr>
                                <w:rFonts w:cs="Helvetica"/>
                                <w:i/>
                                <w:color w:val="1F497D" w:themeColor="text2"/>
                                <w:szCs w:val="20"/>
                                <w:lang w:val="en-US"/>
                              </w:rPr>
                              <w:t xml:space="preserve"> -</w:t>
                            </w:r>
                          </w:p>
                          <w:p w:rsidR="00394EBA" w:rsidRPr="00797F06"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b/>
                                <w:color w:val="1F497D" w:themeColor="text2"/>
                                <w:szCs w:val="20"/>
                                <w:lang w:val="en-US"/>
                              </w:rPr>
                            </w:pPr>
                            <w:r>
                              <w:rPr>
                                <w:rFonts w:cs="Helvetica"/>
                                <w:color w:val="1F497D" w:themeColor="text2"/>
                                <w:szCs w:val="20"/>
                                <w:lang w:val="en-US"/>
                              </w:rPr>
                              <w:t>The analysis clearly highlights that some Member States, namely Belgium (FL), Estonia and Finland, manage to enable young people to acquire high levels of numeracy and literacy competence on average, while also ensuring the relatively equal distribution of these competences in the age group of 20 to 34 year olds. Further research should investigate the success factors behind these education systems producing both excellent and equitable outcomes, with the view to extracting factors which might be transferable to other European Member States.</w:t>
                            </w:r>
                          </w:p>
                          <w:p w:rsidR="00394EBA" w:rsidRPr="00797F06"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629169EE" id="_x0000_s1051" style="width:439.35pt;height:201.7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" fillcolor="#c6d9f1 [671]" strokecolor="gray [1629]" strokeweight="1.5pt">
                <v:shadow on="t" type="perspective" color="black" opacity="26214f" origin="-.5,-.5" offset=".74836mm,.74836mm" matrix="65864f,,,65864f"/>
                <v:textbox inset="21.6pt,21.6pt,21.6pt,21.6pt">
                  <w:txbxContent>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797F06">
                        <w:rPr>
                          <w:rFonts w:cs="Helvetica"/>
                          <w:b/>
                          <w:color w:val="1F497D" w:themeColor="text2"/>
                          <w:szCs w:val="20"/>
                          <w:lang w:val="en-US"/>
                        </w:rPr>
                        <w:t>Recommendation</w:t>
                      </w:r>
                      <w:r>
                        <w:rPr>
                          <w:rFonts w:cs="Helvetica"/>
                          <w:b/>
                          <w:color w:val="1F497D" w:themeColor="text2"/>
                          <w:szCs w:val="20"/>
                          <w:lang w:val="en-US"/>
                        </w:rPr>
                        <w:t xml:space="preserve"> 1</w:t>
                      </w:r>
                    </w:p>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Pr>
                          <w:rFonts w:cs="Helvetica"/>
                          <w:b/>
                          <w:color w:val="1F497D" w:themeColor="text2"/>
                          <w:szCs w:val="20"/>
                          <w:lang w:val="en-US"/>
                        </w:rPr>
                        <w:t>-</w:t>
                      </w:r>
                      <w:r w:rsidRPr="00797F06">
                        <w:rPr>
                          <w:rFonts w:cs="Helvetica"/>
                          <w:b/>
                          <w:color w:val="1F497D" w:themeColor="text2"/>
                          <w:szCs w:val="20"/>
                          <w:lang w:val="en-US"/>
                        </w:rPr>
                        <w:t xml:space="preserve"> </w:t>
                      </w:r>
                      <w:r w:rsidRPr="00797F06">
                        <w:rPr>
                          <w:rFonts w:cs="Helvetica"/>
                          <w:i/>
                          <w:color w:val="1F497D" w:themeColor="text2"/>
                          <w:szCs w:val="20"/>
                          <w:lang w:val="en-US"/>
                        </w:rPr>
                        <w:t>improving the quality and effectiveness of initial formal education</w:t>
                      </w:r>
                      <w:r>
                        <w:rPr>
                          <w:rFonts w:cs="Helvetica"/>
                          <w:i/>
                          <w:color w:val="1F497D" w:themeColor="text2"/>
                          <w:szCs w:val="20"/>
                          <w:lang w:val="en-US"/>
                        </w:rPr>
                        <w:t xml:space="preserve"> -</w:t>
                      </w:r>
                    </w:p>
                    <w:p w:rsidR="00394EBA" w:rsidRPr="00797F06"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b/>
                          <w:color w:val="1F497D" w:themeColor="text2"/>
                          <w:szCs w:val="20"/>
                          <w:lang w:val="en-US"/>
                        </w:rPr>
                      </w:pPr>
                      <w:r>
                        <w:rPr>
                          <w:rFonts w:cs="Helvetica"/>
                          <w:color w:val="1F497D" w:themeColor="text2"/>
                          <w:szCs w:val="20"/>
                          <w:lang w:val="en-US"/>
                        </w:rPr>
                        <w:t>The analysis clearly highlights that some Member States, namely Belgium (FL), Estonia and Finland, manage to enable young people to acquire high levels of numeracy and literacy competence on average, while also ensuring the relatively equal distribution of these competences in the age group of 20 to 34 year olds. Further research should investigate the success factors behind these education systems producing both excellent and equitable outcomes, with the view to extracting factors which might be transferable to other European Member States.</w:t>
                      </w:r>
                    </w:p>
                    <w:p w:rsidR="00394EBA" w:rsidRPr="00797F06"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v:textbox>
                <w10:anchorlock/>
              </v:rect>
            </w:pict>
          </mc:Fallback>
        </mc:AlternateContent>
      </w:r>
    </w:p>
    <w:p w:rsidR="00FA0851" w:rsidRPr="008B13C6" w:rsidRDefault="00FA0851" w:rsidP="00FA0851">
      <w:pPr>
        <w:spacing w:after="120" w:line="288" w:lineRule="auto"/>
        <w:rPr>
          <w:rFonts w:cs="Arial"/>
          <w:b/>
          <w:color w:val="1F497D" w:themeColor="text2"/>
        </w:rPr>
      </w:pPr>
      <w:r w:rsidRPr="008B13C6">
        <w:rPr>
          <w:rFonts w:cs="Arial"/>
          <w:b/>
          <w:color w:val="1F497D" w:themeColor="text2"/>
        </w:rPr>
        <w:t>…and educational expansion</w:t>
      </w:r>
      <w:r>
        <w:rPr>
          <w:rFonts w:cs="Arial"/>
          <w:b/>
          <w:color w:val="1F497D" w:themeColor="text2"/>
        </w:rPr>
        <w:t xml:space="preserve"> </w:t>
      </w:r>
      <w:r w:rsidRPr="00370605">
        <w:rPr>
          <w:rFonts w:cs="Arial"/>
          <w:b/>
          <w:i/>
          <w:color w:val="1F497D" w:themeColor="text2"/>
        </w:rPr>
        <w:t>per se</w:t>
      </w:r>
      <w:r w:rsidRPr="008B13C6">
        <w:rPr>
          <w:rFonts w:cs="Arial"/>
          <w:b/>
          <w:color w:val="1F497D" w:themeColor="text2"/>
        </w:rPr>
        <w:t xml:space="preserve"> is no panacea for the improvement of competence levels. </w:t>
      </w:r>
    </w:p>
    <w:p w:rsidR="00FA0851" w:rsidRPr="001E31D3" w:rsidRDefault="00001DCE" w:rsidP="00FA0851">
      <w:pPr>
        <w:spacing w:after="120" w:line="288" w:lineRule="auto"/>
        <w:rPr>
          <w:rFonts w:cs="Arial"/>
          <w:szCs w:val="20"/>
        </w:rPr>
      </w:pPr>
      <w:r w:rsidRPr="001E31D3">
        <w:rPr>
          <w:rFonts w:cs="Arial"/>
          <w:szCs w:val="20"/>
        </w:rPr>
        <w:t xml:space="preserve">Our study </w:t>
      </w:r>
      <w:r w:rsidR="00FA0851" w:rsidRPr="001E31D3">
        <w:rPr>
          <w:rFonts w:cs="Arial"/>
          <w:szCs w:val="20"/>
        </w:rPr>
        <w:t xml:space="preserve">found that there has been a strong expansion of higher educational attainment at tertiary level and a marked reduction of lower attainment over the last decades across European Member States. However, educational expansion has taken place to </w:t>
      </w:r>
      <w:r w:rsidRPr="001E31D3">
        <w:rPr>
          <w:rFonts w:cs="Arial"/>
          <w:szCs w:val="20"/>
        </w:rPr>
        <w:t xml:space="preserve">a </w:t>
      </w:r>
      <w:r w:rsidR="00FA0851" w:rsidRPr="001E31D3">
        <w:rPr>
          <w:rFonts w:cs="Arial"/>
          <w:szCs w:val="20"/>
        </w:rPr>
        <w:t xml:space="preserve">varying extent throughout Europe and has been more substantial in some countries, e.g. in Poland, and less substantial in others, e.g. in Germany. Hence, while overall there is no evidence that this has been accompanied by a similar increase in competences – at least in the last 15 years and with regards to literacy competence – there is evidence that the substantial educational expansion and reform in Poland in the relevant time period </w:t>
      </w:r>
      <w:r w:rsidRPr="001E31D3">
        <w:rPr>
          <w:rFonts w:cs="Arial"/>
          <w:szCs w:val="20"/>
        </w:rPr>
        <w:t>appears to have</w:t>
      </w:r>
      <w:r w:rsidR="00FA0851" w:rsidRPr="001E31D3">
        <w:rPr>
          <w:rFonts w:cs="Arial"/>
          <w:szCs w:val="20"/>
        </w:rPr>
        <w:t xml:space="preserve"> induced average competence gains. Those countries which have seen a deterioration of literacy competence in the relevant time period have also experienced the strongest increase in the dispersion of competences, indicating that leaving behind low achievers may partially be responsible for the deterioration of average competence levels. </w:t>
      </w:r>
    </w:p>
    <w:p w:rsidR="00FA0851" w:rsidRDefault="00FA0851" w:rsidP="00FA0851">
      <w:pPr>
        <w:spacing w:after="120" w:line="288" w:lineRule="auto"/>
        <w:rPr>
          <w:rFonts w:cs="Arial"/>
          <w:szCs w:val="20"/>
        </w:rPr>
      </w:pPr>
      <w:r w:rsidRPr="008B13C6">
        <w:rPr>
          <w:rFonts w:cs="Arial"/>
          <w:noProof/>
          <w:szCs w:val="20"/>
          <w:lang w:val="en-US" w:eastAsia="en-US"/>
        </w:rPr>
        <mc:AlternateContent>
          <mc:Choice Requires="wps">
            <w:drawing>
              <wp:inline distT="0" distB="0" distL="0" distR="0" wp14:anchorId="4698EE48" wp14:editId="73FA0FCD">
                <wp:extent cx="5579745" cy="2105247"/>
                <wp:effectExtent l="38100" t="38100" r="135255" b="123825"/>
                <wp:docPr id="672"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79745" cy="2105247"/>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797F06">
                              <w:rPr>
                                <w:rFonts w:cs="Helvetica"/>
                                <w:b/>
                                <w:color w:val="1F497D" w:themeColor="text2"/>
                                <w:szCs w:val="20"/>
                                <w:lang w:val="en-US"/>
                              </w:rPr>
                              <w:t>Recommendation</w:t>
                            </w:r>
                            <w:r>
                              <w:rPr>
                                <w:rFonts w:cs="Helvetica"/>
                                <w:b/>
                                <w:color w:val="1F497D" w:themeColor="text2"/>
                                <w:szCs w:val="20"/>
                                <w:lang w:val="en-US"/>
                              </w:rPr>
                              <w:t xml:space="preserve"> 2</w:t>
                            </w:r>
                          </w:p>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Pr>
                                <w:rFonts w:cs="Helvetica"/>
                                <w:b/>
                                <w:color w:val="1F497D" w:themeColor="text2"/>
                                <w:szCs w:val="20"/>
                                <w:lang w:val="en-US"/>
                              </w:rPr>
                              <w:t>-</w:t>
                            </w:r>
                            <w:r w:rsidRPr="00797F06">
                              <w:rPr>
                                <w:rFonts w:cs="Helvetica"/>
                                <w:b/>
                                <w:color w:val="1F497D" w:themeColor="text2"/>
                                <w:szCs w:val="20"/>
                                <w:lang w:val="en-US"/>
                              </w:rPr>
                              <w:t xml:space="preserve"> </w:t>
                            </w:r>
                            <w:r w:rsidRPr="00797F06">
                              <w:rPr>
                                <w:rFonts w:cs="Helvetica"/>
                                <w:i/>
                                <w:color w:val="1F497D" w:themeColor="text2"/>
                                <w:szCs w:val="20"/>
                                <w:lang w:val="en-US"/>
                              </w:rPr>
                              <w:t>improving the quality and effectiveness of initial formal education</w:t>
                            </w:r>
                            <w:r>
                              <w:rPr>
                                <w:rFonts w:cs="Helvetica"/>
                                <w:i/>
                                <w:color w:val="1F497D" w:themeColor="text2"/>
                                <w:szCs w:val="20"/>
                                <w:lang w:val="en-US"/>
                              </w:rPr>
                              <w:t xml:space="preserve"> -</w:t>
                            </w:r>
                          </w:p>
                          <w:p w:rsidR="00394EBA" w:rsidRPr="00651009"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Pr>
                                <w:rFonts w:cs="Helvetica"/>
                                <w:color w:val="1F497D" w:themeColor="text2"/>
                                <w:szCs w:val="20"/>
                                <w:lang w:val="en-US"/>
                              </w:rPr>
                              <w:t>Educational expansion matters for the improvement of average competences, but it has to be of good quality. High quality educational expansion needs to take place across education sectors and tracks, to avoid leaving behind low achievers and lift average competence levels.</w:t>
                            </w: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4698EE48" id="_x0000_s1052" style="width:439.35pt;height:165.7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" fillcolor="#c6d9f1 [671]" strokecolor="gray [1629]" strokeweight="1.5pt">
                <v:shadow on="t" type="perspective" color="black" opacity="26214f" origin="-.5,-.5" offset=".74836mm,.74836mm" matrix="65864f,,,65864f"/>
                <v:textbox inset="21.6pt,21.6pt,21.6pt,21.6pt">
                  <w:txbxContent>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797F06">
                        <w:rPr>
                          <w:rFonts w:cs="Helvetica"/>
                          <w:b/>
                          <w:color w:val="1F497D" w:themeColor="text2"/>
                          <w:szCs w:val="20"/>
                          <w:lang w:val="en-US"/>
                        </w:rPr>
                        <w:t>Recommendation</w:t>
                      </w:r>
                      <w:r>
                        <w:rPr>
                          <w:rFonts w:cs="Helvetica"/>
                          <w:b/>
                          <w:color w:val="1F497D" w:themeColor="text2"/>
                          <w:szCs w:val="20"/>
                          <w:lang w:val="en-US"/>
                        </w:rPr>
                        <w:t xml:space="preserve"> 2</w:t>
                      </w:r>
                    </w:p>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Pr>
                          <w:rFonts w:cs="Helvetica"/>
                          <w:b/>
                          <w:color w:val="1F497D" w:themeColor="text2"/>
                          <w:szCs w:val="20"/>
                          <w:lang w:val="en-US"/>
                        </w:rPr>
                        <w:t>-</w:t>
                      </w:r>
                      <w:r w:rsidRPr="00797F06">
                        <w:rPr>
                          <w:rFonts w:cs="Helvetica"/>
                          <w:b/>
                          <w:color w:val="1F497D" w:themeColor="text2"/>
                          <w:szCs w:val="20"/>
                          <w:lang w:val="en-US"/>
                        </w:rPr>
                        <w:t xml:space="preserve"> </w:t>
                      </w:r>
                      <w:r w:rsidRPr="00797F06">
                        <w:rPr>
                          <w:rFonts w:cs="Helvetica"/>
                          <w:i/>
                          <w:color w:val="1F497D" w:themeColor="text2"/>
                          <w:szCs w:val="20"/>
                          <w:lang w:val="en-US"/>
                        </w:rPr>
                        <w:t>improving the quality and effectiveness of initial formal education</w:t>
                      </w:r>
                      <w:r>
                        <w:rPr>
                          <w:rFonts w:cs="Helvetica"/>
                          <w:i/>
                          <w:color w:val="1F497D" w:themeColor="text2"/>
                          <w:szCs w:val="20"/>
                          <w:lang w:val="en-US"/>
                        </w:rPr>
                        <w:t xml:space="preserve"> -</w:t>
                      </w:r>
                    </w:p>
                    <w:p w:rsidR="00394EBA" w:rsidRPr="00651009"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Pr>
                          <w:rFonts w:cs="Helvetica"/>
                          <w:color w:val="1F497D" w:themeColor="text2"/>
                          <w:szCs w:val="20"/>
                          <w:lang w:val="en-US"/>
                        </w:rPr>
                        <w:t>Educational expansion matters for the improvement of average competences, but it has to be of good quality. High quality educational expansion needs to take place across education sectors and tracks, to avoid leaving behind low achievers and lift average competence levels.</w:t>
                      </w: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v:textbox>
                <w10:anchorlock/>
              </v:rect>
            </w:pict>
          </mc:Fallback>
        </mc:AlternateContent>
      </w:r>
    </w:p>
    <w:p w:rsidR="00FA0851" w:rsidRDefault="00FA0851" w:rsidP="00FA0851">
      <w:pPr>
        <w:spacing w:after="120" w:line="288" w:lineRule="auto"/>
        <w:rPr>
          <w:rFonts w:cs="Arial"/>
          <w:szCs w:val="20"/>
        </w:rPr>
      </w:pPr>
    </w:p>
    <w:p w:rsidR="00FA0851" w:rsidRPr="0092631E" w:rsidRDefault="00370605"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b/>
          <w:color w:val="1F497D" w:themeColor="text2"/>
          <w:szCs w:val="20"/>
          <w:lang w:val="en-US"/>
        </w:rPr>
      </w:pPr>
      <w:r>
        <w:rPr>
          <w:rFonts w:cs="Calibri"/>
          <w:b/>
          <w:color w:val="1F497D" w:themeColor="text2"/>
          <w:szCs w:val="20"/>
          <w:lang w:val="en-US"/>
        </w:rPr>
        <w:t>However, t</w:t>
      </w:r>
      <w:r w:rsidR="00FA0851" w:rsidRPr="0092631E">
        <w:rPr>
          <w:rFonts w:cs="Calibri"/>
          <w:b/>
          <w:color w:val="1F497D" w:themeColor="text2"/>
          <w:szCs w:val="20"/>
          <w:lang w:val="en-US"/>
        </w:rPr>
        <w:t>here is a positive l</w:t>
      </w:r>
      <w:r w:rsidR="00BE64B9">
        <w:rPr>
          <w:rFonts w:cs="Calibri"/>
          <w:b/>
          <w:color w:val="1F497D" w:themeColor="text2"/>
          <w:szCs w:val="20"/>
          <w:lang w:val="en-US"/>
        </w:rPr>
        <w:t>ink</w:t>
      </w:r>
      <w:r w:rsidR="00FA0851" w:rsidRPr="0092631E">
        <w:rPr>
          <w:rFonts w:cs="Calibri"/>
          <w:b/>
          <w:color w:val="1F497D" w:themeColor="text2"/>
          <w:szCs w:val="20"/>
          <w:lang w:val="en-US"/>
        </w:rPr>
        <w:t xml:space="preserve"> between educational attainment and basic competences</w:t>
      </w:r>
      <w:r w:rsidR="00FA0851" w:rsidRPr="0092631E">
        <w:rPr>
          <w:rFonts w:cs="Helvetica"/>
          <w:b/>
          <w:color w:val="1F497D" w:themeColor="text2"/>
          <w:szCs w:val="20"/>
          <w:lang w:val="en-US"/>
        </w:rPr>
        <w:t>…</w:t>
      </w:r>
    </w:p>
    <w:p w:rsidR="00FA0851" w:rsidRPr="001E31D3" w:rsidRDefault="00FA0851" w:rsidP="00FA0851">
      <w:pPr>
        <w:spacing w:after="120" w:line="288" w:lineRule="auto"/>
        <w:rPr>
          <w:rFonts w:cs="Arial"/>
          <w:szCs w:val="20"/>
        </w:rPr>
      </w:pPr>
      <w:r w:rsidRPr="001E31D3">
        <w:rPr>
          <w:rFonts w:cs="Helvetica"/>
          <w:szCs w:val="20"/>
          <w:lang w:val="en-US"/>
        </w:rPr>
        <w:t>The study has found that overall there is a statistically significant and positive link between educational attainment and basic competences in literacy and numeracy (Chapter Five).</w:t>
      </w:r>
      <w:r w:rsidR="00BE64B9">
        <w:rPr>
          <w:rFonts w:cs="Helvetica"/>
          <w:szCs w:val="20"/>
          <w:lang w:val="en-US"/>
        </w:rPr>
        <w:t xml:space="preserve"> This means that those with higher qualifications display higher levels of competences on average.</w:t>
      </w:r>
      <w:r w:rsidRPr="001E31D3">
        <w:rPr>
          <w:rFonts w:cs="Helvetica"/>
          <w:szCs w:val="20"/>
          <w:lang w:val="en-US"/>
        </w:rPr>
        <w:t xml:space="preserve"> </w:t>
      </w:r>
      <w:r w:rsidRPr="001E31D3">
        <w:rPr>
          <w:rFonts w:cs="Arial"/>
          <w:szCs w:val="20"/>
        </w:rPr>
        <w:t>However, the strength of this relationship varies between countries and while</w:t>
      </w:r>
      <w:r w:rsidR="00C753A1" w:rsidRPr="001E31D3">
        <w:rPr>
          <w:rFonts w:cs="Arial"/>
          <w:szCs w:val="20"/>
        </w:rPr>
        <w:t>,</w:t>
      </w:r>
      <w:r w:rsidRPr="001E31D3">
        <w:rPr>
          <w:rFonts w:cs="Arial"/>
          <w:szCs w:val="20"/>
        </w:rPr>
        <w:t xml:space="preserve"> for the majority of countries</w:t>
      </w:r>
      <w:r w:rsidR="00C753A1" w:rsidRPr="001E31D3">
        <w:rPr>
          <w:rFonts w:cs="Arial"/>
          <w:szCs w:val="20"/>
        </w:rPr>
        <w:t>,</w:t>
      </w:r>
      <w:r w:rsidRPr="001E31D3">
        <w:rPr>
          <w:rFonts w:cs="Arial"/>
          <w:szCs w:val="20"/>
        </w:rPr>
        <w:t xml:space="preserve"> differences between the effect of educational attainment on competences are not significant, some countries display a significantly larger or smaller effect of educational attainment on </w:t>
      </w:r>
      <w:r w:rsidR="00DF6A8D" w:rsidRPr="001E31D3">
        <w:rPr>
          <w:rFonts w:cs="Arial"/>
          <w:szCs w:val="20"/>
        </w:rPr>
        <w:t>competence</w:t>
      </w:r>
      <w:r w:rsidRPr="001E31D3">
        <w:rPr>
          <w:rFonts w:cs="Arial"/>
          <w:szCs w:val="20"/>
        </w:rPr>
        <w:t xml:space="preserve"> proficiency than others.</w:t>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b/>
          <w:color w:val="1F497D" w:themeColor="text2"/>
          <w:szCs w:val="20"/>
          <w:lang w:val="en-US"/>
        </w:rPr>
      </w:pPr>
      <w:r w:rsidRPr="00D830FC">
        <w:rPr>
          <w:rFonts w:cs="Helvetica"/>
          <w:b/>
          <w:color w:val="1F497D" w:themeColor="text2"/>
          <w:szCs w:val="20"/>
          <w:lang w:val="en-US"/>
        </w:rPr>
        <w:t>… but to different degrees in different phases of education…</w:t>
      </w:r>
    </w:p>
    <w:p w:rsidR="00FA0851" w:rsidRPr="001E31D3"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1E31D3">
        <w:rPr>
          <w:rFonts w:cs="Helvetica"/>
          <w:szCs w:val="20"/>
          <w:lang w:val="en-US"/>
        </w:rPr>
        <w:t>Overall, both upper secondary and tertiary educational attainment are positively and significantly related to literacy and numeracy competence. However, differences</w:t>
      </w:r>
      <w:r w:rsidR="00BE64B9">
        <w:rPr>
          <w:rFonts w:cs="Helvetica"/>
          <w:szCs w:val="20"/>
          <w:lang w:val="en-US"/>
        </w:rPr>
        <w:t xml:space="preserve"> in average competence proficiency achieved</w:t>
      </w:r>
      <w:r w:rsidRPr="001E31D3">
        <w:rPr>
          <w:rFonts w:cs="Helvetica"/>
          <w:szCs w:val="20"/>
          <w:lang w:val="en-US"/>
        </w:rPr>
        <w:t xml:space="preserve"> are larger between those holding lower and upper secondary education (10.4% higher average competence scores), than between those holding upper secondary and tertiary </w:t>
      </w:r>
      <w:r w:rsidR="00C753A1" w:rsidRPr="001E31D3">
        <w:rPr>
          <w:rFonts w:cs="Helvetica"/>
          <w:szCs w:val="20"/>
          <w:lang w:val="en-US"/>
        </w:rPr>
        <w:t xml:space="preserve">qualifications </w:t>
      </w:r>
      <w:r w:rsidRPr="001E31D3">
        <w:rPr>
          <w:rFonts w:cs="Helvetica"/>
          <w:szCs w:val="20"/>
          <w:lang w:val="en-US"/>
        </w:rPr>
        <w:t xml:space="preserve">(6.5%), when controlling for a range of individual and country-level background factors. </w:t>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1E31D3">
        <w:rPr>
          <w:rFonts w:cs="Helvetica"/>
          <w:szCs w:val="20"/>
          <w:lang w:val="en-US"/>
        </w:rPr>
        <w:t>Two explanations for these patterns have been suggested</w:t>
      </w:r>
      <w:r w:rsidR="00C753A1" w:rsidRPr="001E31D3">
        <w:rPr>
          <w:rFonts w:cs="Helvetica"/>
          <w:szCs w:val="20"/>
          <w:lang w:val="en-US"/>
        </w:rPr>
        <w:t>. F</w:t>
      </w:r>
      <w:r w:rsidRPr="001E31D3">
        <w:rPr>
          <w:rFonts w:cs="Helvetica"/>
          <w:szCs w:val="20"/>
          <w:lang w:val="en-US"/>
        </w:rPr>
        <w:t>irstly, most individuals are likely to acquire most of their basic competences in the earlier stages of education</w:t>
      </w:r>
      <w:r w:rsidR="00C753A1" w:rsidRPr="001E31D3">
        <w:rPr>
          <w:rFonts w:cs="Helvetica"/>
          <w:szCs w:val="20"/>
          <w:lang w:val="en-US"/>
        </w:rPr>
        <w:t>. S</w:t>
      </w:r>
      <w:r w:rsidRPr="001E31D3">
        <w:rPr>
          <w:rFonts w:cs="Helvetica"/>
          <w:szCs w:val="20"/>
          <w:lang w:val="en-US"/>
        </w:rPr>
        <w:t>econdly, these differences are due to the relatively basic and general literacy and numeracy competences assessed through PIAAC, so that the acquisition of higher level literacy and numeracy competences at tertiary level are not easily captured using PIAAC data</w:t>
      </w:r>
      <w:r w:rsidRPr="00D830FC">
        <w:rPr>
          <w:rFonts w:cs="Helvetica"/>
          <w:szCs w:val="20"/>
          <w:lang w:val="en-US"/>
        </w:rPr>
        <w:t>.</w:t>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b/>
          <w:color w:val="1F497D" w:themeColor="text2"/>
          <w:szCs w:val="20"/>
          <w:lang w:val="en-US"/>
        </w:rPr>
      </w:pPr>
      <w:r w:rsidRPr="00D830FC">
        <w:rPr>
          <w:rFonts w:cs="Helvetica"/>
          <w:b/>
          <w:color w:val="1F497D" w:themeColor="text2"/>
          <w:szCs w:val="20"/>
          <w:lang w:val="en-US"/>
        </w:rPr>
        <w:t>…and the direction of causality can not be determined.</w:t>
      </w:r>
    </w:p>
    <w:p w:rsidR="00FA0851" w:rsidRPr="001E31D3"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1E31D3">
        <w:rPr>
          <w:rFonts w:cs="Helvetica"/>
          <w:szCs w:val="20"/>
          <w:lang w:val="en-US"/>
        </w:rPr>
        <w:t>While one would expect education to make a difference to young people’s levels of literacy and numeracy competence, i.e. to ‘impact’ on competences, the available cross-sectional data does not allow determining that educational attainment is causal</w:t>
      </w:r>
      <w:r w:rsidR="00C753A1" w:rsidRPr="001E31D3">
        <w:rPr>
          <w:rFonts w:cs="Helvetica"/>
          <w:szCs w:val="20"/>
          <w:lang w:val="en-US"/>
        </w:rPr>
        <w:t xml:space="preserve"> or merely correlated</w:t>
      </w:r>
      <w:r w:rsidRPr="001E31D3">
        <w:rPr>
          <w:rFonts w:cs="Helvetica"/>
          <w:szCs w:val="20"/>
          <w:lang w:val="en-US"/>
        </w:rPr>
        <w:t xml:space="preserve"> to literacy and numeracy proficiency. </w:t>
      </w:r>
      <w:r w:rsidR="00C753A1" w:rsidRPr="001E31D3">
        <w:rPr>
          <w:rFonts w:cs="Helvetica"/>
          <w:szCs w:val="20"/>
          <w:lang w:val="en-US"/>
        </w:rPr>
        <w:t xml:space="preserve">Although </w:t>
      </w:r>
      <w:r w:rsidRPr="001E31D3">
        <w:rPr>
          <w:rFonts w:cs="Helvetica"/>
          <w:szCs w:val="20"/>
          <w:lang w:val="en-US"/>
        </w:rPr>
        <w:t>the analysis control</w:t>
      </w:r>
      <w:r w:rsidR="00C753A1" w:rsidRPr="001E31D3">
        <w:rPr>
          <w:rFonts w:cs="Helvetica"/>
          <w:szCs w:val="20"/>
          <w:lang w:val="en-US"/>
        </w:rPr>
        <w:t>led</w:t>
      </w:r>
      <w:r w:rsidRPr="001E31D3">
        <w:rPr>
          <w:rFonts w:cs="Helvetica"/>
          <w:szCs w:val="20"/>
          <w:lang w:val="en-US"/>
        </w:rPr>
        <w:t xml:space="preserve"> for a large number of individual background characteristics of young adults, it is likely that unobserved differences between groups remain, in particular with regards to the ability levels of young people. This implies that the observed effect of education on competences is overestimated, as young people may be selected into different educational levels based on inherently different abilit</w:t>
      </w:r>
      <w:r w:rsidR="00C753A1" w:rsidRPr="001E31D3">
        <w:rPr>
          <w:rFonts w:cs="Helvetica"/>
          <w:szCs w:val="20"/>
          <w:lang w:val="en-US"/>
        </w:rPr>
        <w:t>ies</w:t>
      </w:r>
      <w:r w:rsidRPr="001E31D3">
        <w:rPr>
          <w:rFonts w:cs="Helvetica"/>
          <w:szCs w:val="20"/>
          <w:lang w:val="en-US"/>
        </w:rPr>
        <w:t xml:space="preserve">. For example, if higher education selects the most able individuals, then average proficiency scores are likely to be higher for people completing higher education than for than those who left education at the end of the upper secondary level, so the figures may reflect differences in the populations making specific educational transitions rather than </w:t>
      </w:r>
      <w:r w:rsidR="00DF6A8D" w:rsidRPr="001E31D3">
        <w:rPr>
          <w:rFonts w:cs="Helvetica"/>
          <w:szCs w:val="20"/>
          <w:lang w:val="en-US"/>
        </w:rPr>
        <w:t>competence</w:t>
      </w:r>
      <w:r w:rsidRPr="001E31D3">
        <w:rPr>
          <w:rFonts w:cs="Helvetica"/>
          <w:szCs w:val="20"/>
          <w:lang w:val="en-US"/>
        </w:rPr>
        <w:t>s acquired. Both explanations are equally plausible based on the available data.</w:t>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D830FC">
        <w:rPr>
          <w:rFonts w:cs="Arial"/>
          <w:noProof/>
          <w:szCs w:val="20"/>
          <w:lang w:val="en-US" w:eastAsia="en-US"/>
        </w:rPr>
        <mc:AlternateContent>
          <mc:Choice Requires="wps">
            <w:drawing>
              <wp:inline distT="0" distB="0" distL="0" distR="0" wp14:anchorId="5B3D2EE5" wp14:editId="553CF7F5">
                <wp:extent cx="5579745" cy="3965944"/>
                <wp:effectExtent l="38100" t="38100" r="135255" b="130175"/>
                <wp:docPr id="36"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79745" cy="3965944"/>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23069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230693">
                              <w:rPr>
                                <w:rFonts w:cs="Helvetica"/>
                                <w:b/>
                                <w:color w:val="1F497D" w:themeColor="text2"/>
                                <w:szCs w:val="20"/>
                                <w:lang w:val="en-US"/>
                              </w:rPr>
                              <w:t>Recommendation</w:t>
                            </w:r>
                            <w:r>
                              <w:rPr>
                                <w:rFonts w:cs="Helvetica"/>
                                <w:b/>
                                <w:color w:val="1F497D" w:themeColor="text2"/>
                                <w:szCs w:val="20"/>
                                <w:lang w:val="en-US"/>
                              </w:rPr>
                              <w:t xml:space="preserve"> 3</w:t>
                            </w:r>
                          </w:p>
                          <w:p w:rsidR="00394EBA" w:rsidRPr="00230693" w:rsidRDefault="00394EBA" w:rsidP="00F90C88">
                            <w:pPr>
                              <w:pStyle w:val="ListParagraph"/>
                              <w:widowControl w:val="0"/>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sidRPr="00230693">
                              <w:rPr>
                                <w:rFonts w:cs="Helvetica"/>
                                <w:i/>
                                <w:color w:val="1F497D" w:themeColor="text2"/>
                                <w:szCs w:val="20"/>
                                <w:lang w:val="en-US"/>
                              </w:rPr>
                              <w:t>improving and further developing internati</w:t>
                            </w:r>
                            <w:r>
                              <w:rPr>
                                <w:rFonts w:cs="Helvetica"/>
                                <w:i/>
                                <w:color w:val="1F497D" w:themeColor="text2"/>
                                <w:szCs w:val="20"/>
                                <w:lang w:val="en-US"/>
                              </w:rPr>
                              <w:t>onal assessments of competence -</w:t>
                            </w:r>
                          </w:p>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230693">
                              <w:rPr>
                                <w:rFonts w:cs="Helvetica"/>
                                <w:color w:val="1F497D" w:themeColor="text2"/>
                                <w:szCs w:val="20"/>
                                <w:lang w:val="en-US"/>
                              </w:rPr>
                              <w:t xml:space="preserve">More needs to be understood about the </w:t>
                            </w:r>
                            <w:r>
                              <w:rPr>
                                <w:rFonts w:cs="Helvetica"/>
                                <w:color w:val="1F497D" w:themeColor="text2"/>
                                <w:szCs w:val="20"/>
                                <w:lang w:val="en-US"/>
                              </w:rPr>
                              <w:t xml:space="preserve">causal effects of upper secondary and tertiary education on the acquisition of basic competences after lower secondary education. </w:t>
                            </w:r>
                            <w:r w:rsidRPr="00230693">
                              <w:rPr>
                                <w:rFonts w:cs="Helvetica"/>
                                <w:color w:val="1F497D" w:themeColor="text2"/>
                                <w:szCs w:val="20"/>
                                <w:lang w:val="en-US"/>
                              </w:rPr>
                              <w:t>Longitudinal data is needed to improve the robustness of analysis and to allow the distinction to be made between effects that derive simply from selection and those that are the result of substantive learning. Knowing about the specific mechanisms at work is crucial for an efficient use of resources in education policy.</w:t>
                            </w:r>
                          </w:p>
                          <w:p w:rsidR="00394EBA" w:rsidRPr="0023069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Pr>
                                <w:rFonts w:cs="Helvetica"/>
                                <w:color w:val="1F497D" w:themeColor="text2"/>
                                <w:szCs w:val="20"/>
                                <w:lang w:val="en-US"/>
                              </w:rPr>
                              <w:t>Further, it is</w:t>
                            </w:r>
                            <w:r w:rsidRPr="00230693">
                              <w:rPr>
                                <w:rFonts w:cs="Helvetica"/>
                                <w:color w:val="1F497D" w:themeColor="text2"/>
                                <w:szCs w:val="20"/>
                                <w:lang w:val="en-US"/>
                              </w:rPr>
                              <w:t xml:space="preserve"> important that tests include assessments of basic cognitive ability (e.g. IQ) so that it becomes possible to control for its effects, and ensures that the causal effects of education can be robustly</w:t>
                            </w:r>
                            <w:r>
                              <w:rPr>
                                <w:rFonts w:cs="Helvetica"/>
                                <w:color w:val="1F497D" w:themeColor="text2"/>
                                <w:szCs w:val="20"/>
                                <w:lang w:val="en-US"/>
                              </w:rPr>
                              <w:t xml:space="preserve"> measured, keeping in mind that </w:t>
                            </w:r>
                            <w:r w:rsidRPr="00230693">
                              <w:rPr>
                                <w:rFonts w:cs="Helvetica"/>
                                <w:color w:val="1F497D" w:themeColor="text2"/>
                                <w:szCs w:val="20"/>
                                <w:lang w:val="en-US"/>
                              </w:rPr>
                              <w:t xml:space="preserve">cognitive ability improves to some degree with education. </w:t>
                            </w:r>
                            <w:r>
                              <w:rPr>
                                <w:rFonts w:cs="Helvetica"/>
                                <w:color w:val="1F497D" w:themeColor="text2"/>
                                <w:szCs w:val="20"/>
                                <w:lang w:val="en-US"/>
                              </w:rPr>
                              <w:t>This highlights the need to combine the collection of data on ability with</w:t>
                            </w:r>
                            <w:r w:rsidRPr="00230693">
                              <w:rPr>
                                <w:rFonts w:cs="Helvetica"/>
                                <w:color w:val="1F497D" w:themeColor="text2"/>
                                <w:szCs w:val="20"/>
                                <w:lang w:val="en-US"/>
                              </w:rPr>
                              <w:t xml:space="preserve"> longitudinal data collection starting early in life, i.e. before the onset of formal education.</w:t>
                            </w:r>
                          </w:p>
                          <w:p w:rsidR="00394EBA" w:rsidRPr="0023069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p>
                          <w:p w:rsidR="00394EBA" w:rsidRPr="0023069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5B3D2EE5" id="_x0000_s1053" style="width:439.35pt;height:312.3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" fillcolor="#c6d9f1 [671]" strokecolor="gray [1629]" strokeweight="1.5pt">
                <v:shadow on="t" type="perspective" color="black" opacity="26214f" origin="-.5,-.5" offset=".74836mm,.74836mm" matrix="65864f,,,65864f"/>
                <v:textbox inset="21.6pt,21.6pt,21.6pt,21.6pt">
                  <w:txbxContent>
                    <w:p w:rsidR="00394EBA" w:rsidRPr="0023069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230693">
                        <w:rPr>
                          <w:rFonts w:cs="Helvetica"/>
                          <w:b/>
                          <w:color w:val="1F497D" w:themeColor="text2"/>
                          <w:szCs w:val="20"/>
                          <w:lang w:val="en-US"/>
                        </w:rPr>
                        <w:t>Recommendation</w:t>
                      </w:r>
                      <w:r>
                        <w:rPr>
                          <w:rFonts w:cs="Helvetica"/>
                          <w:b/>
                          <w:color w:val="1F497D" w:themeColor="text2"/>
                          <w:szCs w:val="20"/>
                          <w:lang w:val="en-US"/>
                        </w:rPr>
                        <w:t xml:space="preserve"> 3</w:t>
                      </w:r>
                    </w:p>
                    <w:p w:rsidR="00394EBA" w:rsidRPr="00230693" w:rsidRDefault="00394EBA" w:rsidP="00F90C88">
                      <w:pPr>
                        <w:pStyle w:val="ListParagraph"/>
                        <w:widowControl w:val="0"/>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sidRPr="00230693">
                        <w:rPr>
                          <w:rFonts w:cs="Helvetica"/>
                          <w:i/>
                          <w:color w:val="1F497D" w:themeColor="text2"/>
                          <w:szCs w:val="20"/>
                          <w:lang w:val="en-US"/>
                        </w:rPr>
                        <w:t>improving and further developing internati</w:t>
                      </w:r>
                      <w:r>
                        <w:rPr>
                          <w:rFonts w:cs="Helvetica"/>
                          <w:i/>
                          <w:color w:val="1F497D" w:themeColor="text2"/>
                          <w:szCs w:val="20"/>
                          <w:lang w:val="en-US"/>
                        </w:rPr>
                        <w:t>onal assessments of competence -</w:t>
                      </w:r>
                    </w:p>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230693">
                        <w:rPr>
                          <w:rFonts w:cs="Helvetica"/>
                          <w:color w:val="1F497D" w:themeColor="text2"/>
                          <w:szCs w:val="20"/>
                          <w:lang w:val="en-US"/>
                        </w:rPr>
                        <w:t xml:space="preserve">More needs to be understood about the </w:t>
                      </w:r>
                      <w:r>
                        <w:rPr>
                          <w:rFonts w:cs="Helvetica"/>
                          <w:color w:val="1F497D" w:themeColor="text2"/>
                          <w:szCs w:val="20"/>
                          <w:lang w:val="en-US"/>
                        </w:rPr>
                        <w:t xml:space="preserve">causal effects of upper secondary and tertiary education on the acquisition of basic competences after lower secondary education. </w:t>
                      </w:r>
                      <w:r w:rsidRPr="00230693">
                        <w:rPr>
                          <w:rFonts w:cs="Helvetica"/>
                          <w:color w:val="1F497D" w:themeColor="text2"/>
                          <w:szCs w:val="20"/>
                          <w:lang w:val="en-US"/>
                        </w:rPr>
                        <w:t>Longitudinal data is needed to improve the robustness of analysis and to allow the distinction to be made between effects that derive simply from selection and those that are the result of substantive learning. Knowing about the specific mechanisms at work is crucial for an efficient use of resources in education policy.</w:t>
                      </w:r>
                    </w:p>
                    <w:p w:rsidR="00394EBA" w:rsidRPr="0023069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Pr>
                          <w:rFonts w:cs="Helvetica"/>
                          <w:color w:val="1F497D" w:themeColor="text2"/>
                          <w:szCs w:val="20"/>
                          <w:lang w:val="en-US"/>
                        </w:rPr>
                        <w:t>Further, it is</w:t>
                      </w:r>
                      <w:r w:rsidRPr="00230693">
                        <w:rPr>
                          <w:rFonts w:cs="Helvetica"/>
                          <w:color w:val="1F497D" w:themeColor="text2"/>
                          <w:szCs w:val="20"/>
                          <w:lang w:val="en-US"/>
                        </w:rPr>
                        <w:t xml:space="preserve"> important that tests include assessments of basic cognitive ability (e.g. IQ) so that it becomes possible to control for its effects, and ensures that the causal effects of education can be robustly</w:t>
                      </w:r>
                      <w:r>
                        <w:rPr>
                          <w:rFonts w:cs="Helvetica"/>
                          <w:color w:val="1F497D" w:themeColor="text2"/>
                          <w:szCs w:val="20"/>
                          <w:lang w:val="en-US"/>
                        </w:rPr>
                        <w:t xml:space="preserve"> measured, keeping in mind that </w:t>
                      </w:r>
                      <w:r w:rsidRPr="00230693">
                        <w:rPr>
                          <w:rFonts w:cs="Helvetica"/>
                          <w:color w:val="1F497D" w:themeColor="text2"/>
                          <w:szCs w:val="20"/>
                          <w:lang w:val="en-US"/>
                        </w:rPr>
                        <w:t xml:space="preserve">cognitive ability improves to some degree with education. </w:t>
                      </w:r>
                      <w:r>
                        <w:rPr>
                          <w:rFonts w:cs="Helvetica"/>
                          <w:color w:val="1F497D" w:themeColor="text2"/>
                          <w:szCs w:val="20"/>
                          <w:lang w:val="en-US"/>
                        </w:rPr>
                        <w:t>This highlights the need to combine the collection of data on ability with</w:t>
                      </w:r>
                      <w:r w:rsidRPr="00230693">
                        <w:rPr>
                          <w:rFonts w:cs="Helvetica"/>
                          <w:color w:val="1F497D" w:themeColor="text2"/>
                          <w:szCs w:val="20"/>
                          <w:lang w:val="en-US"/>
                        </w:rPr>
                        <w:t xml:space="preserve"> longitudinal data collection starting early in life, i.e. before the onset of formal education.</w:t>
                      </w:r>
                    </w:p>
                    <w:p w:rsidR="00394EBA" w:rsidRPr="0023069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p>
                    <w:p w:rsidR="00394EBA" w:rsidRPr="0023069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v:textbox>
                <w10:anchorlock/>
              </v:rect>
            </w:pict>
          </mc:Fallback>
        </mc:AlternateContent>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b/>
          <w:color w:val="1F497D" w:themeColor="text2"/>
          <w:szCs w:val="20"/>
          <w:lang w:val="en-US"/>
        </w:rPr>
      </w:pPr>
      <w:r w:rsidRPr="00D830FC">
        <w:rPr>
          <w:rFonts w:cs="Helvetica"/>
          <w:b/>
          <w:color w:val="1F497D" w:themeColor="text2"/>
          <w:szCs w:val="20"/>
          <w:lang w:val="en-US"/>
        </w:rPr>
        <w:t>Beyond education, other factors are equally important for basic competence acquisition</w:t>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D830FC">
        <w:rPr>
          <w:rFonts w:cs="Helvetica"/>
          <w:szCs w:val="20"/>
          <w:lang w:val="en-US"/>
        </w:rPr>
        <w:t xml:space="preserve">Alongside initial formal education, the study </w:t>
      </w:r>
      <w:r w:rsidR="002E4A5E">
        <w:rPr>
          <w:rFonts w:cs="Helvetica"/>
          <w:szCs w:val="20"/>
          <w:lang w:val="en-US"/>
        </w:rPr>
        <w:t xml:space="preserve">has </w:t>
      </w:r>
      <w:r w:rsidRPr="00D830FC">
        <w:rPr>
          <w:rFonts w:cs="Helvetica"/>
          <w:szCs w:val="20"/>
          <w:lang w:val="en-US"/>
        </w:rPr>
        <w:t>show</w:t>
      </w:r>
      <w:r w:rsidR="002E4A5E">
        <w:rPr>
          <w:rFonts w:cs="Helvetica"/>
          <w:szCs w:val="20"/>
          <w:lang w:val="en-US"/>
        </w:rPr>
        <w:t>n</w:t>
      </w:r>
      <w:r w:rsidRPr="00D830FC">
        <w:rPr>
          <w:rFonts w:cs="Helvetica"/>
          <w:szCs w:val="20"/>
          <w:lang w:val="en-US"/>
        </w:rPr>
        <w:t xml:space="preserve"> that a range of other factors related to individual background are also significantly related</w:t>
      </w:r>
      <w:r w:rsidR="002E4A5E">
        <w:rPr>
          <w:rFonts w:cs="Helvetica"/>
          <w:szCs w:val="20"/>
          <w:lang w:val="en-US"/>
        </w:rPr>
        <w:t xml:space="preserve"> to</w:t>
      </w:r>
      <w:r w:rsidRPr="00D830FC">
        <w:rPr>
          <w:rFonts w:cs="Helvetica"/>
          <w:szCs w:val="20"/>
          <w:lang w:val="en-US"/>
        </w:rPr>
        <w:t xml:space="preserve"> proficiency in basic competences. These include parent</w:t>
      </w:r>
      <w:r w:rsidR="002E4A5E">
        <w:rPr>
          <w:rFonts w:cs="Helvetica"/>
          <w:szCs w:val="20"/>
          <w:lang w:val="en-US"/>
        </w:rPr>
        <w:t>al</w:t>
      </w:r>
      <w:r w:rsidRPr="00D830FC">
        <w:rPr>
          <w:rFonts w:cs="Helvetica"/>
          <w:szCs w:val="20"/>
          <w:lang w:val="en-US"/>
        </w:rPr>
        <w:t xml:space="preserve"> educational background, whether someone is a migrant or non-native language speaker, health and also </w:t>
      </w:r>
      <w:r w:rsidR="002E4A5E" w:rsidRPr="00D830FC">
        <w:rPr>
          <w:rFonts w:cs="Helvetica"/>
          <w:szCs w:val="20"/>
          <w:lang w:val="en-US"/>
        </w:rPr>
        <w:t xml:space="preserve">employment </w:t>
      </w:r>
      <w:r w:rsidRPr="00D830FC">
        <w:rPr>
          <w:rFonts w:cs="Helvetica"/>
          <w:szCs w:val="20"/>
          <w:lang w:val="en-US"/>
        </w:rPr>
        <w:t>experience</w:t>
      </w:r>
      <w:r w:rsidR="002E4A5E">
        <w:rPr>
          <w:rFonts w:cs="Helvetica"/>
          <w:szCs w:val="20"/>
          <w:lang w:val="en-US"/>
        </w:rPr>
        <w:t>,</w:t>
      </w:r>
      <w:r w:rsidRPr="00D830FC">
        <w:rPr>
          <w:rFonts w:cs="Helvetica"/>
          <w:szCs w:val="20"/>
          <w:lang w:val="en-US"/>
        </w:rPr>
        <w:t xml:space="preserve"> including the extent to which the occupation held by the individual is a skilled one. Education thus may make some difference, but a range of other factors are equally significant – especially because they also affect educational attainment itself and thus have important indirect effects on competences. This confirms the existing evidence in the academic literature.</w:t>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D830FC">
        <w:rPr>
          <w:rFonts w:cs="Helvetica"/>
          <w:szCs w:val="20"/>
          <w:lang w:val="en-US"/>
        </w:rPr>
        <w:t>While we can separate out the contribution of educational attainment to basic competence levels, it is the complex interaction of educational provision, educational attainment and a wide range of individual background factors that determines outcomes.</w:t>
      </w:r>
    </w:p>
    <w:p w:rsidR="00FA0851" w:rsidRPr="00C6609F" w:rsidRDefault="00FA0851" w:rsidP="00FA0851">
      <w:pPr>
        <w:rPr>
          <w:rFonts w:cs="Helvetica"/>
          <w:szCs w:val="20"/>
          <w:lang w:val="en-US"/>
        </w:rPr>
      </w:pPr>
      <w:r w:rsidRPr="00C6609F">
        <w:rPr>
          <w:rFonts w:cs="Helvetica"/>
          <w:szCs w:val="20"/>
          <w:lang w:val="en-US"/>
        </w:rPr>
        <w:br w:type="page"/>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D830FC">
        <w:rPr>
          <w:rFonts w:cs="Arial"/>
          <w:noProof/>
          <w:szCs w:val="20"/>
          <w:lang w:val="en-US" w:eastAsia="en-US"/>
        </w:rPr>
        <mc:AlternateContent>
          <mc:Choice Requires="wps">
            <w:drawing>
              <wp:inline distT="0" distB="0" distL="0" distR="0" wp14:anchorId="1F015A02" wp14:editId="11E6B6B3">
                <wp:extent cx="5579745" cy="2945081"/>
                <wp:effectExtent l="38100" t="38100" r="135255" b="122555"/>
                <wp:docPr id="297"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79745" cy="2945081"/>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C6609F">
                              <w:rPr>
                                <w:rFonts w:cs="Helvetica"/>
                                <w:b/>
                                <w:color w:val="1F497D" w:themeColor="text2"/>
                                <w:szCs w:val="20"/>
                                <w:lang w:val="en-US"/>
                              </w:rPr>
                              <w:t>Recommendation</w:t>
                            </w:r>
                            <w:r>
                              <w:rPr>
                                <w:rFonts w:cs="Helvetica"/>
                                <w:b/>
                                <w:color w:val="1F497D" w:themeColor="text2"/>
                                <w:szCs w:val="20"/>
                                <w:lang w:val="en-US"/>
                              </w:rPr>
                              <w:t xml:space="preserve"> 4</w:t>
                            </w:r>
                          </w:p>
                          <w:p w:rsidR="00394EBA" w:rsidRPr="00C6609F"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sidRPr="00C6609F">
                              <w:rPr>
                                <w:rFonts w:cs="Helvetica"/>
                                <w:i/>
                                <w:color w:val="1F497D" w:themeColor="text2"/>
                                <w:szCs w:val="20"/>
                                <w:lang w:val="en-US"/>
                              </w:rPr>
                              <w:t>–improving the quality and effectiveness of formal education-</w:t>
                            </w:r>
                          </w:p>
                          <w:p w:rsidR="00394EBA" w:rsidRPr="00C6609F"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C6609F">
                              <w:rPr>
                                <w:rFonts w:cs="Helvetica"/>
                                <w:color w:val="1F497D" w:themeColor="text2"/>
                                <w:szCs w:val="20"/>
                                <w:lang w:val="en-US"/>
                              </w:rPr>
                              <w:t>Formal education does not exist in a vacuum, and attainment of recogni</w:t>
                            </w:r>
                            <w:r>
                              <w:rPr>
                                <w:rFonts w:cs="Helvetica"/>
                                <w:color w:val="1F497D" w:themeColor="text2"/>
                                <w:szCs w:val="20"/>
                                <w:lang w:val="en-US"/>
                              </w:rPr>
                              <w:t>s</w:t>
                            </w:r>
                            <w:r w:rsidRPr="00C6609F">
                              <w:rPr>
                                <w:rFonts w:cs="Helvetica"/>
                                <w:color w:val="1F497D" w:themeColor="text2"/>
                                <w:szCs w:val="20"/>
                                <w:lang w:val="en-US"/>
                              </w:rPr>
                              <w:t xml:space="preserve">ed qualifications reflects not just formal teaching and learning but </w:t>
                            </w:r>
                            <w:r>
                              <w:rPr>
                                <w:rFonts w:cs="Helvetica"/>
                                <w:color w:val="1F497D" w:themeColor="text2"/>
                                <w:szCs w:val="20"/>
                                <w:lang w:val="en-US"/>
                              </w:rPr>
                              <w:t>also an individual's learning context, e.g. his or her socio-economic background</w:t>
                            </w:r>
                            <w:r w:rsidRPr="00C6609F">
                              <w:rPr>
                                <w:rFonts w:cs="Helvetica"/>
                                <w:color w:val="1F497D" w:themeColor="text2"/>
                                <w:szCs w:val="20"/>
                                <w:lang w:val="en-US"/>
                              </w:rPr>
                              <w:t>. Formal education sits in the context of an individual's non-formal and informal learning opportunities and this context should be intrinsic to any attempts to improve the quality and effectiveness of formal education. Policies supporting students</w:t>
                            </w:r>
                            <w:r>
                              <w:rPr>
                                <w:rFonts w:cs="Helvetica"/>
                                <w:color w:val="1F497D" w:themeColor="text2"/>
                                <w:szCs w:val="20"/>
                                <w:lang w:val="en-US"/>
                              </w:rPr>
                              <w:t xml:space="preserve"> facing known factors of socio-economic disadvantage</w:t>
                            </w:r>
                            <w:r w:rsidRPr="00C6609F">
                              <w:rPr>
                                <w:rFonts w:cs="Helvetica"/>
                                <w:color w:val="1F497D" w:themeColor="text2"/>
                                <w:szCs w:val="20"/>
                                <w:lang w:val="en-US"/>
                              </w:rPr>
                              <w:t xml:space="preserve"> (and their families) may therefore provide the largest gains in terms of both raising average competences and decreasing competence dispersion.</w:t>
                            </w:r>
                          </w:p>
                          <w:p w:rsidR="00394EBA" w:rsidRPr="0063276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1F015A02" id="_x0000_s1054" style="width:439.35pt;height:231.9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" fillcolor="#c6d9f1 [671]" strokecolor="gray [1629]" strokeweight="1.5pt">
                <v:shadow on="t" type="perspective" color="black" opacity="26214f" origin="-.5,-.5" offset=".74836mm,.74836mm" matrix="65864f,,,65864f"/>
                <v:textbox inset="21.6pt,21.6pt,21.6pt,21.6pt">
                  <w:txbxContent>
                    <w:p w:rsidR="00394EBA"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C6609F">
                        <w:rPr>
                          <w:rFonts w:cs="Helvetica"/>
                          <w:b/>
                          <w:color w:val="1F497D" w:themeColor="text2"/>
                          <w:szCs w:val="20"/>
                          <w:lang w:val="en-US"/>
                        </w:rPr>
                        <w:t>Recommendation</w:t>
                      </w:r>
                      <w:r>
                        <w:rPr>
                          <w:rFonts w:cs="Helvetica"/>
                          <w:b/>
                          <w:color w:val="1F497D" w:themeColor="text2"/>
                          <w:szCs w:val="20"/>
                          <w:lang w:val="en-US"/>
                        </w:rPr>
                        <w:t xml:space="preserve"> 4</w:t>
                      </w:r>
                    </w:p>
                    <w:p w:rsidR="00394EBA" w:rsidRPr="00C6609F"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sidRPr="00C6609F">
                        <w:rPr>
                          <w:rFonts w:cs="Helvetica"/>
                          <w:i/>
                          <w:color w:val="1F497D" w:themeColor="text2"/>
                          <w:szCs w:val="20"/>
                          <w:lang w:val="en-US"/>
                        </w:rPr>
                        <w:t>–improving the quality and effectiveness of formal education-</w:t>
                      </w:r>
                    </w:p>
                    <w:p w:rsidR="00394EBA" w:rsidRPr="00C6609F"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C6609F">
                        <w:rPr>
                          <w:rFonts w:cs="Helvetica"/>
                          <w:color w:val="1F497D" w:themeColor="text2"/>
                          <w:szCs w:val="20"/>
                          <w:lang w:val="en-US"/>
                        </w:rPr>
                        <w:t>Formal education does not exist in a vacuum, and attainment of recogni</w:t>
                      </w:r>
                      <w:r>
                        <w:rPr>
                          <w:rFonts w:cs="Helvetica"/>
                          <w:color w:val="1F497D" w:themeColor="text2"/>
                          <w:szCs w:val="20"/>
                          <w:lang w:val="en-US"/>
                        </w:rPr>
                        <w:t>s</w:t>
                      </w:r>
                      <w:r w:rsidRPr="00C6609F">
                        <w:rPr>
                          <w:rFonts w:cs="Helvetica"/>
                          <w:color w:val="1F497D" w:themeColor="text2"/>
                          <w:szCs w:val="20"/>
                          <w:lang w:val="en-US"/>
                        </w:rPr>
                        <w:t xml:space="preserve">ed qualifications reflects not just formal teaching and learning but </w:t>
                      </w:r>
                      <w:r>
                        <w:rPr>
                          <w:rFonts w:cs="Helvetica"/>
                          <w:color w:val="1F497D" w:themeColor="text2"/>
                          <w:szCs w:val="20"/>
                          <w:lang w:val="en-US"/>
                        </w:rPr>
                        <w:t>also an individual's learning context, e.g. his or her socio-economic background</w:t>
                      </w:r>
                      <w:r w:rsidRPr="00C6609F">
                        <w:rPr>
                          <w:rFonts w:cs="Helvetica"/>
                          <w:color w:val="1F497D" w:themeColor="text2"/>
                          <w:szCs w:val="20"/>
                          <w:lang w:val="en-US"/>
                        </w:rPr>
                        <w:t>. Formal education sits in the context of an individual's non-formal and informal learning opportunities and this context should be intrinsic to any attempts to improve the quality and effectiveness of formal education. Policies supporting students</w:t>
                      </w:r>
                      <w:r>
                        <w:rPr>
                          <w:rFonts w:cs="Helvetica"/>
                          <w:color w:val="1F497D" w:themeColor="text2"/>
                          <w:szCs w:val="20"/>
                          <w:lang w:val="en-US"/>
                        </w:rPr>
                        <w:t xml:space="preserve"> facing known factors of socio-economic disadvantage</w:t>
                      </w:r>
                      <w:r w:rsidRPr="00C6609F">
                        <w:rPr>
                          <w:rFonts w:cs="Helvetica"/>
                          <w:color w:val="1F497D" w:themeColor="text2"/>
                          <w:szCs w:val="20"/>
                          <w:lang w:val="en-US"/>
                        </w:rPr>
                        <w:t xml:space="preserve"> (and their families) may therefore provide the largest gains in terms of both raising average competences and decreasing competence dispersion.</w:t>
                      </w:r>
                    </w:p>
                    <w:p w:rsidR="00394EBA" w:rsidRPr="0063276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v:textbox>
                <w10:anchorlock/>
              </v:rect>
            </w:pict>
          </mc:Fallback>
        </mc:AlternateContent>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b/>
          <w:color w:val="1F497D" w:themeColor="text2"/>
          <w:szCs w:val="20"/>
          <w:lang w:val="en-US"/>
        </w:rPr>
      </w:pPr>
      <w:r w:rsidRPr="00D830FC">
        <w:rPr>
          <w:rFonts w:cs="Helvetica"/>
          <w:b/>
          <w:color w:val="1F497D" w:themeColor="text2"/>
          <w:szCs w:val="20"/>
          <w:lang w:val="en-US"/>
        </w:rPr>
        <w:t>Some education systems are more effective than others in helping young people to gain and maintain basic competences at upper secondary and tertiary level</w:t>
      </w:r>
    </w:p>
    <w:p w:rsidR="00FA0851" w:rsidRPr="001E31D3" w:rsidRDefault="00FA0851" w:rsidP="00FA0851">
      <w:pPr>
        <w:spacing w:after="120" w:line="288" w:lineRule="auto"/>
        <w:rPr>
          <w:rFonts w:cs="Arial"/>
          <w:szCs w:val="20"/>
        </w:rPr>
      </w:pPr>
      <w:r w:rsidRPr="001E31D3">
        <w:rPr>
          <w:rFonts w:cs="Arial"/>
          <w:szCs w:val="20"/>
        </w:rPr>
        <w:t>The analysis suggests that some countries are better than others at maintaining or improving competence levels during the upper secondary and tertiary phase</w:t>
      </w:r>
      <w:r w:rsidR="009C20AD" w:rsidRPr="001E31D3">
        <w:rPr>
          <w:rFonts w:cs="Arial"/>
          <w:szCs w:val="20"/>
        </w:rPr>
        <w:t>s</w:t>
      </w:r>
      <w:r w:rsidRPr="001E31D3">
        <w:rPr>
          <w:rFonts w:cs="Arial"/>
          <w:szCs w:val="20"/>
        </w:rPr>
        <w:t xml:space="preserve">. Countries with Dual Systems of apprenticeships (Austria and Germany) do relatively well; so do countries with the more standardised comprehensive school-based systems (Norway and Sweden). Some – but not all – of the countries with differentiated school-based systems (Denmark, Finland, Czech Republic, Poland) also do relatively well. On the other hand, countries with highly diversified ‘mixed systems’ (like England, Ireland, Northern Ireland and Spain) all perform relatively poorly. Some of the variation across these groups may be due to factors we have not examined in this report. The success of the Nordic and German-speaking countries in the sample may </w:t>
      </w:r>
      <w:r w:rsidR="009C20AD" w:rsidRPr="001E31D3">
        <w:rPr>
          <w:rFonts w:cs="Arial"/>
          <w:szCs w:val="20"/>
        </w:rPr>
        <w:t xml:space="preserve">for example </w:t>
      </w:r>
      <w:r w:rsidRPr="001E31D3">
        <w:rPr>
          <w:rFonts w:cs="Arial"/>
          <w:szCs w:val="20"/>
        </w:rPr>
        <w:t xml:space="preserve">be partly due to the relatively high employment rates of young people in jobs that require higher levels of literacy and numeracy. </w:t>
      </w:r>
    </w:p>
    <w:p w:rsidR="00FA0851" w:rsidRPr="001E31D3" w:rsidRDefault="00FA0851" w:rsidP="00FA0851">
      <w:pPr>
        <w:spacing w:after="120" w:line="288" w:lineRule="auto"/>
        <w:rPr>
          <w:rFonts w:cs="Arial"/>
          <w:i/>
          <w:szCs w:val="20"/>
        </w:rPr>
      </w:pPr>
      <w:r w:rsidRPr="001E31D3">
        <w:rPr>
          <w:rFonts w:cs="Arial"/>
          <w:szCs w:val="20"/>
        </w:rPr>
        <w:t>Nevertheless, our analysis does suggest that there are some characteristics of upper secondary systems that are particularly important for improving basic competences and that these may explain some of the cross-country variation in relative competence gain</w:t>
      </w:r>
      <w:r w:rsidRPr="001E31D3">
        <w:rPr>
          <w:rFonts w:cs="Arial"/>
          <w:i/>
          <w:szCs w:val="20"/>
        </w:rPr>
        <w:t xml:space="preserve">. </w:t>
      </w:r>
    </w:p>
    <w:p w:rsidR="00FA0851" w:rsidRPr="00D830FC"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b/>
          <w:color w:val="1F497D" w:themeColor="text2"/>
          <w:szCs w:val="20"/>
          <w:lang w:val="en-US"/>
        </w:rPr>
      </w:pPr>
      <w:r>
        <w:rPr>
          <w:rFonts w:cs="Helvetica"/>
          <w:b/>
          <w:color w:val="1F497D" w:themeColor="text2"/>
          <w:szCs w:val="20"/>
          <w:lang w:val="en-US"/>
        </w:rPr>
        <w:t>The existence of h</w:t>
      </w:r>
      <w:r w:rsidRPr="00D830FC">
        <w:rPr>
          <w:rFonts w:cs="Helvetica"/>
          <w:b/>
          <w:color w:val="1F497D" w:themeColor="text2"/>
          <w:szCs w:val="20"/>
          <w:lang w:val="en-US"/>
        </w:rPr>
        <w:t xml:space="preserve">igh quality vocational provision and apprenticeships </w:t>
      </w:r>
      <w:r>
        <w:rPr>
          <w:rFonts w:cs="Helvetica"/>
          <w:b/>
          <w:color w:val="1F497D" w:themeColor="text2"/>
          <w:szCs w:val="20"/>
          <w:lang w:val="en-US"/>
        </w:rPr>
        <w:t>facilitate</w:t>
      </w:r>
      <w:r w:rsidR="009C20AD">
        <w:rPr>
          <w:rFonts w:cs="Helvetica"/>
          <w:b/>
          <w:color w:val="1F497D" w:themeColor="text2"/>
          <w:szCs w:val="20"/>
          <w:lang w:val="en-US"/>
        </w:rPr>
        <w:t>s</w:t>
      </w:r>
      <w:r>
        <w:rPr>
          <w:rFonts w:cs="Helvetica"/>
          <w:b/>
          <w:color w:val="1F497D" w:themeColor="text2"/>
          <w:szCs w:val="20"/>
          <w:lang w:val="en-US"/>
        </w:rPr>
        <w:t xml:space="preserve"> competence development for all…</w:t>
      </w:r>
    </w:p>
    <w:p w:rsidR="00FA0851" w:rsidRPr="001E31D3" w:rsidRDefault="00FA0851" w:rsidP="00FA0851">
      <w:pPr>
        <w:spacing w:after="120" w:line="288" w:lineRule="auto"/>
        <w:rPr>
          <w:rFonts w:cs="Arial"/>
          <w:szCs w:val="20"/>
        </w:rPr>
      </w:pPr>
      <w:r w:rsidRPr="001E31D3">
        <w:rPr>
          <w:rFonts w:cs="Arial"/>
          <w:szCs w:val="20"/>
        </w:rPr>
        <w:t xml:space="preserve">Our analysis suggests that high levels of participation in good quality vocational education and training is associated with </w:t>
      </w:r>
      <w:r w:rsidR="009C20AD" w:rsidRPr="001E31D3">
        <w:rPr>
          <w:rFonts w:cs="Arial"/>
          <w:szCs w:val="20"/>
        </w:rPr>
        <w:t xml:space="preserve">a </w:t>
      </w:r>
      <w:r w:rsidRPr="001E31D3">
        <w:rPr>
          <w:rFonts w:cs="Arial"/>
          <w:szCs w:val="20"/>
        </w:rPr>
        <w:t>relative improvement in basic competences between the age</w:t>
      </w:r>
      <w:r w:rsidR="009C20AD" w:rsidRPr="001E31D3">
        <w:rPr>
          <w:rFonts w:cs="Arial"/>
          <w:szCs w:val="20"/>
        </w:rPr>
        <w:t>s</w:t>
      </w:r>
      <w:r w:rsidRPr="001E31D3">
        <w:rPr>
          <w:rFonts w:cs="Arial"/>
          <w:szCs w:val="20"/>
        </w:rPr>
        <w:t xml:space="preserve"> of 15 and 27. Countries with a substantial proportion of the age group undertaking vocational education - particularly where this involves apprenticeships or relatively socially mixed vocational programmes - seem to be better at promoting improvements in basic competences across the range of young people than </w:t>
      </w:r>
      <w:r w:rsidR="009C20AD" w:rsidRPr="001E31D3">
        <w:rPr>
          <w:rFonts w:cs="Arial"/>
          <w:szCs w:val="20"/>
        </w:rPr>
        <w:t xml:space="preserve">other </w:t>
      </w:r>
      <w:r w:rsidRPr="001E31D3">
        <w:rPr>
          <w:rFonts w:cs="Arial"/>
          <w:szCs w:val="20"/>
        </w:rPr>
        <w:t xml:space="preserve">countries. </w:t>
      </w:r>
    </w:p>
    <w:p w:rsidR="00FA0851" w:rsidRPr="001E31D3" w:rsidRDefault="00FA0851" w:rsidP="00FA0851">
      <w:pPr>
        <w:spacing w:after="120" w:line="288" w:lineRule="auto"/>
        <w:rPr>
          <w:rFonts w:cs="Helvetica"/>
          <w:szCs w:val="20"/>
          <w:lang w:val="en-US"/>
        </w:rPr>
      </w:pPr>
      <w:r w:rsidRPr="001E31D3">
        <w:rPr>
          <w:rFonts w:cs="Arial"/>
          <w:szCs w:val="20"/>
        </w:rPr>
        <w:t>This</w:t>
      </w:r>
      <w:r w:rsidR="009C20AD" w:rsidRPr="001E31D3">
        <w:rPr>
          <w:rFonts w:cs="Arial"/>
          <w:szCs w:val="20"/>
        </w:rPr>
        <w:t xml:space="preserve"> positive impact</w:t>
      </w:r>
      <w:r w:rsidRPr="001E31D3">
        <w:rPr>
          <w:rFonts w:cs="Arial"/>
          <w:szCs w:val="20"/>
        </w:rPr>
        <w:t xml:space="preserve"> may be because high quality vocational provision is a (potentially) valuable form of education and training for less academically able students. Hence, it promotes the further competence development of those young people who would – in the absence of alternatives to mainstream general education – have disengaged with the education system and subsequently lost the previous gained competences. </w:t>
      </w:r>
      <w:r w:rsidRPr="001E31D3">
        <w:rPr>
          <w:rFonts w:cs="Helvetica"/>
          <w:szCs w:val="20"/>
          <w:lang w:val="en-US"/>
        </w:rPr>
        <w:t xml:space="preserve">These findings highlight the potential benefits of such provision outside the direct gains they offer to participants in terms of skills that are specific to particular occupations. Basic competences are often seen as important to underpin the acquisition of occupational skills, but these findings emphasise more generally the significant role that vocational provision can potentially play in relation to literacy and numeracy. </w:t>
      </w:r>
    </w:p>
    <w:p w:rsidR="00370605" w:rsidRPr="001E31D3" w:rsidRDefault="00370605" w:rsidP="00067EA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highlight w:val="yellow"/>
          <w:lang w:val="en-US"/>
        </w:rPr>
      </w:pPr>
      <w:r w:rsidRPr="001E31D3">
        <w:rPr>
          <w:rFonts w:cs="Helvetica"/>
          <w:szCs w:val="20"/>
          <w:lang w:val="en-US"/>
        </w:rPr>
        <w:t>The findings shed new light on the question of grouping young people into different education tracks. In general, early tracking, i.e. tracking starting in lower secondary education, has been seen to accentuate differences in competences and to lower average competence levels. The evidence presented here appears to suggest that tracking at upper secondary level may be beneficial by keeping less academically able people in contexts where they can learn and acquire skills for longer (which is in some countries co</w:t>
      </w:r>
      <w:r w:rsidR="00F91CA1">
        <w:rPr>
          <w:rFonts w:cs="Helvetica"/>
          <w:szCs w:val="20"/>
          <w:lang w:val="en-US"/>
        </w:rPr>
        <w:t>mpulsory – at least part-time –</w:t>
      </w:r>
      <w:r w:rsidRPr="001E31D3">
        <w:rPr>
          <w:rFonts w:cs="Helvetica"/>
          <w:szCs w:val="20"/>
          <w:lang w:val="en-US"/>
        </w:rPr>
        <w:t xml:space="preserve"> so it may be this rather than tracking that has a positive effect).</w:t>
      </w:r>
    </w:p>
    <w:p w:rsidR="00FA0851" w:rsidRPr="001E31D3" w:rsidRDefault="00FA0851" w:rsidP="00FA0851">
      <w:pPr>
        <w:spacing w:after="120" w:line="288" w:lineRule="auto"/>
        <w:rPr>
          <w:rFonts w:cs="Arial"/>
          <w:szCs w:val="20"/>
        </w:rPr>
      </w:pPr>
      <w:r w:rsidRPr="001E31D3">
        <w:rPr>
          <w:rFonts w:cs="Arial"/>
          <w:szCs w:val="20"/>
        </w:rPr>
        <w:t>On the other hand, the positive performance of countries with high quality VET provision may be partly because countries with good vocational programmes tend to have higher rates of youth employment in skilled jobs which promote skills acquisition, but this can</w:t>
      </w:r>
      <w:r w:rsidR="009C20AD" w:rsidRPr="001E31D3">
        <w:rPr>
          <w:rFonts w:cs="Arial"/>
          <w:szCs w:val="20"/>
        </w:rPr>
        <w:t xml:space="preserve"> also</w:t>
      </w:r>
      <w:r w:rsidRPr="001E31D3">
        <w:rPr>
          <w:rFonts w:cs="Arial"/>
          <w:szCs w:val="20"/>
        </w:rPr>
        <w:t xml:space="preserve"> be seen as an indirect effect of this type of education and training system. </w:t>
      </w:r>
    </w:p>
    <w:p w:rsidR="00BE64B9" w:rsidRDefault="00BE64B9" w:rsidP="00651009">
      <w:pPr>
        <w:spacing w:after="120" w:line="288" w:lineRule="auto"/>
        <w:rPr>
          <w:rFonts w:cs="Arial"/>
          <w:b/>
          <w:color w:val="1F497D" w:themeColor="text2"/>
          <w:szCs w:val="20"/>
        </w:rPr>
      </w:pPr>
      <w:r w:rsidRPr="00F30D9E">
        <w:rPr>
          <w:rFonts w:cs="Arial"/>
          <w:noProof/>
          <w:szCs w:val="20"/>
          <w:lang w:val="en-US" w:eastAsia="en-US"/>
        </w:rPr>
        <mc:AlternateContent>
          <mc:Choice Requires="wps">
            <w:drawing>
              <wp:inline distT="0" distB="0" distL="0" distR="0" wp14:anchorId="5AFBBECD" wp14:editId="06D3AD25">
                <wp:extent cx="5579745" cy="3218213"/>
                <wp:effectExtent l="38100" t="38100" r="135255" b="115570"/>
                <wp:docPr id="683"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79745" cy="3218213"/>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B42008">
                              <w:rPr>
                                <w:rFonts w:cs="Helvetica"/>
                                <w:b/>
                                <w:color w:val="1F497D" w:themeColor="text2"/>
                                <w:szCs w:val="20"/>
                                <w:lang w:val="en-US"/>
                              </w:rPr>
                              <w:t>Recommendation</w:t>
                            </w:r>
                            <w:r>
                              <w:rPr>
                                <w:rFonts w:cs="Helvetica"/>
                                <w:b/>
                                <w:color w:val="1F497D" w:themeColor="text2"/>
                                <w:szCs w:val="20"/>
                                <w:lang w:val="en-US"/>
                              </w:rPr>
                              <w:t xml:space="preserve"> 5</w:t>
                            </w:r>
                          </w:p>
                          <w:p w:rsidR="00394EBA" w:rsidRPr="00B42008"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sidRPr="00B42008">
                              <w:rPr>
                                <w:rFonts w:cs="Helvetica"/>
                                <w:i/>
                                <w:color w:val="1F497D" w:themeColor="text2"/>
                                <w:szCs w:val="20"/>
                                <w:lang w:val="en-US"/>
                              </w:rPr>
                              <w:t>–</w:t>
                            </w:r>
                            <w:r>
                              <w:rPr>
                                <w:rFonts w:cs="Helvetica"/>
                                <w:i/>
                                <w:color w:val="1F497D" w:themeColor="text2"/>
                                <w:szCs w:val="20"/>
                                <w:lang w:val="en-US"/>
                              </w:rPr>
                              <w:t xml:space="preserve"> </w:t>
                            </w:r>
                            <w:r w:rsidRPr="00B42008">
                              <w:rPr>
                                <w:rFonts w:cs="Helvetica"/>
                                <w:i/>
                                <w:color w:val="1F497D" w:themeColor="text2"/>
                                <w:szCs w:val="20"/>
                                <w:lang w:val="en-US"/>
                              </w:rPr>
                              <w:t>improving the quality and effectiveness of formal education -</w:t>
                            </w:r>
                          </w:p>
                          <w:p w:rsidR="00394EBA"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B42008">
                              <w:rPr>
                                <w:rFonts w:cs="Helvetica"/>
                                <w:color w:val="1F497D" w:themeColor="text2"/>
                                <w:szCs w:val="20"/>
                                <w:lang w:val="en-US"/>
                              </w:rPr>
                              <w:t xml:space="preserve">Vocational provision has the potential to play a key role in raising basic competence proficiency which should be explored further and acknowledged in policy beyond simply seeing literacy and numeracy as competences that underpin occupational skills acquisition. In particular, this finding highlights the </w:t>
                            </w:r>
                            <w:r w:rsidRPr="00F30D9E">
                              <w:rPr>
                                <w:rFonts w:cs="Helvetica"/>
                                <w:color w:val="1F497D" w:themeColor="text2"/>
                                <w:szCs w:val="20"/>
                                <w:lang w:val="en-US"/>
                              </w:rPr>
                              <w:t>need to monitor the quality of vocational programmes in terms of how effectively they develop basic competences.</w:t>
                            </w:r>
                          </w:p>
                          <w:p w:rsidR="00394EBA" w:rsidRPr="00370605" w:rsidRDefault="00394EBA" w:rsidP="00BE64B9">
                            <w:pPr>
                              <w:pStyle w:val="BodyText"/>
                              <w:spacing w:line="288" w:lineRule="auto"/>
                              <w:rPr>
                                <w:rFonts w:cs="Helvetica"/>
                                <w:color w:val="1F497D" w:themeColor="text2"/>
                                <w:szCs w:val="20"/>
                                <w:lang w:val="en-US"/>
                              </w:rPr>
                            </w:pPr>
                            <w:r w:rsidRPr="00370605">
                              <w:rPr>
                                <w:rFonts w:cs="Helvetica"/>
                                <w:color w:val="1F497D" w:themeColor="text2"/>
                                <w:szCs w:val="20"/>
                                <w:lang w:val="en-US"/>
                              </w:rPr>
                              <w:t>Further research should be undertaken to explore the issue of</w:t>
                            </w:r>
                            <w:r>
                              <w:rPr>
                                <w:rFonts w:cs="Helvetica"/>
                                <w:color w:val="1F497D" w:themeColor="text2"/>
                                <w:szCs w:val="20"/>
                                <w:lang w:val="en-US"/>
                              </w:rPr>
                              <w:t xml:space="preserve"> esteem and</w:t>
                            </w:r>
                            <w:r w:rsidRPr="00370605">
                              <w:rPr>
                                <w:rFonts w:cs="Helvetica"/>
                                <w:color w:val="1F497D" w:themeColor="text2"/>
                                <w:szCs w:val="20"/>
                                <w:lang w:val="en-US"/>
                              </w:rPr>
                              <w:t xml:space="preserve"> social mix in vocational tracks, and the relationships with selection and programme quality</w:t>
                            </w:r>
                            <w:r>
                              <w:rPr>
                                <w:rFonts w:cs="Helvetica"/>
                                <w:color w:val="1F497D" w:themeColor="text2"/>
                                <w:szCs w:val="20"/>
                                <w:lang w:val="en-US"/>
                              </w:rPr>
                              <w:t>, in particular how well VET provides young people with specific skills for the labour market</w:t>
                            </w:r>
                            <w:r w:rsidRPr="00370605">
                              <w:rPr>
                                <w:rFonts w:cs="Helvetica"/>
                                <w:color w:val="1F497D" w:themeColor="text2"/>
                                <w:szCs w:val="20"/>
                                <w:lang w:val="en-US"/>
                              </w:rPr>
                              <w:t xml:space="preserve">. </w:t>
                            </w:r>
                          </w:p>
                          <w:p w:rsidR="00394EBA" w:rsidRPr="00425879"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highlight w:val="yellow"/>
                                <w:lang w:val="en-US"/>
                              </w:rPr>
                            </w:pPr>
                          </w:p>
                          <w:p w:rsidR="00394EBA" w:rsidRPr="00B42008" w:rsidRDefault="00394EBA" w:rsidP="00BE64B9">
                            <w:pPr>
                              <w:pStyle w:val="BodyText"/>
                              <w:rPr>
                                <w:color w:val="1F497D" w:themeColor="text2"/>
                              </w:rPr>
                            </w:pPr>
                          </w:p>
                          <w:p w:rsidR="00394EBA" w:rsidRPr="00B42008"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p>
                          <w:p w:rsidR="00394EBA" w:rsidRPr="00632763"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BE64B9">
                            <w:pPr>
                              <w:spacing w:after="120" w:line="288" w:lineRule="auto"/>
                            </w:pPr>
                          </w:p>
                          <w:p w:rsidR="00394EBA" w:rsidRDefault="00394EBA" w:rsidP="00BE64B9">
                            <w:pPr>
                              <w:jc w:val="center"/>
                              <w:rPr>
                                <w:b/>
                              </w:rPr>
                            </w:pPr>
                          </w:p>
                          <w:p w:rsidR="00394EBA" w:rsidRDefault="00394EBA" w:rsidP="00BE64B9">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5AFBBECD" id="_x0000_s1055" style="width:439.35pt;height:253.4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" fillcolor="#c6d9f1 [671]" strokecolor="gray [1629]" strokeweight="1.5pt">
                <v:shadow on="t" type="perspective" color="black" opacity="26214f" origin="-.5,-.5" offset=".74836mm,.74836mm" matrix="65864f,,,65864f"/>
                <v:textbox inset="21.6pt,21.6pt,21.6pt,21.6pt">
                  <w:txbxContent>
                    <w:p w:rsidR="00394EBA"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b/>
                          <w:color w:val="1F497D" w:themeColor="text2"/>
                          <w:szCs w:val="20"/>
                          <w:lang w:val="en-US"/>
                        </w:rPr>
                      </w:pPr>
                      <w:r w:rsidRPr="00B42008">
                        <w:rPr>
                          <w:rFonts w:cs="Helvetica"/>
                          <w:b/>
                          <w:color w:val="1F497D" w:themeColor="text2"/>
                          <w:szCs w:val="20"/>
                          <w:lang w:val="en-US"/>
                        </w:rPr>
                        <w:t>Recommendation</w:t>
                      </w:r>
                      <w:r>
                        <w:rPr>
                          <w:rFonts w:cs="Helvetica"/>
                          <w:b/>
                          <w:color w:val="1F497D" w:themeColor="text2"/>
                          <w:szCs w:val="20"/>
                          <w:lang w:val="en-US"/>
                        </w:rPr>
                        <w:t xml:space="preserve"> 5</w:t>
                      </w:r>
                    </w:p>
                    <w:p w:rsidR="00394EBA" w:rsidRPr="00B42008"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jc w:val="center"/>
                        <w:rPr>
                          <w:rFonts w:cs="Helvetica"/>
                          <w:i/>
                          <w:color w:val="1F497D" w:themeColor="text2"/>
                          <w:szCs w:val="20"/>
                          <w:lang w:val="en-US"/>
                        </w:rPr>
                      </w:pPr>
                      <w:r w:rsidRPr="00B42008">
                        <w:rPr>
                          <w:rFonts w:cs="Helvetica"/>
                          <w:i/>
                          <w:color w:val="1F497D" w:themeColor="text2"/>
                          <w:szCs w:val="20"/>
                          <w:lang w:val="en-US"/>
                        </w:rPr>
                        <w:t>–</w:t>
                      </w:r>
                      <w:r>
                        <w:rPr>
                          <w:rFonts w:cs="Helvetica"/>
                          <w:i/>
                          <w:color w:val="1F497D" w:themeColor="text2"/>
                          <w:szCs w:val="20"/>
                          <w:lang w:val="en-US"/>
                        </w:rPr>
                        <w:t xml:space="preserve"> </w:t>
                      </w:r>
                      <w:r w:rsidRPr="00B42008">
                        <w:rPr>
                          <w:rFonts w:cs="Helvetica"/>
                          <w:i/>
                          <w:color w:val="1F497D" w:themeColor="text2"/>
                          <w:szCs w:val="20"/>
                          <w:lang w:val="en-US"/>
                        </w:rPr>
                        <w:t>improving the quality and effectiveness of formal education -</w:t>
                      </w:r>
                    </w:p>
                    <w:p w:rsidR="00394EBA"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B42008">
                        <w:rPr>
                          <w:rFonts w:cs="Helvetica"/>
                          <w:color w:val="1F497D" w:themeColor="text2"/>
                          <w:szCs w:val="20"/>
                          <w:lang w:val="en-US"/>
                        </w:rPr>
                        <w:t xml:space="preserve">Vocational provision has the potential to play a key role in raising basic competence proficiency which should be explored further and acknowledged in policy beyond simply seeing literacy and numeracy as competences that underpin occupational skills acquisition. In particular, this finding highlights the </w:t>
                      </w:r>
                      <w:r w:rsidRPr="00F30D9E">
                        <w:rPr>
                          <w:rFonts w:cs="Helvetica"/>
                          <w:color w:val="1F497D" w:themeColor="text2"/>
                          <w:szCs w:val="20"/>
                          <w:lang w:val="en-US"/>
                        </w:rPr>
                        <w:t>need to monitor the quality of vocational programmes in terms of how effectively they develop basic competences.</w:t>
                      </w:r>
                    </w:p>
                    <w:p w:rsidR="00394EBA" w:rsidRPr="00370605" w:rsidRDefault="00394EBA" w:rsidP="00BE64B9">
                      <w:pPr>
                        <w:pStyle w:val="BodyText"/>
                        <w:spacing w:line="288" w:lineRule="auto"/>
                        <w:rPr>
                          <w:rFonts w:cs="Helvetica"/>
                          <w:color w:val="1F497D" w:themeColor="text2"/>
                          <w:szCs w:val="20"/>
                          <w:lang w:val="en-US"/>
                        </w:rPr>
                      </w:pPr>
                      <w:r w:rsidRPr="00370605">
                        <w:rPr>
                          <w:rFonts w:cs="Helvetica"/>
                          <w:color w:val="1F497D" w:themeColor="text2"/>
                          <w:szCs w:val="20"/>
                          <w:lang w:val="en-US"/>
                        </w:rPr>
                        <w:t>Further research should be undertaken to explore the issue of</w:t>
                      </w:r>
                      <w:r>
                        <w:rPr>
                          <w:rFonts w:cs="Helvetica"/>
                          <w:color w:val="1F497D" w:themeColor="text2"/>
                          <w:szCs w:val="20"/>
                          <w:lang w:val="en-US"/>
                        </w:rPr>
                        <w:t xml:space="preserve"> esteem and</w:t>
                      </w:r>
                      <w:r w:rsidRPr="00370605">
                        <w:rPr>
                          <w:rFonts w:cs="Helvetica"/>
                          <w:color w:val="1F497D" w:themeColor="text2"/>
                          <w:szCs w:val="20"/>
                          <w:lang w:val="en-US"/>
                        </w:rPr>
                        <w:t xml:space="preserve"> social mix in vocational tracks, and the relationships with selection and programme quality</w:t>
                      </w:r>
                      <w:r>
                        <w:rPr>
                          <w:rFonts w:cs="Helvetica"/>
                          <w:color w:val="1F497D" w:themeColor="text2"/>
                          <w:szCs w:val="20"/>
                          <w:lang w:val="en-US"/>
                        </w:rPr>
                        <w:t>, in particular how well VET provides young people with specific skills for the labour market</w:t>
                      </w:r>
                      <w:r w:rsidRPr="00370605">
                        <w:rPr>
                          <w:rFonts w:cs="Helvetica"/>
                          <w:color w:val="1F497D" w:themeColor="text2"/>
                          <w:szCs w:val="20"/>
                          <w:lang w:val="en-US"/>
                        </w:rPr>
                        <w:t xml:space="preserve">. </w:t>
                      </w:r>
                    </w:p>
                    <w:p w:rsidR="00394EBA" w:rsidRPr="00425879"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highlight w:val="yellow"/>
                          <w:lang w:val="en-US"/>
                        </w:rPr>
                      </w:pPr>
                    </w:p>
                    <w:p w:rsidR="00394EBA" w:rsidRPr="00B42008" w:rsidRDefault="00394EBA" w:rsidP="00BE64B9">
                      <w:pPr>
                        <w:pStyle w:val="BodyText"/>
                        <w:rPr>
                          <w:color w:val="1F497D" w:themeColor="text2"/>
                        </w:rPr>
                      </w:pPr>
                    </w:p>
                    <w:p w:rsidR="00394EBA" w:rsidRPr="00B42008"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p>
                    <w:p w:rsidR="00394EBA" w:rsidRPr="00632763"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BE64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BE64B9">
                      <w:pPr>
                        <w:spacing w:after="120" w:line="288" w:lineRule="auto"/>
                      </w:pPr>
                    </w:p>
                    <w:p w:rsidR="00394EBA" w:rsidRDefault="00394EBA" w:rsidP="00BE64B9">
                      <w:pPr>
                        <w:jc w:val="center"/>
                        <w:rPr>
                          <w:b/>
                        </w:rPr>
                      </w:pPr>
                    </w:p>
                    <w:p w:rsidR="00394EBA" w:rsidRDefault="00394EBA" w:rsidP="00BE64B9">
                      <w:pPr>
                        <w:rPr>
                          <w:color w:val="4F81BD" w:themeColor="accent1"/>
                          <w:szCs w:val="20"/>
                        </w:rPr>
                      </w:pPr>
                    </w:p>
                  </w:txbxContent>
                </v:textbox>
                <w10:anchorlock/>
              </v:rect>
            </w:pict>
          </mc:Fallback>
        </mc:AlternateContent>
      </w:r>
    </w:p>
    <w:p w:rsidR="00FA0851" w:rsidRPr="00F30D9E" w:rsidRDefault="00FA0851" w:rsidP="00FA0851">
      <w:pPr>
        <w:spacing w:after="120" w:line="288" w:lineRule="auto"/>
        <w:rPr>
          <w:rFonts w:cs="Arial"/>
          <w:b/>
          <w:color w:val="1F497D" w:themeColor="text2"/>
          <w:szCs w:val="20"/>
        </w:rPr>
      </w:pPr>
      <w:r w:rsidRPr="00F30D9E">
        <w:rPr>
          <w:rFonts w:cs="Arial"/>
          <w:b/>
          <w:color w:val="1F497D" w:themeColor="text2"/>
          <w:szCs w:val="20"/>
        </w:rPr>
        <w:t>…and providing more opportunities for studying literacy and maths promotes competence development.</w:t>
      </w:r>
    </w:p>
    <w:p w:rsidR="00FA0851" w:rsidRPr="001E31D3" w:rsidRDefault="00FA0851" w:rsidP="00067EA4">
      <w:pPr>
        <w:spacing w:after="120" w:line="288" w:lineRule="auto"/>
        <w:rPr>
          <w:rFonts w:cs="Arial"/>
          <w:szCs w:val="20"/>
        </w:rPr>
      </w:pPr>
      <w:r w:rsidRPr="001E31D3">
        <w:rPr>
          <w:rFonts w:cs="Arial"/>
          <w:szCs w:val="20"/>
        </w:rPr>
        <w:t xml:space="preserve">The extent of formal learning of </w:t>
      </w:r>
      <w:r w:rsidR="009C20AD" w:rsidRPr="001E31D3">
        <w:rPr>
          <w:rFonts w:cs="Arial"/>
          <w:szCs w:val="20"/>
        </w:rPr>
        <w:t>m</w:t>
      </w:r>
      <w:r w:rsidRPr="001E31D3">
        <w:rPr>
          <w:rFonts w:cs="Arial"/>
          <w:szCs w:val="20"/>
        </w:rPr>
        <w:t xml:space="preserve">aths and the national language during the upper secondary phase seems to </w:t>
      </w:r>
      <w:r w:rsidR="00370605" w:rsidRPr="001E31D3">
        <w:rPr>
          <w:rFonts w:cs="Arial"/>
          <w:szCs w:val="20"/>
        </w:rPr>
        <w:t>have a strong effect on gaining and maintaining competences at upper secondary level</w:t>
      </w:r>
      <w:r w:rsidRPr="001E31D3">
        <w:rPr>
          <w:rFonts w:cs="Arial"/>
          <w:szCs w:val="20"/>
        </w:rPr>
        <w:t xml:space="preserve">. Countries where young people tend to spend longer in upper secondary education and training and where the learning of </w:t>
      </w:r>
      <w:r w:rsidR="00D80B35" w:rsidRPr="001E31D3">
        <w:rPr>
          <w:rFonts w:cs="Arial"/>
          <w:szCs w:val="20"/>
        </w:rPr>
        <w:t>m</w:t>
      </w:r>
      <w:r w:rsidRPr="001E31D3">
        <w:rPr>
          <w:rFonts w:cs="Arial"/>
          <w:szCs w:val="20"/>
        </w:rPr>
        <w:t xml:space="preserve">aths and the national language is mandatory on all upper secondary programmes tend to do better at promoting basic competences. </w:t>
      </w:r>
    </w:p>
    <w:p w:rsidR="00FA0851" w:rsidRPr="00F30D9E" w:rsidRDefault="00FA0851"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F30D9E">
        <w:rPr>
          <w:rFonts w:cs="Arial"/>
          <w:noProof/>
          <w:szCs w:val="20"/>
          <w:lang w:val="en-US" w:eastAsia="en-US"/>
        </w:rPr>
        <mc:AlternateContent>
          <mc:Choice Requires="wps">
            <w:drawing>
              <wp:inline distT="0" distB="0" distL="0" distR="0" wp14:anchorId="01A622C9" wp14:editId="5D91314A">
                <wp:extent cx="5579745" cy="5422605"/>
                <wp:effectExtent l="38100" t="38100" r="135255" b="140335"/>
                <wp:docPr id="301"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79745" cy="5422605"/>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F30D9E" w:rsidRDefault="00394EBA" w:rsidP="00FA0851">
                            <w:pPr>
                              <w:pStyle w:val="BodyText"/>
                              <w:jc w:val="center"/>
                              <w:rPr>
                                <w:b/>
                                <w:color w:val="1F497D" w:themeColor="text2"/>
                              </w:rPr>
                            </w:pPr>
                            <w:r w:rsidRPr="00F30D9E">
                              <w:rPr>
                                <w:b/>
                                <w:color w:val="1F497D" w:themeColor="text2"/>
                              </w:rPr>
                              <w:t>Recommendation</w:t>
                            </w:r>
                            <w:r>
                              <w:rPr>
                                <w:b/>
                                <w:color w:val="1F497D" w:themeColor="text2"/>
                              </w:rPr>
                              <w:t xml:space="preserve"> 6</w:t>
                            </w:r>
                          </w:p>
                          <w:p w:rsidR="00394EBA" w:rsidRPr="00F30D9E" w:rsidRDefault="00394EBA" w:rsidP="00F90C88">
                            <w:pPr>
                              <w:pStyle w:val="BodyText"/>
                              <w:numPr>
                                <w:ilvl w:val="0"/>
                                <w:numId w:val="44"/>
                              </w:numPr>
                              <w:jc w:val="center"/>
                              <w:rPr>
                                <w:i/>
                                <w:color w:val="1F497D" w:themeColor="text2"/>
                              </w:rPr>
                            </w:pPr>
                            <w:r w:rsidRPr="00F30D9E">
                              <w:rPr>
                                <w:i/>
                                <w:color w:val="1F497D" w:themeColor="text2"/>
                              </w:rPr>
                              <w:t>improving the quality and effectiveness of formal education –</w:t>
                            </w:r>
                          </w:p>
                          <w:p w:rsidR="00394EBA" w:rsidRPr="00F30D9E"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F30D9E">
                              <w:rPr>
                                <w:rFonts w:cs="Helvetica"/>
                                <w:color w:val="1F497D" w:themeColor="text2"/>
                                <w:szCs w:val="20"/>
                                <w:lang w:val="en-US"/>
                              </w:rPr>
                              <w:t xml:space="preserve">Available data means that there remain many important </w:t>
                            </w:r>
                            <w:r>
                              <w:rPr>
                                <w:rFonts w:cs="Helvetica"/>
                                <w:color w:val="1F497D" w:themeColor="text2"/>
                                <w:szCs w:val="20"/>
                                <w:lang w:val="en-US"/>
                              </w:rPr>
                              <w:t>‘</w:t>
                            </w:r>
                            <w:r w:rsidRPr="00F30D9E">
                              <w:rPr>
                                <w:rFonts w:cs="Helvetica"/>
                                <w:color w:val="1F497D" w:themeColor="text2"/>
                                <w:szCs w:val="20"/>
                                <w:lang w:val="en-US"/>
                              </w:rPr>
                              <w:t>black boxes</w:t>
                            </w:r>
                            <w:r>
                              <w:rPr>
                                <w:rFonts w:cs="Helvetica"/>
                                <w:color w:val="1F497D" w:themeColor="text2"/>
                                <w:szCs w:val="20"/>
                                <w:lang w:val="en-US"/>
                              </w:rPr>
                              <w:t>’</w:t>
                            </w:r>
                            <w:r w:rsidRPr="00F30D9E">
                              <w:rPr>
                                <w:rFonts w:cs="Helvetica"/>
                                <w:color w:val="1F497D" w:themeColor="text2"/>
                                <w:szCs w:val="20"/>
                                <w:lang w:val="en-US"/>
                              </w:rPr>
                              <w:t xml:space="preserve"> about the circumstances in which education can make a difference to basic competence levels, not least selection policies, curriculum and pedagogy. </w:t>
                            </w:r>
                          </w:p>
                          <w:p w:rsidR="00394EBA" w:rsidRPr="00F30D9E"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F30D9E">
                              <w:rPr>
                                <w:rFonts w:cs="Helvetica"/>
                                <w:color w:val="1F497D" w:themeColor="text2"/>
                                <w:szCs w:val="20"/>
                                <w:lang w:val="en-US"/>
                              </w:rPr>
                              <w:t xml:space="preserve">However, the fact that the sheer amount of time spent learning these competences is relevant, even at upper secondary level (by which point people will have already acquired a high proportion of their basic competences), is worthy of further investigation, e.g. to examine whether, in some countries, levels of basic competence are low at the end of lower secondary education and so </w:t>
                            </w:r>
                            <w:r>
                              <w:rPr>
                                <w:rFonts w:cs="Helvetica"/>
                                <w:color w:val="1F497D" w:themeColor="text2"/>
                                <w:szCs w:val="20"/>
                                <w:lang w:val="en-US"/>
                              </w:rPr>
                              <w:t>‘</w:t>
                            </w:r>
                            <w:r w:rsidRPr="00F30D9E">
                              <w:rPr>
                                <w:rFonts w:cs="Helvetica"/>
                                <w:color w:val="1F497D" w:themeColor="text2"/>
                                <w:szCs w:val="20"/>
                                <w:lang w:val="en-US"/>
                              </w:rPr>
                              <w:t>catching up</w:t>
                            </w:r>
                            <w:r>
                              <w:rPr>
                                <w:rFonts w:cs="Helvetica"/>
                                <w:color w:val="1F497D" w:themeColor="text2"/>
                                <w:szCs w:val="20"/>
                                <w:lang w:val="en-US"/>
                              </w:rPr>
                              <w:t>’</w:t>
                            </w:r>
                            <w:r w:rsidRPr="00F30D9E">
                              <w:rPr>
                                <w:rFonts w:cs="Helvetica"/>
                                <w:color w:val="1F497D" w:themeColor="text2"/>
                                <w:szCs w:val="20"/>
                                <w:lang w:val="en-US"/>
                              </w:rPr>
                              <w:t xml:space="preserve"> takes place during upper secondary education. </w:t>
                            </w:r>
                          </w:p>
                          <w:p w:rsidR="00394EBA" w:rsidRPr="00F30D9E"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F30D9E">
                              <w:rPr>
                                <w:rFonts w:cs="Helvetica"/>
                                <w:color w:val="1F497D" w:themeColor="text2"/>
                                <w:szCs w:val="20"/>
                                <w:lang w:val="en-US"/>
                              </w:rPr>
                              <w:t xml:space="preserve">These results should not be interpreted as a simplistic recommendation that simply more time should be spent on these subjects: time in education is limited, so such an increase would </w:t>
                            </w:r>
                            <w:r>
                              <w:rPr>
                                <w:rFonts w:cs="Helvetica"/>
                                <w:color w:val="1F497D" w:themeColor="text2"/>
                                <w:szCs w:val="20"/>
                                <w:lang w:val="en-US"/>
                              </w:rPr>
                              <w:t>probab</w:t>
                            </w:r>
                            <w:r w:rsidRPr="00F30D9E">
                              <w:rPr>
                                <w:rFonts w:cs="Helvetica"/>
                                <w:color w:val="1F497D" w:themeColor="text2"/>
                                <w:szCs w:val="20"/>
                                <w:lang w:val="en-US"/>
                              </w:rPr>
                              <w:t xml:space="preserve">ly have to be made at the </w:t>
                            </w:r>
                            <w:r>
                              <w:rPr>
                                <w:rFonts w:cs="Helvetica"/>
                                <w:color w:val="1F497D" w:themeColor="text2"/>
                                <w:szCs w:val="20"/>
                                <w:lang w:val="en-US"/>
                              </w:rPr>
                              <w:t>expense</w:t>
                            </w:r>
                            <w:r w:rsidRPr="00F30D9E">
                              <w:rPr>
                                <w:rFonts w:cs="Helvetica"/>
                                <w:color w:val="1F497D" w:themeColor="text2"/>
                                <w:szCs w:val="20"/>
                                <w:lang w:val="en-US"/>
                              </w:rPr>
                              <w:t xml:space="preserve"> of some other desirable output (such as civic attitudes) not measured in skills assessments. This should thus only be an option in countries where the teaching of the national language and mathematics is not compulsory or very limited. For other countries, there could be better options. For example, teaching these competences within other subjects which may also have additional educational benefits. </w:t>
                            </w:r>
                          </w:p>
                          <w:p w:rsidR="00394EBA" w:rsidRPr="00F30D9E"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F30D9E">
                              <w:rPr>
                                <w:rFonts w:cs="Helvetica"/>
                                <w:color w:val="1F497D" w:themeColor="text2"/>
                                <w:szCs w:val="20"/>
                                <w:lang w:val="en-US"/>
                              </w:rPr>
                              <w:t>These findings should nevertheless make policy</w:t>
                            </w:r>
                            <w:r>
                              <w:rPr>
                                <w:rFonts w:cs="Helvetica"/>
                                <w:color w:val="1F497D" w:themeColor="text2"/>
                                <w:szCs w:val="20"/>
                                <w:lang w:val="en-US"/>
                              </w:rPr>
                              <w:t>-</w:t>
                            </w:r>
                            <w:r w:rsidRPr="00F30D9E">
                              <w:rPr>
                                <w:rFonts w:cs="Helvetica"/>
                                <w:color w:val="1F497D" w:themeColor="text2"/>
                                <w:szCs w:val="20"/>
                                <w:lang w:val="en-US"/>
                              </w:rPr>
                              <w:t>makers consider the balance between mathematics and language and other subjects within the school curriculum.</w:t>
                            </w:r>
                          </w:p>
                          <w:p w:rsidR="00394EBA" w:rsidRPr="00AA256F" w:rsidRDefault="00394EBA" w:rsidP="00FA0851">
                            <w:pPr>
                              <w:pStyle w:val="BodyText"/>
                              <w:rPr>
                                <w:b/>
                                <w:color w:val="1F497D" w:themeColor="text2"/>
                              </w:rPr>
                            </w:pPr>
                          </w:p>
                          <w:p w:rsidR="00394EBA" w:rsidRPr="0063276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01A622C9" id="_x0000_s1056" style="width:439.35pt;height:427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" fillcolor="#c6d9f1 [671]" strokecolor="gray [1629]" strokeweight="1.5pt">
                <v:shadow on="t" type="perspective" color="black" opacity="26214f" origin="-.5,-.5" offset=".74836mm,.74836mm" matrix="65864f,,,65864f"/>
                <v:textbox inset="21.6pt,21.6pt,21.6pt,21.6pt">
                  <w:txbxContent>
                    <w:p w:rsidR="00394EBA" w:rsidRPr="00F30D9E" w:rsidRDefault="00394EBA" w:rsidP="00FA0851">
                      <w:pPr>
                        <w:pStyle w:val="BodyText"/>
                        <w:jc w:val="center"/>
                        <w:rPr>
                          <w:b/>
                          <w:color w:val="1F497D" w:themeColor="text2"/>
                        </w:rPr>
                      </w:pPr>
                      <w:r w:rsidRPr="00F30D9E">
                        <w:rPr>
                          <w:b/>
                          <w:color w:val="1F497D" w:themeColor="text2"/>
                        </w:rPr>
                        <w:t>Recommendation</w:t>
                      </w:r>
                      <w:r>
                        <w:rPr>
                          <w:b/>
                          <w:color w:val="1F497D" w:themeColor="text2"/>
                        </w:rPr>
                        <w:t xml:space="preserve"> 6</w:t>
                      </w:r>
                    </w:p>
                    <w:p w:rsidR="00394EBA" w:rsidRPr="00F30D9E" w:rsidRDefault="00394EBA" w:rsidP="00F90C88">
                      <w:pPr>
                        <w:pStyle w:val="BodyText"/>
                        <w:numPr>
                          <w:ilvl w:val="0"/>
                          <w:numId w:val="44"/>
                        </w:numPr>
                        <w:jc w:val="center"/>
                        <w:rPr>
                          <w:i/>
                          <w:color w:val="1F497D" w:themeColor="text2"/>
                        </w:rPr>
                      </w:pPr>
                      <w:r w:rsidRPr="00F30D9E">
                        <w:rPr>
                          <w:i/>
                          <w:color w:val="1F497D" w:themeColor="text2"/>
                        </w:rPr>
                        <w:t>improving the quality and effectiveness of formal education –</w:t>
                      </w:r>
                    </w:p>
                    <w:p w:rsidR="00394EBA" w:rsidRPr="00F30D9E"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F30D9E">
                        <w:rPr>
                          <w:rFonts w:cs="Helvetica"/>
                          <w:color w:val="1F497D" w:themeColor="text2"/>
                          <w:szCs w:val="20"/>
                          <w:lang w:val="en-US"/>
                        </w:rPr>
                        <w:t xml:space="preserve">Available data means that there remain many important </w:t>
                      </w:r>
                      <w:r>
                        <w:rPr>
                          <w:rFonts w:cs="Helvetica"/>
                          <w:color w:val="1F497D" w:themeColor="text2"/>
                          <w:szCs w:val="20"/>
                          <w:lang w:val="en-US"/>
                        </w:rPr>
                        <w:t>‘</w:t>
                      </w:r>
                      <w:r w:rsidRPr="00F30D9E">
                        <w:rPr>
                          <w:rFonts w:cs="Helvetica"/>
                          <w:color w:val="1F497D" w:themeColor="text2"/>
                          <w:szCs w:val="20"/>
                          <w:lang w:val="en-US"/>
                        </w:rPr>
                        <w:t>black boxes</w:t>
                      </w:r>
                      <w:r>
                        <w:rPr>
                          <w:rFonts w:cs="Helvetica"/>
                          <w:color w:val="1F497D" w:themeColor="text2"/>
                          <w:szCs w:val="20"/>
                          <w:lang w:val="en-US"/>
                        </w:rPr>
                        <w:t>’</w:t>
                      </w:r>
                      <w:r w:rsidRPr="00F30D9E">
                        <w:rPr>
                          <w:rFonts w:cs="Helvetica"/>
                          <w:color w:val="1F497D" w:themeColor="text2"/>
                          <w:szCs w:val="20"/>
                          <w:lang w:val="en-US"/>
                        </w:rPr>
                        <w:t xml:space="preserve"> about the circumstances in which education can make a difference to basic competence levels, not least selection policies, curriculum and pedagogy. </w:t>
                      </w:r>
                    </w:p>
                    <w:p w:rsidR="00394EBA" w:rsidRPr="00F30D9E"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F30D9E">
                        <w:rPr>
                          <w:rFonts w:cs="Helvetica"/>
                          <w:color w:val="1F497D" w:themeColor="text2"/>
                          <w:szCs w:val="20"/>
                          <w:lang w:val="en-US"/>
                        </w:rPr>
                        <w:t xml:space="preserve">However, the fact that the sheer amount of time spent learning these competences is relevant, even at upper secondary level (by which point people will have already acquired a high proportion of their basic competences), is worthy of further investigation, e.g. to examine whether, in some countries, levels of basic competence are low at the end of lower secondary education and so </w:t>
                      </w:r>
                      <w:r>
                        <w:rPr>
                          <w:rFonts w:cs="Helvetica"/>
                          <w:color w:val="1F497D" w:themeColor="text2"/>
                          <w:szCs w:val="20"/>
                          <w:lang w:val="en-US"/>
                        </w:rPr>
                        <w:t>‘</w:t>
                      </w:r>
                      <w:r w:rsidRPr="00F30D9E">
                        <w:rPr>
                          <w:rFonts w:cs="Helvetica"/>
                          <w:color w:val="1F497D" w:themeColor="text2"/>
                          <w:szCs w:val="20"/>
                          <w:lang w:val="en-US"/>
                        </w:rPr>
                        <w:t>catching up</w:t>
                      </w:r>
                      <w:r>
                        <w:rPr>
                          <w:rFonts w:cs="Helvetica"/>
                          <w:color w:val="1F497D" w:themeColor="text2"/>
                          <w:szCs w:val="20"/>
                          <w:lang w:val="en-US"/>
                        </w:rPr>
                        <w:t>’</w:t>
                      </w:r>
                      <w:r w:rsidRPr="00F30D9E">
                        <w:rPr>
                          <w:rFonts w:cs="Helvetica"/>
                          <w:color w:val="1F497D" w:themeColor="text2"/>
                          <w:szCs w:val="20"/>
                          <w:lang w:val="en-US"/>
                        </w:rPr>
                        <w:t xml:space="preserve"> takes place during upper secondary education. </w:t>
                      </w:r>
                    </w:p>
                    <w:p w:rsidR="00394EBA" w:rsidRPr="00F30D9E"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color w:val="1F497D" w:themeColor="text2"/>
                          <w:szCs w:val="20"/>
                          <w:lang w:val="en-US"/>
                        </w:rPr>
                      </w:pPr>
                      <w:r w:rsidRPr="00F30D9E">
                        <w:rPr>
                          <w:rFonts w:cs="Helvetica"/>
                          <w:color w:val="1F497D" w:themeColor="text2"/>
                          <w:szCs w:val="20"/>
                          <w:lang w:val="en-US"/>
                        </w:rPr>
                        <w:t xml:space="preserve">These results should not be interpreted as a simplistic recommendation that simply more time should be spent on these subjects: time in education is limited, so such an increase would </w:t>
                      </w:r>
                      <w:r>
                        <w:rPr>
                          <w:rFonts w:cs="Helvetica"/>
                          <w:color w:val="1F497D" w:themeColor="text2"/>
                          <w:szCs w:val="20"/>
                          <w:lang w:val="en-US"/>
                        </w:rPr>
                        <w:t>probab</w:t>
                      </w:r>
                      <w:r w:rsidRPr="00F30D9E">
                        <w:rPr>
                          <w:rFonts w:cs="Helvetica"/>
                          <w:color w:val="1F497D" w:themeColor="text2"/>
                          <w:szCs w:val="20"/>
                          <w:lang w:val="en-US"/>
                        </w:rPr>
                        <w:t xml:space="preserve">ly have to be made at the </w:t>
                      </w:r>
                      <w:r>
                        <w:rPr>
                          <w:rFonts w:cs="Helvetica"/>
                          <w:color w:val="1F497D" w:themeColor="text2"/>
                          <w:szCs w:val="20"/>
                          <w:lang w:val="en-US"/>
                        </w:rPr>
                        <w:t>expense</w:t>
                      </w:r>
                      <w:r w:rsidRPr="00F30D9E">
                        <w:rPr>
                          <w:rFonts w:cs="Helvetica"/>
                          <w:color w:val="1F497D" w:themeColor="text2"/>
                          <w:szCs w:val="20"/>
                          <w:lang w:val="en-US"/>
                        </w:rPr>
                        <w:t xml:space="preserve"> of some other desirable output (such as civic attitudes) not measured in skills assessments. This should thus only be an option in countries where the teaching of the national language and mathematics is not compulsory or very limited. For other countries, there could be better options. For example, teaching these competences within other subjects which may also have additional educational benefits. </w:t>
                      </w:r>
                    </w:p>
                    <w:p w:rsidR="00394EBA" w:rsidRPr="00F30D9E"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r w:rsidRPr="00F30D9E">
                        <w:rPr>
                          <w:rFonts w:cs="Helvetica"/>
                          <w:color w:val="1F497D" w:themeColor="text2"/>
                          <w:szCs w:val="20"/>
                          <w:lang w:val="en-US"/>
                        </w:rPr>
                        <w:t>These findings should nevertheless make policy</w:t>
                      </w:r>
                      <w:r>
                        <w:rPr>
                          <w:rFonts w:cs="Helvetica"/>
                          <w:color w:val="1F497D" w:themeColor="text2"/>
                          <w:szCs w:val="20"/>
                          <w:lang w:val="en-US"/>
                        </w:rPr>
                        <w:t>-</w:t>
                      </w:r>
                      <w:r w:rsidRPr="00F30D9E">
                        <w:rPr>
                          <w:rFonts w:cs="Helvetica"/>
                          <w:color w:val="1F497D" w:themeColor="text2"/>
                          <w:szCs w:val="20"/>
                          <w:lang w:val="en-US"/>
                        </w:rPr>
                        <w:t>makers consider the balance between mathematics and language and other subjects within the school curriculum.</w:t>
                      </w:r>
                    </w:p>
                    <w:p w:rsidR="00394EBA" w:rsidRPr="00AA256F" w:rsidRDefault="00394EBA" w:rsidP="00FA0851">
                      <w:pPr>
                        <w:pStyle w:val="BodyText"/>
                        <w:rPr>
                          <w:b/>
                          <w:color w:val="1F497D" w:themeColor="text2"/>
                        </w:rPr>
                      </w:pPr>
                    </w:p>
                    <w:p w:rsidR="00394EBA" w:rsidRPr="0063276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v:textbox>
                <w10:anchorlock/>
              </v:rect>
            </w:pict>
          </mc:Fallback>
        </mc:AlternateContent>
      </w:r>
    </w:p>
    <w:p w:rsidR="00FA0851" w:rsidRPr="00F30D9E" w:rsidRDefault="00FA0851" w:rsidP="00FA0851">
      <w:pPr>
        <w:spacing w:after="120" w:line="288" w:lineRule="auto"/>
        <w:rPr>
          <w:rFonts w:cs="Helvetica"/>
          <w:b/>
          <w:color w:val="1F497D" w:themeColor="text2"/>
          <w:szCs w:val="20"/>
          <w:lang w:val="en-US"/>
        </w:rPr>
      </w:pPr>
      <w:r w:rsidRPr="00F30D9E">
        <w:rPr>
          <w:rFonts w:cs="Helvetica"/>
          <w:b/>
          <w:color w:val="1F497D" w:themeColor="text2"/>
          <w:szCs w:val="20"/>
          <w:lang w:val="en-US"/>
        </w:rPr>
        <w:t>The evidence base needs to be improved further</w:t>
      </w:r>
      <w:r>
        <w:rPr>
          <w:rFonts w:cs="Helvetica"/>
          <w:b/>
          <w:color w:val="1F497D" w:themeColor="text2"/>
          <w:szCs w:val="20"/>
          <w:lang w:val="en-US"/>
        </w:rPr>
        <w:t>…</w:t>
      </w:r>
      <w:r w:rsidRPr="00F30D9E">
        <w:rPr>
          <w:rFonts w:cs="Helvetica"/>
          <w:b/>
          <w:color w:val="1F497D" w:themeColor="text2"/>
          <w:szCs w:val="20"/>
          <w:lang w:val="en-US"/>
        </w:rPr>
        <w:t xml:space="preserve"> </w:t>
      </w:r>
    </w:p>
    <w:p w:rsidR="00FA0851" w:rsidRPr="001E31D3" w:rsidRDefault="00FA0851" w:rsidP="00FA0851">
      <w:pPr>
        <w:spacing w:after="120" w:line="288" w:lineRule="auto"/>
        <w:rPr>
          <w:szCs w:val="20"/>
        </w:rPr>
      </w:pPr>
      <w:r w:rsidRPr="001E31D3">
        <w:rPr>
          <w:szCs w:val="20"/>
        </w:rPr>
        <w:t xml:space="preserve">The analysis presented in this report points towards a number of factors that may be significant in relation to </w:t>
      </w:r>
      <w:r w:rsidR="00D80B35" w:rsidRPr="001E31D3">
        <w:rPr>
          <w:szCs w:val="20"/>
        </w:rPr>
        <w:t>the</w:t>
      </w:r>
      <w:r w:rsidRPr="001E31D3">
        <w:rPr>
          <w:szCs w:val="20"/>
        </w:rPr>
        <w:t xml:space="preserve"> acquisition </w:t>
      </w:r>
      <w:r w:rsidR="00D80B35" w:rsidRPr="001E31D3">
        <w:rPr>
          <w:szCs w:val="20"/>
        </w:rPr>
        <w:t xml:space="preserve">of basic competences </w:t>
      </w:r>
      <w:r w:rsidRPr="001E31D3">
        <w:rPr>
          <w:szCs w:val="20"/>
        </w:rPr>
        <w:t xml:space="preserve">and which have the potential to inform policy. However, the indicators available for educational attainment come with a number of caveats. </w:t>
      </w:r>
    </w:p>
    <w:p w:rsidR="00FA0851" w:rsidRPr="001E31D3" w:rsidRDefault="00FA0851" w:rsidP="00FA0851">
      <w:pPr>
        <w:spacing w:after="120" w:line="288" w:lineRule="auto"/>
        <w:rPr>
          <w:rFonts w:cs="Helvetica"/>
          <w:szCs w:val="20"/>
          <w:lang w:val="en-US"/>
        </w:rPr>
      </w:pPr>
      <w:r w:rsidRPr="001E31D3">
        <w:rPr>
          <w:rFonts w:cs="Helvetica"/>
          <w:szCs w:val="20"/>
          <w:lang w:val="en-US"/>
        </w:rPr>
        <w:t>ISCED definitions are open to interpretation and may therefore not always be applied in the most objective way possible. This is problematic for scientific purposes such as that described in this report where, for example, a qualification is classified at a higher level than it should be: this biases any analysis of the link between educational attainment and basic competences.</w:t>
      </w:r>
    </w:p>
    <w:p w:rsidR="00FA0851" w:rsidRPr="00F30D9E" w:rsidRDefault="00FA0851" w:rsidP="00FA0851">
      <w:pPr>
        <w:spacing w:after="120" w:line="288" w:lineRule="auto"/>
        <w:rPr>
          <w:i/>
          <w:szCs w:val="20"/>
        </w:rPr>
      </w:pPr>
      <w:r w:rsidRPr="00F30D9E">
        <w:rPr>
          <w:rFonts w:cs="Arial"/>
          <w:noProof/>
          <w:szCs w:val="20"/>
          <w:lang w:val="en-US" w:eastAsia="en-US"/>
        </w:rPr>
        <mc:AlternateContent>
          <mc:Choice Requires="wps">
            <w:drawing>
              <wp:inline distT="0" distB="0" distL="0" distR="0" wp14:anchorId="261CCD89" wp14:editId="3A05C40E">
                <wp:extent cx="5579745" cy="3370521"/>
                <wp:effectExtent l="38100" t="38100" r="135255" b="116205"/>
                <wp:docPr id="302"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579745" cy="3370521"/>
                        </a:xfrm>
                        <a:prstGeom prst="rect">
                          <a:avLst/>
                        </a:prstGeom>
                        <a:solidFill>
                          <a:schemeClr val="tx2">
                            <a:lumMod val="20000"/>
                            <a:lumOff val="80000"/>
                          </a:schemeClr>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rsidR="00394EBA" w:rsidRPr="00E8058C" w:rsidRDefault="00394EBA" w:rsidP="00FA0851">
                            <w:pPr>
                              <w:spacing w:after="120" w:line="288" w:lineRule="auto"/>
                              <w:jc w:val="center"/>
                              <w:rPr>
                                <w:rFonts w:cs="Helvetica"/>
                                <w:b/>
                                <w:color w:val="1F497D" w:themeColor="text2"/>
                                <w:szCs w:val="20"/>
                                <w:lang w:val="en-US"/>
                              </w:rPr>
                            </w:pPr>
                            <w:r w:rsidRPr="00E8058C">
                              <w:rPr>
                                <w:rFonts w:cs="Helvetica"/>
                                <w:b/>
                                <w:color w:val="1F497D" w:themeColor="text2"/>
                                <w:szCs w:val="20"/>
                                <w:lang w:val="en-US"/>
                              </w:rPr>
                              <w:t>Recommendation</w:t>
                            </w:r>
                            <w:r>
                              <w:rPr>
                                <w:rFonts w:cs="Helvetica"/>
                                <w:b/>
                                <w:color w:val="1F497D" w:themeColor="text2"/>
                                <w:szCs w:val="20"/>
                                <w:lang w:val="en-US"/>
                              </w:rPr>
                              <w:t xml:space="preserve"> 7</w:t>
                            </w:r>
                          </w:p>
                          <w:p w:rsidR="00394EBA" w:rsidRPr="00067EA4" w:rsidRDefault="00394EBA" w:rsidP="00F90C88">
                            <w:pPr>
                              <w:pStyle w:val="ListParagraph"/>
                              <w:numPr>
                                <w:ilvl w:val="0"/>
                                <w:numId w:val="45"/>
                              </w:numPr>
                              <w:spacing w:line="288" w:lineRule="auto"/>
                              <w:jc w:val="center"/>
                              <w:rPr>
                                <w:rFonts w:cs="Helvetica"/>
                                <w:i/>
                                <w:color w:val="1F497D" w:themeColor="text2"/>
                                <w:szCs w:val="20"/>
                                <w:lang w:val="en-US"/>
                              </w:rPr>
                            </w:pPr>
                            <w:r w:rsidRPr="00067EA4">
                              <w:rPr>
                                <w:rFonts w:cs="Helvetica"/>
                                <w:i/>
                                <w:color w:val="1F497D" w:themeColor="text2"/>
                                <w:szCs w:val="20"/>
                                <w:lang w:val="en-US"/>
                              </w:rPr>
                              <w:t xml:space="preserve">improving and further developing international </w:t>
                            </w:r>
                          </w:p>
                          <w:p w:rsidR="00394EBA" w:rsidRDefault="00394EBA" w:rsidP="00FA0851">
                            <w:pPr>
                              <w:spacing w:line="288" w:lineRule="auto"/>
                              <w:jc w:val="center"/>
                              <w:rPr>
                                <w:rFonts w:cs="Helvetica"/>
                                <w:i/>
                                <w:color w:val="1F497D" w:themeColor="text2"/>
                                <w:szCs w:val="20"/>
                                <w:lang w:val="en-US"/>
                              </w:rPr>
                            </w:pPr>
                            <w:r w:rsidRPr="00E8058C">
                              <w:rPr>
                                <w:rFonts w:cs="Helvetica"/>
                                <w:i/>
                                <w:color w:val="1F497D" w:themeColor="text2"/>
                                <w:szCs w:val="20"/>
                                <w:lang w:val="en-US"/>
                              </w:rPr>
                              <w:t>assessments of competences</w:t>
                            </w:r>
                            <w:r>
                              <w:rPr>
                                <w:rFonts w:cs="Helvetica"/>
                                <w:i/>
                                <w:color w:val="1F497D" w:themeColor="text2"/>
                                <w:szCs w:val="20"/>
                                <w:lang w:val="en-US"/>
                              </w:rPr>
                              <w:t xml:space="preserve"> </w:t>
                            </w:r>
                            <w:r w:rsidRPr="00E8058C">
                              <w:rPr>
                                <w:rFonts w:cs="Helvetica"/>
                                <w:i/>
                                <w:color w:val="1F497D" w:themeColor="text2"/>
                                <w:szCs w:val="20"/>
                                <w:lang w:val="en-US"/>
                              </w:rPr>
                              <w:t>-</w:t>
                            </w:r>
                          </w:p>
                          <w:p w:rsidR="00394EBA" w:rsidRPr="00E8058C" w:rsidRDefault="00394EBA" w:rsidP="00FA0851">
                            <w:pPr>
                              <w:spacing w:line="288" w:lineRule="auto"/>
                              <w:jc w:val="center"/>
                              <w:rPr>
                                <w:rFonts w:cs="Helvetica"/>
                                <w:i/>
                                <w:color w:val="1F497D" w:themeColor="text2"/>
                                <w:szCs w:val="20"/>
                                <w:lang w:val="en-US"/>
                              </w:rPr>
                            </w:pPr>
                          </w:p>
                          <w:p w:rsidR="00394EBA" w:rsidRPr="00E8058C" w:rsidRDefault="00394EBA" w:rsidP="00FA0851">
                            <w:pPr>
                              <w:spacing w:after="120" w:line="288" w:lineRule="auto"/>
                              <w:rPr>
                                <w:color w:val="1F497D" w:themeColor="text2"/>
                                <w:szCs w:val="20"/>
                              </w:rPr>
                            </w:pPr>
                            <w:r w:rsidRPr="00E8058C">
                              <w:rPr>
                                <w:color w:val="1F497D" w:themeColor="text2"/>
                                <w:szCs w:val="20"/>
                              </w:rPr>
                              <w:t xml:space="preserve">International datasets need to be improved in terms of detail so that it is possible to unpack individuals’ educational trajectories </w:t>
                            </w:r>
                            <w:r>
                              <w:rPr>
                                <w:color w:val="1F497D" w:themeColor="text2"/>
                                <w:szCs w:val="20"/>
                              </w:rPr>
                              <w:t>beyond their</w:t>
                            </w:r>
                            <w:r w:rsidRPr="00E8058C">
                              <w:rPr>
                                <w:color w:val="1F497D" w:themeColor="text2"/>
                                <w:szCs w:val="20"/>
                              </w:rPr>
                              <w:t xml:space="preserve"> hig</w:t>
                            </w:r>
                            <w:r>
                              <w:rPr>
                                <w:color w:val="1F497D" w:themeColor="text2"/>
                                <w:szCs w:val="20"/>
                              </w:rPr>
                              <w:t xml:space="preserve">hest educational qualification. </w:t>
                            </w:r>
                            <w:r w:rsidRPr="00E8058C">
                              <w:rPr>
                                <w:color w:val="1F497D" w:themeColor="text2"/>
                                <w:szCs w:val="20"/>
                              </w:rPr>
                              <w:t xml:space="preserve">Within those trajectories, </w:t>
                            </w:r>
                            <w:r>
                              <w:rPr>
                                <w:color w:val="1F497D" w:themeColor="text2"/>
                                <w:szCs w:val="20"/>
                              </w:rPr>
                              <w:t>further detailed analysis should be done on the effects of</w:t>
                            </w:r>
                            <w:r w:rsidRPr="00E8058C">
                              <w:rPr>
                                <w:color w:val="1F497D" w:themeColor="text2"/>
                                <w:szCs w:val="20"/>
                              </w:rPr>
                              <w:t xml:space="preserve"> different tracks within lower secondary, upper secondary and tertiary levels to better understand their impact on basic competences.</w:t>
                            </w:r>
                          </w:p>
                          <w:p w:rsidR="00394EBA" w:rsidRPr="00E8058C" w:rsidRDefault="00394EBA" w:rsidP="00FA0851">
                            <w:pPr>
                              <w:spacing w:after="120" w:line="288" w:lineRule="auto"/>
                              <w:rPr>
                                <w:color w:val="1F497D" w:themeColor="text2"/>
                                <w:szCs w:val="20"/>
                              </w:rPr>
                            </w:pPr>
                            <w:r w:rsidRPr="00E8058C">
                              <w:rPr>
                                <w:color w:val="1F497D" w:themeColor="text2"/>
                                <w:szCs w:val="20"/>
                              </w:rPr>
                              <w:t>Further,</w:t>
                            </w:r>
                            <w:r>
                              <w:rPr>
                                <w:color w:val="1F497D" w:themeColor="text2"/>
                                <w:szCs w:val="20"/>
                              </w:rPr>
                              <w:t xml:space="preserve"> the analysis conducted in this report and future analysis which explores average competences at different ISCED levels can be a </w:t>
                            </w:r>
                            <w:r w:rsidRPr="00E8058C">
                              <w:rPr>
                                <w:rFonts w:cs="Helvetica"/>
                                <w:color w:val="1F497D" w:themeColor="text2"/>
                                <w:szCs w:val="20"/>
                                <w:lang w:val="en-US"/>
                              </w:rPr>
                              <w:t>tool to diagnose misclassifications of qualifications in ISCED and aid to improve classification in the future.</w:t>
                            </w:r>
                          </w:p>
                          <w:p w:rsidR="00394EBA" w:rsidRPr="00A05A88" w:rsidRDefault="00394EBA" w:rsidP="00FA0851">
                            <w:pPr>
                              <w:spacing w:after="120" w:line="288" w:lineRule="auto"/>
                              <w:rPr>
                                <w:i/>
                                <w:szCs w:val="20"/>
                              </w:rPr>
                            </w:pPr>
                          </w:p>
                          <w:p w:rsidR="00394EBA" w:rsidRPr="0063276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wps:txbx>
                      <wps:bodyPr rot="0" vert="horz" wrap="square" lIns="274320" tIns="274320" rIns="274320" bIns="274320" anchor="ctr" anchorCtr="0">
                        <a:noAutofit/>
                      </wps:bodyPr>
                    </wps:wsp>
                  </a:graphicData>
                </a:graphic>
              </wp:inline>
            </w:drawing>
          </mc:Choice>
          <mc:Fallback>
            <w:pict>
              <v:rect w14:anchorId="261CCD89" id="_x0000_s1057" style="width:439.35pt;height:265.4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" fillcolor="#c6d9f1 [671]" strokecolor="gray [1629]" strokeweight="1.5pt">
                <v:shadow on="t" type="perspective" color="black" opacity="26214f" origin="-.5,-.5" offset=".74836mm,.74836mm" matrix="65864f,,,65864f"/>
                <v:textbox inset="21.6pt,21.6pt,21.6pt,21.6pt">
                  <w:txbxContent>
                    <w:p w:rsidR="00394EBA" w:rsidRPr="00E8058C" w:rsidRDefault="00394EBA" w:rsidP="00FA0851">
                      <w:pPr>
                        <w:spacing w:after="120" w:line="288" w:lineRule="auto"/>
                        <w:jc w:val="center"/>
                        <w:rPr>
                          <w:rFonts w:cs="Helvetica"/>
                          <w:b/>
                          <w:color w:val="1F497D" w:themeColor="text2"/>
                          <w:szCs w:val="20"/>
                          <w:lang w:val="en-US"/>
                        </w:rPr>
                      </w:pPr>
                      <w:r w:rsidRPr="00E8058C">
                        <w:rPr>
                          <w:rFonts w:cs="Helvetica"/>
                          <w:b/>
                          <w:color w:val="1F497D" w:themeColor="text2"/>
                          <w:szCs w:val="20"/>
                          <w:lang w:val="en-US"/>
                        </w:rPr>
                        <w:t>Recommendation</w:t>
                      </w:r>
                      <w:r>
                        <w:rPr>
                          <w:rFonts w:cs="Helvetica"/>
                          <w:b/>
                          <w:color w:val="1F497D" w:themeColor="text2"/>
                          <w:szCs w:val="20"/>
                          <w:lang w:val="en-US"/>
                        </w:rPr>
                        <w:t xml:space="preserve"> 7</w:t>
                      </w:r>
                    </w:p>
                    <w:p w:rsidR="00394EBA" w:rsidRPr="00067EA4" w:rsidRDefault="00394EBA" w:rsidP="00F90C88">
                      <w:pPr>
                        <w:pStyle w:val="ListParagraph"/>
                        <w:numPr>
                          <w:ilvl w:val="0"/>
                          <w:numId w:val="45"/>
                        </w:numPr>
                        <w:spacing w:line="288" w:lineRule="auto"/>
                        <w:jc w:val="center"/>
                        <w:rPr>
                          <w:rFonts w:cs="Helvetica"/>
                          <w:i/>
                          <w:color w:val="1F497D" w:themeColor="text2"/>
                          <w:szCs w:val="20"/>
                          <w:lang w:val="en-US"/>
                        </w:rPr>
                      </w:pPr>
                      <w:r w:rsidRPr="00067EA4">
                        <w:rPr>
                          <w:rFonts w:cs="Helvetica"/>
                          <w:i/>
                          <w:color w:val="1F497D" w:themeColor="text2"/>
                          <w:szCs w:val="20"/>
                          <w:lang w:val="en-US"/>
                        </w:rPr>
                        <w:t xml:space="preserve">improving and further developing international </w:t>
                      </w:r>
                    </w:p>
                    <w:p w:rsidR="00394EBA" w:rsidRDefault="00394EBA" w:rsidP="00FA0851">
                      <w:pPr>
                        <w:spacing w:line="288" w:lineRule="auto"/>
                        <w:jc w:val="center"/>
                        <w:rPr>
                          <w:rFonts w:cs="Helvetica"/>
                          <w:i/>
                          <w:color w:val="1F497D" w:themeColor="text2"/>
                          <w:szCs w:val="20"/>
                          <w:lang w:val="en-US"/>
                        </w:rPr>
                      </w:pPr>
                      <w:r w:rsidRPr="00E8058C">
                        <w:rPr>
                          <w:rFonts w:cs="Helvetica"/>
                          <w:i/>
                          <w:color w:val="1F497D" w:themeColor="text2"/>
                          <w:szCs w:val="20"/>
                          <w:lang w:val="en-US"/>
                        </w:rPr>
                        <w:t>assessments of competences</w:t>
                      </w:r>
                      <w:r>
                        <w:rPr>
                          <w:rFonts w:cs="Helvetica"/>
                          <w:i/>
                          <w:color w:val="1F497D" w:themeColor="text2"/>
                          <w:szCs w:val="20"/>
                          <w:lang w:val="en-US"/>
                        </w:rPr>
                        <w:t xml:space="preserve"> </w:t>
                      </w:r>
                      <w:r w:rsidRPr="00E8058C">
                        <w:rPr>
                          <w:rFonts w:cs="Helvetica"/>
                          <w:i/>
                          <w:color w:val="1F497D" w:themeColor="text2"/>
                          <w:szCs w:val="20"/>
                          <w:lang w:val="en-US"/>
                        </w:rPr>
                        <w:t>-</w:t>
                      </w:r>
                    </w:p>
                    <w:p w:rsidR="00394EBA" w:rsidRPr="00E8058C" w:rsidRDefault="00394EBA" w:rsidP="00FA0851">
                      <w:pPr>
                        <w:spacing w:line="288" w:lineRule="auto"/>
                        <w:jc w:val="center"/>
                        <w:rPr>
                          <w:rFonts w:cs="Helvetica"/>
                          <w:i/>
                          <w:color w:val="1F497D" w:themeColor="text2"/>
                          <w:szCs w:val="20"/>
                          <w:lang w:val="en-US"/>
                        </w:rPr>
                      </w:pPr>
                    </w:p>
                    <w:p w:rsidR="00394EBA" w:rsidRPr="00E8058C" w:rsidRDefault="00394EBA" w:rsidP="00FA0851">
                      <w:pPr>
                        <w:spacing w:after="120" w:line="288" w:lineRule="auto"/>
                        <w:rPr>
                          <w:color w:val="1F497D" w:themeColor="text2"/>
                          <w:szCs w:val="20"/>
                        </w:rPr>
                      </w:pPr>
                      <w:r w:rsidRPr="00E8058C">
                        <w:rPr>
                          <w:color w:val="1F497D" w:themeColor="text2"/>
                          <w:szCs w:val="20"/>
                        </w:rPr>
                        <w:t xml:space="preserve">International datasets need to be improved in terms of detail so that it is possible to unpack individuals’ educational trajectories </w:t>
                      </w:r>
                      <w:r>
                        <w:rPr>
                          <w:color w:val="1F497D" w:themeColor="text2"/>
                          <w:szCs w:val="20"/>
                        </w:rPr>
                        <w:t>beyond their</w:t>
                      </w:r>
                      <w:r w:rsidRPr="00E8058C">
                        <w:rPr>
                          <w:color w:val="1F497D" w:themeColor="text2"/>
                          <w:szCs w:val="20"/>
                        </w:rPr>
                        <w:t xml:space="preserve"> hig</w:t>
                      </w:r>
                      <w:r>
                        <w:rPr>
                          <w:color w:val="1F497D" w:themeColor="text2"/>
                          <w:szCs w:val="20"/>
                        </w:rPr>
                        <w:t xml:space="preserve">hest educational qualification. </w:t>
                      </w:r>
                      <w:r w:rsidRPr="00E8058C">
                        <w:rPr>
                          <w:color w:val="1F497D" w:themeColor="text2"/>
                          <w:szCs w:val="20"/>
                        </w:rPr>
                        <w:t xml:space="preserve">Within those trajectories, </w:t>
                      </w:r>
                      <w:r>
                        <w:rPr>
                          <w:color w:val="1F497D" w:themeColor="text2"/>
                          <w:szCs w:val="20"/>
                        </w:rPr>
                        <w:t>further detailed analysis should be done on the effects of</w:t>
                      </w:r>
                      <w:r w:rsidRPr="00E8058C">
                        <w:rPr>
                          <w:color w:val="1F497D" w:themeColor="text2"/>
                          <w:szCs w:val="20"/>
                        </w:rPr>
                        <w:t xml:space="preserve"> different tracks within lower secondary, upper secondary and tertiary levels to better understand their impact on basic competences.</w:t>
                      </w:r>
                    </w:p>
                    <w:p w:rsidR="00394EBA" w:rsidRPr="00E8058C" w:rsidRDefault="00394EBA" w:rsidP="00FA0851">
                      <w:pPr>
                        <w:spacing w:after="120" w:line="288" w:lineRule="auto"/>
                        <w:rPr>
                          <w:color w:val="1F497D" w:themeColor="text2"/>
                          <w:szCs w:val="20"/>
                        </w:rPr>
                      </w:pPr>
                      <w:r w:rsidRPr="00E8058C">
                        <w:rPr>
                          <w:color w:val="1F497D" w:themeColor="text2"/>
                          <w:szCs w:val="20"/>
                        </w:rPr>
                        <w:t>Further,</w:t>
                      </w:r>
                      <w:r>
                        <w:rPr>
                          <w:color w:val="1F497D" w:themeColor="text2"/>
                          <w:szCs w:val="20"/>
                        </w:rPr>
                        <w:t xml:space="preserve"> the analysis conducted in this report and future analysis which explores average competences at different ISCED levels can be a </w:t>
                      </w:r>
                      <w:r w:rsidRPr="00E8058C">
                        <w:rPr>
                          <w:rFonts w:cs="Helvetica"/>
                          <w:color w:val="1F497D" w:themeColor="text2"/>
                          <w:szCs w:val="20"/>
                          <w:lang w:val="en-US"/>
                        </w:rPr>
                        <w:t>tool to diagnose misclassifications of qualifications in ISCED and aid to improve classification in the future.</w:t>
                      </w:r>
                    </w:p>
                    <w:p w:rsidR="00394EBA" w:rsidRPr="00A05A88" w:rsidRDefault="00394EBA" w:rsidP="00FA0851">
                      <w:pPr>
                        <w:spacing w:after="120" w:line="288" w:lineRule="auto"/>
                        <w:rPr>
                          <w:i/>
                          <w:szCs w:val="20"/>
                        </w:rPr>
                      </w:pPr>
                    </w:p>
                    <w:p w:rsidR="00394EBA" w:rsidRPr="00632763"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A05A88" w:rsidRDefault="00394EBA" w:rsidP="00FA08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288" w:lineRule="auto"/>
                        <w:rPr>
                          <w:rFonts w:cs="Helvetica"/>
                          <w:szCs w:val="20"/>
                          <w:lang w:val="en-US"/>
                        </w:rPr>
                      </w:pPr>
                    </w:p>
                    <w:p w:rsidR="00394EBA" w:rsidRPr="000F4E97" w:rsidRDefault="00394EBA" w:rsidP="00FA0851">
                      <w:pPr>
                        <w:spacing w:after="120" w:line="288" w:lineRule="auto"/>
                      </w:pPr>
                    </w:p>
                    <w:p w:rsidR="00394EBA" w:rsidRDefault="00394EBA" w:rsidP="00FA0851">
                      <w:pPr>
                        <w:jc w:val="center"/>
                        <w:rPr>
                          <w:b/>
                        </w:rPr>
                      </w:pPr>
                    </w:p>
                    <w:p w:rsidR="00394EBA" w:rsidRDefault="00394EBA" w:rsidP="00FA0851">
                      <w:pPr>
                        <w:rPr>
                          <w:color w:val="4F81BD" w:themeColor="accent1"/>
                          <w:szCs w:val="20"/>
                        </w:rPr>
                      </w:pPr>
                    </w:p>
                  </w:txbxContent>
                </v:textbox>
                <w10:anchorlock/>
              </v:rect>
            </w:pict>
          </mc:Fallback>
        </mc:AlternateContent>
      </w:r>
    </w:p>
    <w:p w:rsidR="00FA0851" w:rsidRDefault="00FA0851" w:rsidP="00FA0851">
      <w:pPr>
        <w:spacing w:after="120" w:line="288" w:lineRule="auto"/>
        <w:rPr>
          <w:rFonts w:cs="Helvetica"/>
          <w:b/>
          <w:color w:val="1F497D" w:themeColor="text2"/>
          <w:szCs w:val="20"/>
          <w:lang w:val="en-US"/>
        </w:rPr>
      </w:pPr>
      <w:r>
        <w:rPr>
          <w:rFonts w:cs="Helvetica"/>
          <w:b/>
          <w:color w:val="1F497D" w:themeColor="text2"/>
          <w:szCs w:val="20"/>
          <w:lang w:val="en-US"/>
        </w:rPr>
        <w:t>…</w:t>
      </w:r>
      <w:r w:rsidR="00036C00">
        <w:rPr>
          <w:rFonts w:cs="Helvetica"/>
          <w:b/>
          <w:color w:val="1F497D" w:themeColor="text2"/>
          <w:szCs w:val="20"/>
          <w:lang w:val="en-US"/>
        </w:rPr>
        <w:t>but the role</w:t>
      </w:r>
      <w:r>
        <w:rPr>
          <w:rFonts w:cs="Helvetica"/>
          <w:b/>
          <w:color w:val="1F497D" w:themeColor="text2"/>
          <w:szCs w:val="20"/>
          <w:lang w:val="en-US"/>
        </w:rPr>
        <w:t xml:space="preserve"> of formal qualifications beyond the development of basic competences should be kept in mind.</w:t>
      </w:r>
    </w:p>
    <w:p w:rsidR="00FA0851" w:rsidRPr="001E31D3" w:rsidRDefault="00FA0851" w:rsidP="00FA0851">
      <w:pPr>
        <w:spacing w:after="120" w:line="288" w:lineRule="auto"/>
        <w:rPr>
          <w:szCs w:val="20"/>
        </w:rPr>
      </w:pPr>
      <w:r w:rsidRPr="001E31D3">
        <w:rPr>
          <w:szCs w:val="20"/>
        </w:rPr>
        <w:t>It may be surprising that this report did not find a stronger</w:t>
      </w:r>
      <w:r w:rsidR="00611632" w:rsidRPr="001E31D3">
        <w:rPr>
          <w:szCs w:val="20"/>
        </w:rPr>
        <w:t xml:space="preserve"> direct</w:t>
      </w:r>
      <w:r w:rsidRPr="001E31D3">
        <w:rPr>
          <w:szCs w:val="20"/>
        </w:rPr>
        <w:t xml:space="preserve"> relationship between </w:t>
      </w:r>
      <w:r w:rsidR="007108FC" w:rsidRPr="001E31D3">
        <w:rPr>
          <w:szCs w:val="20"/>
        </w:rPr>
        <w:t xml:space="preserve">levels of formal educational attainment </w:t>
      </w:r>
      <w:r w:rsidRPr="001E31D3">
        <w:rPr>
          <w:szCs w:val="20"/>
        </w:rPr>
        <w:t xml:space="preserve">and basic competences. However, qualifications </w:t>
      </w:r>
      <w:r w:rsidR="00611632" w:rsidRPr="001E31D3">
        <w:rPr>
          <w:szCs w:val="20"/>
        </w:rPr>
        <w:t>are not an</w:t>
      </w:r>
      <w:r w:rsidRPr="001E31D3">
        <w:rPr>
          <w:szCs w:val="20"/>
        </w:rPr>
        <w:t xml:space="preserve"> exact mirror of basic competences. This is due to a variety of reasons: </w:t>
      </w:r>
    </w:p>
    <w:p w:rsidR="00FA0851" w:rsidRPr="001E31D3" w:rsidRDefault="00FA0851" w:rsidP="00F90C88">
      <w:pPr>
        <w:pStyle w:val="ListParagraph"/>
        <w:numPr>
          <w:ilvl w:val="0"/>
          <w:numId w:val="39"/>
        </w:numPr>
        <w:spacing w:after="120" w:line="288" w:lineRule="auto"/>
        <w:rPr>
          <w:szCs w:val="20"/>
        </w:rPr>
      </w:pPr>
      <w:r w:rsidRPr="001E31D3">
        <w:rPr>
          <w:szCs w:val="20"/>
        </w:rPr>
        <w:t>Qualifications and educational attainment perform a variety of functions beyond the acquisition of basic competences including a signalling function for progress</w:t>
      </w:r>
      <w:r w:rsidR="00CC5988" w:rsidRPr="001E31D3">
        <w:rPr>
          <w:szCs w:val="20"/>
        </w:rPr>
        <w:t>ion</w:t>
      </w:r>
      <w:r w:rsidRPr="001E31D3">
        <w:rPr>
          <w:szCs w:val="20"/>
        </w:rPr>
        <w:t xml:space="preserve"> to higher educational levels or towards the labour market. </w:t>
      </w:r>
    </w:p>
    <w:p w:rsidR="00DF4B9C" w:rsidRPr="001E31D3" w:rsidRDefault="00FA0851" w:rsidP="00F90C88">
      <w:pPr>
        <w:pStyle w:val="ListParagraph"/>
        <w:numPr>
          <w:ilvl w:val="0"/>
          <w:numId w:val="39"/>
        </w:numPr>
        <w:spacing w:after="120" w:line="288" w:lineRule="auto"/>
        <w:rPr>
          <w:szCs w:val="20"/>
        </w:rPr>
      </w:pPr>
      <w:r w:rsidRPr="001E31D3">
        <w:rPr>
          <w:szCs w:val="20"/>
        </w:rPr>
        <w:t>Many qualifications aim to provide individuals with specialised</w:t>
      </w:r>
      <w:r w:rsidR="00DF4B9C" w:rsidRPr="001E31D3">
        <w:rPr>
          <w:szCs w:val="20"/>
        </w:rPr>
        <w:t xml:space="preserve"> skills and knowledge</w:t>
      </w:r>
      <w:r w:rsidRPr="001E31D3">
        <w:rPr>
          <w:szCs w:val="20"/>
        </w:rPr>
        <w:t xml:space="preserve"> rather than literacy and numeracy competences</w:t>
      </w:r>
      <w:r w:rsidR="00611632" w:rsidRPr="001E31D3">
        <w:rPr>
          <w:szCs w:val="20"/>
        </w:rPr>
        <w:t>.</w:t>
      </w:r>
      <w:r w:rsidRPr="001E31D3">
        <w:rPr>
          <w:rFonts w:cs="Helvetica"/>
          <w:szCs w:val="20"/>
          <w:lang w:val="en-US"/>
        </w:rPr>
        <w:t xml:space="preserve"> </w:t>
      </w:r>
      <w:r w:rsidR="00DF4B9C" w:rsidRPr="001E31D3">
        <w:rPr>
          <w:rFonts w:cs="Helvetica"/>
          <w:szCs w:val="20"/>
          <w:lang w:val="en-US"/>
        </w:rPr>
        <w:t>For example, e</w:t>
      </w:r>
      <w:r w:rsidRPr="001E31D3">
        <w:rPr>
          <w:rFonts w:cs="Helvetica"/>
          <w:szCs w:val="20"/>
          <w:lang w:val="en-US"/>
        </w:rPr>
        <w:t xml:space="preserve">specially in upper secondary and tertiary education, </w:t>
      </w:r>
      <w:r w:rsidR="00DF4B9C" w:rsidRPr="001E31D3">
        <w:rPr>
          <w:rFonts w:cs="Helvetica"/>
          <w:szCs w:val="20"/>
          <w:lang w:val="en-US"/>
        </w:rPr>
        <w:t>equipping young people with specific vocational skills to ease labour market transition is one of main goals</w:t>
      </w:r>
      <w:r w:rsidR="00067EA4" w:rsidRPr="001E31D3">
        <w:rPr>
          <w:rFonts w:cs="Helvetica"/>
          <w:szCs w:val="20"/>
          <w:lang w:val="en-US"/>
        </w:rPr>
        <w:t xml:space="preserve"> of education policy</w:t>
      </w:r>
      <w:r w:rsidR="00DF4B9C" w:rsidRPr="001E31D3">
        <w:rPr>
          <w:rFonts w:cs="Helvetica"/>
          <w:szCs w:val="20"/>
          <w:lang w:val="en-US"/>
        </w:rPr>
        <w:t xml:space="preserve"> in some countries. </w:t>
      </w:r>
    </w:p>
    <w:p w:rsidR="00FA0851" w:rsidRPr="001E31D3" w:rsidRDefault="00FA0851" w:rsidP="00F90C88">
      <w:pPr>
        <w:pStyle w:val="ListParagraph"/>
        <w:numPr>
          <w:ilvl w:val="0"/>
          <w:numId w:val="39"/>
        </w:numPr>
        <w:spacing w:after="120" w:line="288" w:lineRule="auto"/>
        <w:rPr>
          <w:rFonts w:eastAsiaTheme="minorHAnsi" w:cstheme="minorBidi"/>
          <w:szCs w:val="20"/>
          <w:lang w:eastAsia="en-US"/>
        </w:rPr>
      </w:pPr>
      <w:r w:rsidRPr="001E31D3">
        <w:rPr>
          <w:szCs w:val="20"/>
        </w:rPr>
        <w:t xml:space="preserve">Competences are a dynamic concept and continue to develop over the life-course in formal and non-formal learning contexts, whereas qualifications are evidently part of </w:t>
      </w:r>
      <w:r w:rsidRPr="001E31D3">
        <w:rPr>
          <w:rFonts w:eastAsiaTheme="minorHAnsi" w:cstheme="minorBidi"/>
          <w:szCs w:val="20"/>
          <w:lang w:eastAsia="en-US"/>
        </w:rPr>
        <w:t xml:space="preserve">the formal education system. </w:t>
      </w:r>
    </w:p>
    <w:p w:rsidR="00FA0851" w:rsidRPr="001E31D3" w:rsidRDefault="00FA0851" w:rsidP="00FA0851">
      <w:pPr>
        <w:spacing w:after="120" w:line="288" w:lineRule="auto"/>
        <w:rPr>
          <w:szCs w:val="20"/>
        </w:rPr>
      </w:pPr>
      <w:r w:rsidRPr="001E31D3">
        <w:rPr>
          <w:szCs w:val="20"/>
        </w:rPr>
        <w:t>These key distinctions should be kept in mind when discussing the relationship between educational attainment and competences in the future.</w:t>
      </w:r>
    </w:p>
    <w:p w:rsidR="000D3D98" w:rsidRDefault="000D3D98" w:rsidP="000E4E30">
      <w:pPr>
        <w:spacing w:after="120" w:line="288" w:lineRule="auto"/>
        <w:jc w:val="left"/>
        <w:rPr>
          <w:rFonts w:cs="Arial"/>
          <w:b/>
          <w:bCs/>
          <w:color w:val="263673"/>
          <w:kern w:val="32"/>
          <w:sz w:val="28"/>
          <w:szCs w:val="32"/>
        </w:rPr>
        <w:sectPr w:rsidR="000D3D98" w:rsidSect="00F2695A">
          <w:headerReference w:type="default" r:id="rId64"/>
          <w:headerReference w:type="first" r:id="rId65"/>
          <w:footerReference w:type="first" r:id="rId66"/>
          <w:pgSz w:w="11906" w:h="16838" w:code="9"/>
          <w:pgMar w:top="1985" w:right="1418" w:bottom="1418" w:left="1701" w:header="709" w:footer="709" w:gutter="0"/>
          <w:cols w:space="708"/>
          <w:titlePg/>
          <w:docGrid w:linePitch="360"/>
        </w:sectPr>
      </w:pPr>
    </w:p>
    <w:p w:rsidR="000755F4" w:rsidRDefault="000755F4" w:rsidP="000755F4">
      <w:pPr>
        <w:pStyle w:val="Annex"/>
      </w:pPr>
      <w:bookmarkStart w:id="228" w:name="_Toc427232527"/>
      <w:bookmarkEnd w:id="6"/>
      <w:bookmarkEnd w:id="7"/>
      <w:bookmarkEnd w:id="8"/>
      <w:r>
        <w:rPr>
          <w:b w:val="0"/>
        </w:rPr>
        <w:t>Annexes</w:t>
      </w:r>
      <w:bookmarkEnd w:id="228"/>
    </w:p>
    <w:p w:rsidR="0033390A" w:rsidRDefault="0033390A">
      <w:pPr>
        <w:jc w:val="left"/>
        <w:rPr>
          <w:color w:val="003C64"/>
          <w:sz w:val="40"/>
        </w:rPr>
      </w:pPr>
      <w:r>
        <w:rPr>
          <w:b/>
        </w:rPr>
        <w:br w:type="page"/>
      </w:r>
    </w:p>
    <w:p w:rsidR="000755F4" w:rsidRPr="00CB46AB" w:rsidRDefault="000755F4" w:rsidP="000755F4">
      <w:pPr>
        <w:pStyle w:val="Annexheading2"/>
        <w:rPr>
          <w:rFonts w:ascii="Verdana" w:hAnsi="Verdana"/>
        </w:rPr>
      </w:pPr>
      <w:r w:rsidRPr="00CB46AB">
        <w:rPr>
          <w:rFonts w:ascii="Verdana" w:hAnsi="Verdana"/>
          <w:b w:val="0"/>
        </w:rPr>
        <w:t>Annex I - Bibliography</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Allen, J, van der Velden, R., Helmschrott, S., Martin, S., Massing, N., Rammstedt, B., Zabal, A., von Davier, M. (2013), </w:t>
      </w:r>
      <w:r w:rsidRPr="00CB46AB">
        <w:rPr>
          <w:rFonts w:cs="Arial"/>
          <w:i/>
          <w:szCs w:val="20"/>
        </w:rPr>
        <w:t>The Development of the PIAAC Background Questionnaires</w:t>
      </w:r>
      <w:r w:rsidRPr="00CB46AB">
        <w:rPr>
          <w:rFonts w:cs="Arial"/>
          <w:szCs w:val="20"/>
        </w:rPr>
        <w:t>, in: OECD, Technical Report of the Survey of Adults Skills (PIAAC), Paris: OECD Publishing, chapter 3</w:t>
      </w:r>
    </w:p>
    <w:p w:rsidR="00211990" w:rsidRPr="00CB46AB" w:rsidRDefault="00211990" w:rsidP="00CB46AB">
      <w:pPr>
        <w:spacing w:after="120" w:line="288" w:lineRule="auto"/>
        <w:rPr>
          <w:szCs w:val="20"/>
        </w:rPr>
      </w:pPr>
      <w:r w:rsidRPr="00CB46AB">
        <w:rPr>
          <w:szCs w:val="20"/>
        </w:rPr>
        <w:t xml:space="preserve">Allmendinger, J. (1989), </w:t>
      </w:r>
      <w:r w:rsidRPr="00CB46AB">
        <w:rPr>
          <w:bCs/>
          <w:i/>
          <w:kern w:val="36"/>
          <w:szCs w:val="20"/>
          <w:lang w:val="en"/>
        </w:rPr>
        <w:t>Educational systems and labor market outcomes</w:t>
      </w:r>
      <w:r w:rsidRPr="00CB46AB">
        <w:rPr>
          <w:bCs/>
          <w:kern w:val="36"/>
          <w:szCs w:val="20"/>
          <w:lang w:val="en"/>
        </w:rPr>
        <w:t>. European Sociological Review, 5 (30), pp. 231-250</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Ammermuller, A. (2005), </w:t>
      </w:r>
      <w:r w:rsidRPr="00CB46AB">
        <w:rPr>
          <w:rFonts w:cs="Arial"/>
          <w:i/>
          <w:szCs w:val="20"/>
        </w:rPr>
        <w:t>Educational opportunities and the role of institutions</w:t>
      </w:r>
      <w:r w:rsidRPr="00CB46AB">
        <w:rPr>
          <w:rFonts w:cs="Arial"/>
          <w:szCs w:val="20"/>
        </w:rPr>
        <w:t>, ZEW Discussion Paper 05-44, Mannheim: Centre for European Economic Research</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Ammermuller A., Heijke, H. and Woessmann, L. (2005), </w:t>
      </w:r>
      <w:r w:rsidRPr="00CB46AB">
        <w:rPr>
          <w:rFonts w:cs="Arial"/>
          <w:i/>
          <w:szCs w:val="20"/>
        </w:rPr>
        <w:t>Schooling quality in Eastern Europe: educational production during transition</w:t>
      </w:r>
      <w:r w:rsidRPr="00CB46AB">
        <w:rPr>
          <w:rFonts w:cs="Arial"/>
          <w:szCs w:val="20"/>
        </w:rPr>
        <w:t>, Economics of Education. Review, 24, pp. 579–99</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Angrist, J., Krueger, A. (1991), </w:t>
      </w:r>
      <w:r w:rsidRPr="00CB46AB">
        <w:rPr>
          <w:rFonts w:cs="Arial"/>
          <w:i/>
          <w:szCs w:val="20"/>
        </w:rPr>
        <w:t>Does Compulsory School Attendance Affect Schooling and Earnings?,</w:t>
      </w:r>
      <w:r w:rsidRPr="00CB46AB">
        <w:rPr>
          <w:rFonts w:cs="Arial"/>
          <w:szCs w:val="20"/>
        </w:rPr>
        <w:t xml:space="preserve"> Quarterly Journal of Economics 106, pp. 979-1014</w:t>
      </w:r>
    </w:p>
    <w:p w:rsidR="00211990" w:rsidRPr="00CB46AB" w:rsidRDefault="00211990" w:rsidP="00CB46AB">
      <w:pPr>
        <w:pStyle w:val="FootnoteText"/>
        <w:spacing w:after="120" w:line="288" w:lineRule="auto"/>
        <w:rPr>
          <w:rFonts w:eastAsiaTheme="minorHAnsi" w:cs="Arial"/>
          <w:lang w:eastAsia="en-US"/>
        </w:rPr>
      </w:pPr>
      <w:r w:rsidRPr="00CB46AB">
        <w:rPr>
          <w:rFonts w:eastAsiaTheme="minorHAnsi" w:cs="Arial"/>
          <w:lang w:eastAsia="en-US"/>
        </w:rPr>
        <w:t xml:space="preserve">Barro, R. Lee, J. (2001), </w:t>
      </w:r>
      <w:r w:rsidRPr="00CB46AB">
        <w:rPr>
          <w:rFonts w:eastAsiaTheme="minorHAnsi" w:cs="Arial"/>
          <w:i/>
          <w:lang w:eastAsia="en-US"/>
        </w:rPr>
        <w:t>International data on educational attainment: updates and implications</w:t>
      </w:r>
      <w:r w:rsidRPr="00CB46AB">
        <w:rPr>
          <w:rFonts w:eastAsiaTheme="minorHAnsi" w:cs="Arial"/>
          <w:lang w:eastAsia="en-US"/>
        </w:rPr>
        <w:t>, Oxford Economic Papers, 3, pp. 541-563</w:t>
      </w:r>
    </w:p>
    <w:p w:rsidR="00211990" w:rsidRPr="00CB46AB" w:rsidRDefault="00211990" w:rsidP="00CB46AB">
      <w:pPr>
        <w:spacing w:after="120" w:line="288" w:lineRule="auto"/>
        <w:rPr>
          <w:rFonts w:cs="Arial"/>
          <w:szCs w:val="20"/>
        </w:rPr>
      </w:pPr>
      <w:r w:rsidRPr="00CB46AB">
        <w:rPr>
          <w:rFonts w:cs="Arial"/>
          <w:szCs w:val="20"/>
        </w:rPr>
        <w:t xml:space="preserve">Bishop, J. H. (1997), </w:t>
      </w:r>
      <w:r w:rsidRPr="00CB46AB">
        <w:rPr>
          <w:rFonts w:cs="Arial"/>
          <w:i/>
          <w:szCs w:val="20"/>
        </w:rPr>
        <w:t>The effect of national standards and curriculum-based exams on achievement</w:t>
      </w:r>
      <w:r w:rsidRPr="00CB46AB">
        <w:rPr>
          <w:rFonts w:cs="Arial"/>
          <w:szCs w:val="20"/>
        </w:rPr>
        <w:t xml:space="preserve">, </w:t>
      </w:r>
      <w:r w:rsidRPr="00CB46AB">
        <w:rPr>
          <w:rFonts w:cs="Arial"/>
          <w:iCs/>
          <w:szCs w:val="20"/>
        </w:rPr>
        <w:t>American Economic Review, 87</w:t>
      </w:r>
      <w:r w:rsidRPr="00CB46AB">
        <w:rPr>
          <w:rFonts w:cs="Arial"/>
          <w:szCs w:val="20"/>
        </w:rPr>
        <w:t>, pp. 260–264</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Bohlinger, S. (2013), </w:t>
      </w:r>
      <w:r w:rsidRPr="00CB46AB">
        <w:rPr>
          <w:rFonts w:cs="Arial"/>
          <w:i/>
          <w:szCs w:val="20"/>
        </w:rPr>
        <w:t>The International Standard Classification of Education (ISCED)</w:t>
      </w:r>
      <w:r w:rsidRPr="00CB46AB">
        <w:rPr>
          <w:rFonts w:cs="Arial"/>
          <w:szCs w:val="20"/>
        </w:rPr>
        <w:t>, BiBB BWP Special Edition 2013, pp. 23-26</w:t>
      </w:r>
    </w:p>
    <w:p w:rsidR="00211990" w:rsidRPr="00CB46AB" w:rsidRDefault="00211990" w:rsidP="00CB46AB">
      <w:pPr>
        <w:spacing w:after="120" w:line="288" w:lineRule="auto"/>
        <w:rPr>
          <w:rFonts w:cs="Arial"/>
          <w:b/>
          <w:szCs w:val="20"/>
        </w:rPr>
      </w:pPr>
      <w:r w:rsidRPr="00CB46AB">
        <w:rPr>
          <w:rFonts w:cs="Arial"/>
          <w:szCs w:val="20"/>
        </w:rPr>
        <w:t>Bol, T. and van de Werfhorst, H. G. (2013), </w:t>
      </w:r>
      <w:hyperlink r:id="rId67" w:tgtFrame="_blank" w:history="1">
        <w:r w:rsidRPr="00CB46AB">
          <w:rPr>
            <w:rStyle w:val="Hyperlink"/>
            <w:i/>
            <w:color w:val="333333"/>
            <w:szCs w:val="20"/>
          </w:rPr>
          <w:t>Educational systems and the trade-off between labor market allocation and equality of educational opportunity</w:t>
        </w:r>
        <w:r w:rsidRPr="00CB46AB">
          <w:rPr>
            <w:rStyle w:val="Hyperlink"/>
            <w:color w:val="333333"/>
            <w:szCs w:val="20"/>
          </w:rPr>
          <w:t>,</w:t>
        </w:r>
      </w:hyperlink>
      <w:r w:rsidRPr="00CB46AB">
        <w:rPr>
          <w:rFonts w:cs="Arial"/>
          <w:szCs w:val="20"/>
        </w:rPr>
        <w:t> </w:t>
      </w:r>
      <w:r w:rsidRPr="00CB46AB">
        <w:rPr>
          <w:rFonts w:cs="Arial"/>
          <w:iCs/>
          <w:szCs w:val="20"/>
        </w:rPr>
        <w:t>Comparative Education Review, 57</w:t>
      </w:r>
      <w:r w:rsidRPr="00CB46AB">
        <w:rPr>
          <w:rFonts w:cs="Arial"/>
          <w:szCs w:val="20"/>
        </w:rPr>
        <w:t xml:space="preserve"> (2), pp. 285-308</w:t>
      </w:r>
    </w:p>
    <w:p w:rsidR="00211990" w:rsidRPr="00CB46AB" w:rsidRDefault="00211990" w:rsidP="00CB46AB">
      <w:pPr>
        <w:spacing w:after="120" w:line="288" w:lineRule="auto"/>
        <w:rPr>
          <w:rFonts w:cs="Arial"/>
          <w:szCs w:val="20"/>
        </w:rPr>
      </w:pPr>
      <w:r w:rsidRPr="00CB46AB">
        <w:rPr>
          <w:rFonts w:cs="Arial"/>
          <w:szCs w:val="20"/>
        </w:rPr>
        <w:t xml:space="preserve">Bol, T., and van de Werfhorst, H. G. (2013), </w:t>
      </w:r>
      <w:r w:rsidRPr="00CB46AB">
        <w:rPr>
          <w:rFonts w:cs="Arial"/>
          <w:i/>
          <w:szCs w:val="20"/>
        </w:rPr>
        <w:t>The measurement of tracking, vocational orientation, and standardization of educational systems: a comparative approach</w:t>
      </w:r>
      <w:r w:rsidRPr="00CB46AB">
        <w:rPr>
          <w:rFonts w:cs="Arial"/>
          <w:szCs w:val="20"/>
        </w:rPr>
        <w:t xml:space="preserve">, </w:t>
      </w:r>
      <w:r w:rsidRPr="00CB46AB">
        <w:rPr>
          <w:rFonts w:cs="Arial"/>
          <w:iCs/>
          <w:szCs w:val="20"/>
        </w:rPr>
        <w:t>Gini Discussion Paper 81</w:t>
      </w:r>
      <w:r w:rsidRPr="00CB46AB">
        <w:rPr>
          <w:rFonts w:cs="Arial"/>
          <w:szCs w:val="20"/>
        </w:rPr>
        <w:t xml:space="preserve">, available at </w:t>
      </w:r>
      <w:hyperlink r:id="rId68" w:history="1">
        <w:r w:rsidRPr="00CB46AB">
          <w:rPr>
            <w:rStyle w:val="Hyperlink"/>
            <w:color w:val="333333"/>
            <w:szCs w:val="20"/>
          </w:rPr>
          <w:t>www.gini-research.org</w:t>
        </w:r>
      </w:hyperlink>
      <w:r w:rsidRPr="00CB46AB">
        <w:rPr>
          <w:rFonts w:cs="Arial"/>
          <w:szCs w:val="20"/>
        </w:rPr>
        <w:t xml:space="preserve"> </w:t>
      </w:r>
    </w:p>
    <w:p w:rsidR="00211990" w:rsidRPr="00CB46AB" w:rsidRDefault="00211990" w:rsidP="00CB46AB">
      <w:pPr>
        <w:spacing w:after="120" w:line="288" w:lineRule="auto"/>
        <w:rPr>
          <w:rFonts w:cs="Arial"/>
          <w:szCs w:val="20"/>
        </w:rPr>
      </w:pPr>
      <w:r w:rsidRPr="00CB46AB">
        <w:rPr>
          <w:rFonts w:cs="Arial"/>
          <w:szCs w:val="20"/>
        </w:rPr>
        <w:t xml:space="preserve">Bonnal, L. and Favard, P. (2007), </w:t>
      </w:r>
      <w:r w:rsidRPr="00CB46AB">
        <w:rPr>
          <w:rFonts w:cs="Arial"/>
          <w:i/>
          <w:szCs w:val="20"/>
        </w:rPr>
        <w:t xml:space="preserve">Conséquences de l’augmentation du nombre de diplomes sur la relation formation-emploi. Rapport final pour le Haut Conseil de l’Education </w:t>
      </w:r>
      <w:r w:rsidRPr="00CB46AB">
        <w:rPr>
          <w:rFonts w:cs="Arial"/>
          <w:szCs w:val="20"/>
        </w:rPr>
        <w:t>(Consequences of the increase in the number of diplomas on the training-employment relationship. Final report for the High Council of Education), Paris</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Borghans, L., Dupuy, A. and Haenbeukers, R. (2008), </w:t>
      </w:r>
      <w:r w:rsidRPr="00CB46AB">
        <w:rPr>
          <w:rFonts w:cs="Arial"/>
          <w:i/>
          <w:szCs w:val="20"/>
        </w:rPr>
        <w:t>Instrumental Variables (IV) as an Approach to Measure the Effect of Education and Learning: Identifying IV-Relevant Questions for the OECD PIAAC Questionnaire</w:t>
      </w:r>
      <w:r w:rsidRPr="00CB46AB">
        <w:rPr>
          <w:rFonts w:cs="Arial"/>
          <w:szCs w:val="20"/>
        </w:rPr>
        <w:t>, Internal Memo, Maastricht: Research Centre for Education and the Labour Market</w:t>
      </w:r>
    </w:p>
    <w:p w:rsidR="003057E2" w:rsidRDefault="00211990" w:rsidP="00CB46AB">
      <w:pPr>
        <w:spacing w:after="120" w:line="288" w:lineRule="auto"/>
        <w:rPr>
          <w:bCs/>
          <w:szCs w:val="20"/>
        </w:rPr>
        <w:sectPr w:rsidR="003057E2" w:rsidSect="0033390A">
          <w:headerReference w:type="even" r:id="rId69"/>
          <w:headerReference w:type="default" r:id="rId70"/>
          <w:footerReference w:type="even" r:id="rId71"/>
          <w:headerReference w:type="first" r:id="rId72"/>
          <w:footerReference w:type="first" r:id="rId73"/>
          <w:pgSz w:w="11906" w:h="16838" w:code="9"/>
          <w:pgMar w:top="1985" w:right="1418" w:bottom="1418" w:left="1701" w:header="709" w:footer="709" w:gutter="0"/>
          <w:pgNumType w:start="1"/>
          <w:cols w:space="708"/>
          <w:titlePg/>
          <w:docGrid w:linePitch="360"/>
        </w:sectPr>
      </w:pPr>
      <w:r w:rsidRPr="00CB46AB">
        <w:rPr>
          <w:szCs w:val="20"/>
        </w:rPr>
        <w:t xml:space="preserve">Breen, R. (2005), </w:t>
      </w:r>
      <w:r w:rsidRPr="00CB46AB">
        <w:rPr>
          <w:bCs/>
          <w:i/>
          <w:kern w:val="36"/>
          <w:szCs w:val="20"/>
        </w:rPr>
        <w:t xml:space="preserve">Explaining cross-national variation in youth unemployment </w:t>
      </w:r>
      <w:r w:rsidRPr="00CB46AB">
        <w:rPr>
          <w:bCs/>
          <w:i/>
          <w:szCs w:val="20"/>
        </w:rPr>
        <w:t>market and institutional factors</w:t>
      </w:r>
      <w:r w:rsidRPr="00CB46AB">
        <w:rPr>
          <w:bCs/>
          <w:szCs w:val="20"/>
        </w:rPr>
        <w:t xml:space="preserve">, European Sociological Review 21 (2), pp. 125-134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Breakspear S. (2014), </w:t>
      </w:r>
      <w:r w:rsidRPr="00CB46AB">
        <w:rPr>
          <w:rFonts w:cs="Arial"/>
          <w:i/>
          <w:szCs w:val="20"/>
        </w:rPr>
        <w:t>How does PISA shape education policy making? Why how we measure learning determines what we counts in education</w:t>
      </w:r>
      <w:r w:rsidRPr="00CB46AB">
        <w:rPr>
          <w:rFonts w:cs="Arial"/>
          <w:szCs w:val="20"/>
        </w:rPr>
        <w:t xml:space="preserve">. Seminar Series 240. Centre for Strategic Education. Learning Educational Thinking and Practice. Available at: </w:t>
      </w:r>
      <w:hyperlink r:id="rId74" w:history="1">
        <w:r w:rsidRPr="00CB46AB">
          <w:rPr>
            <w:szCs w:val="20"/>
          </w:rPr>
          <w:t>http://simonbreakspear.com/wp-content/uploads/2015/09/Breakspear-PISA-Paper.pdf</w:t>
        </w:r>
      </w:hyperlink>
    </w:p>
    <w:p w:rsidR="00211990" w:rsidRPr="00CB46AB" w:rsidRDefault="00211990" w:rsidP="00CB46AB">
      <w:pPr>
        <w:autoSpaceDE w:val="0"/>
        <w:autoSpaceDN w:val="0"/>
        <w:adjustRightInd w:val="0"/>
        <w:spacing w:after="120" w:line="288" w:lineRule="auto"/>
        <w:rPr>
          <w:bCs/>
          <w:i/>
          <w:szCs w:val="20"/>
        </w:rPr>
      </w:pPr>
      <w:r w:rsidRPr="00CB46AB">
        <w:rPr>
          <w:rFonts w:cs="Arial"/>
          <w:szCs w:val="20"/>
        </w:rPr>
        <w:t>Brown, P., A. Green, and H. Lauder (2001</w:t>
      </w:r>
      <w:r w:rsidRPr="00CB46AB">
        <w:rPr>
          <w:bCs/>
          <w:szCs w:val="20"/>
        </w:rPr>
        <w:t>),</w:t>
      </w:r>
      <w:r w:rsidRPr="00CB46AB">
        <w:rPr>
          <w:b/>
          <w:bCs/>
          <w:szCs w:val="20"/>
        </w:rPr>
        <w:t xml:space="preserve"> </w:t>
      </w:r>
      <w:r w:rsidRPr="00CB46AB">
        <w:rPr>
          <w:bCs/>
          <w:i/>
          <w:szCs w:val="20"/>
        </w:rPr>
        <w:t>High Skills: Globalization, Competitiveness and Skills Formation.</w:t>
      </w:r>
      <w:r w:rsidRPr="00CB46AB">
        <w:rPr>
          <w:i/>
          <w:szCs w:val="20"/>
        </w:rPr>
        <w:t xml:space="preserve"> </w:t>
      </w:r>
      <w:r w:rsidRPr="00CB46AB">
        <w:rPr>
          <w:szCs w:val="20"/>
        </w:rPr>
        <w:t xml:space="preserve">Oxford: Oxford University Press </w:t>
      </w:r>
    </w:p>
    <w:p w:rsidR="00211990" w:rsidRPr="00CB46AB" w:rsidRDefault="00211990" w:rsidP="00CB46AB">
      <w:pPr>
        <w:spacing w:after="120" w:line="288" w:lineRule="auto"/>
        <w:rPr>
          <w:rFonts w:cs="Arial"/>
          <w:szCs w:val="20"/>
        </w:rPr>
      </w:pPr>
      <w:r w:rsidRPr="00CB46AB">
        <w:rPr>
          <w:rFonts w:cs="Arial"/>
          <w:szCs w:val="20"/>
        </w:rPr>
        <w:t xml:space="preserve">Brunello, G. and Checchi, D. (2007), </w:t>
      </w:r>
      <w:r w:rsidRPr="00CB46AB">
        <w:rPr>
          <w:rFonts w:cs="Arial"/>
          <w:i/>
          <w:szCs w:val="20"/>
        </w:rPr>
        <w:t>Does school tracking affect equality of opportunity? New international evidence</w:t>
      </w:r>
      <w:r w:rsidRPr="00CB46AB">
        <w:rPr>
          <w:rFonts w:cs="Arial"/>
          <w:szCs w:val="20"/>
        </w:rPr>
        <w:t xml:space="preserve">. </w:t>
      </w:r>
      <w:r w:rsidRPr="00CB46AB">
        <w:rPr>
          <w:rFonts w:cs="Arial"/>
          <w:iCs/>
          <w:szCs w:val="20"/>
        </w:rPr>
        <w:t>Economic Policy,</w:t>
      </w:r>
      <w:r w:rsidRPr="00CB46AB">
        <w:rPr>
          <w:rFonts w:cs="Arial"/>
          <w:szCs w:val="20"/>
        </w:rPr>
        <w:t xml:space="preserve"> 22 (52), pp. 781-861</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Bryan, M., Jenkins, S. (2013), </w:t>
      </w:r>
      <w:r w:rsidRPr="00CB46AB">
        <w:rPr>
          <w:rFonts w:cs="Arial"/>
          <w:i/>
          <w:szCs w:val="20"/>
        </w:rPr>
        <w:t>Regression analysis of country effects using multilevel data, a cautionary tale</w:t>
      </w:r>
      <w:r w:rsidRPr="00CB46AB">
        <w:rPr>
          <w:rFonts w:cs="Arial"/>
          <w:szCs w:val="20"/>
        </w:rPr>
        <w:t>, ISER working paper 2013-14, August 2013</w:t>
      </w:r>
    </w:p>
    <w:p w:rsidR="00211990" w:rsidRPr="00CB46AB" w:rsidRDefault="00211990" w:rsidP="00CB46AB">
      <w:pPr>
        <w:suppressAutoHyphens/>
        <w:spacing w:after="120" w:line="288" w:lineRule="auto"/>
        <w:rPr>
          <w:rFonts w:eastAsia="Batang" w:cs="Arial"/>
          <w:szCs w:val="20"/>
        </w:rPr>
      </w:pPr>
      <w:r w:rsidRPr="00CB46AB">
        <w:rPr>
          <w:rFonts w:eastAsia="Batang" w:cs="Arial"/>
          <w:szCs w:val="20"/>
        </w:rPr>
        <w:t xml:space="preserve">Busemeyer, M. and Iversen, T. (2011), </w:t>
      </w:r>
      <w:r w:rsidRPr="00CB46AB">
        <w:rPr>
          <w:rFonts w:eastAsia="Batang" w:cs="Arial"/>
          <w:i/>
          <w:szCs w:val="20"/>
        </w:rPr>
        <w:t>Collective skills systems, wage bargaining and labour market stratification,</w:t>
      </w:r>
      <w:r w:rsidRPr="00CB46AB">
        <w:rPr>
          <w:rFonts w:eastAsia="Batang" w:cs="Arial"/>
          <w:szCs w:val="20"/>
        </w:rPr>
        <w:t xml:space="preserve"> in: M. </w:t>
      </w:r>
      <w:r w:rsidRPr="00CB46AB">
        <w:rPr>
          <w:rFonts w:cs="Arial"/>
          <w:szCs w:val="20"/>
        </w:rPr>
        <w:t>Busemeyer and C. Trampusch (eds), The Political Economy of Collective Skill Formation. Oxford: Oxford University Press, pp. 3-38</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Busemeyer, M. (2014), </w:t>
      </w:r>
      <w:r w:rsidRPr="00CB46AB">
        <w:rPr>
          <w:rFonts w:cs="Arial"/>
          <w:i/>
          <w:szCs w:val="20"/>
        </w:rPr>
        <w:t>Skills and Inequality: Partisan Politics and the Political Economy of Education Reforms in Western Welfare States</w:t>
      </w:r>
      <w:r w:rsidRPr="00CB46AB">
        <w:rPr>
          <w:rFonts w:cs="Arial"/>
          <w:szCs w:val="20"/>
        </w:rPr>
        <w:t>, Cambridge: Cambridge University Press</w:t>
      </w:r>
    </w:p>
    <w:p w:rsidR="00211990" w:rsidRPr="00CB46AB" w:rsidRDefault="00211990" w:rsidP="00CB46AB">
      <w:pPr>
        <w:spacing w:after="120" w:line="288" w:lineRule="auto"/>
        <w:rPr>
          <w:szCs w:val="20"/>
        </w:rPr>
      </w:pPr>
      <w:r w:rsidRPr="00CB46AB">
        <w:rPr>
          <w:szCs w:val="20"/>
        </w:rPr>
        <w:t xml:space="preserve">Bynner, J. and K. Evans (1994), </w:t>
      </w:r>
      <w:r w:rsidRPr="00CB46AB">
        <w:rPr>
          <w:i/>
          <w:szCs w:val="20"/>
        </w:rPr>
        <w:t xml:space="preserve">Building on cultural traditions: problems and solutions, </w:t>
      </w:r>
      <w:r w:rsidRPr="00CB46AB">
        <w:rPr>
          <w:szCs w:val="20"/>
        </w:rPr>
        <w:t xml:space="preserve">in: K. Evans and W. Heinz (eds), </w:t>
      </w:r>
      <w:r w:rsidRPr="00CB46AB">
        <w:rPr>
          <w:iCs/>
          <w:szCs w:val="20"/>
        </w:rPr>
        <w:t>Becoming Adults in the 1990s</w:t>
      </w:r>
      <w:r w:rsidRPr="00CB46AB">
        <w:rPr>
          <w:szCs w:val="20"/>
        </w:rPr>
        <w:t>, London: Anglo German Foundation</w:t>
      </w:r>
    </w:p>
    <w:p w:rsidR="00211990" w:rsidRPr="00CB46AB" w:rsidRDefault="00211990" w:rsidP="00CB46AB">
      <w:pPr>
        <w:spacing w:after="120" w:line="288" w:lineRule="auto"/>
        <w:rPr>
          <w:rFonts w:eastAsiaTheme="minorEastAsia"/>
          <w:szCs w:val="20"/>
        </w:rPr>
      </w:pPr>
      <w:r w:rsidRPr="00CB46AB">
        <w:rPr>
          <w:rFonts w:eastAsiaTheme="minorEastAsia"/>
          <w:szCs w:val="20"/>
        </w:rPr>
        <w:t xml:space="preserve">Bynner, J. and K. Roberts (eds) (1991), </w:t>
      </w:r>
      <w:r w:rsidRPr="00CB46AB">
        <w:rPr>
          <w:rFonts w:eastAsiaTheme="minorEastAsia"/>
          <w:i/>
          <w:iCs/>
          <w:szCs w:val="20"/>
        </w:rPr>
        <w:t>Youth and Work: Transi</w:t>
      </w:r>
      <w:r w:rsidRPr="00CB46AB">
        <w:rPr>
          <w:rFonts w:eastAsiaTheme="minorEastAsia"/>
          <w:i/>
          <w:iCs/>
          <w:szCs w:val="20"/>
        </w:rPr>
        <w:softHyphen/>
        <w:t>tion to Employment in England and Germany</w:t>
      </w:r>
      <w:r w:rsidRPr="00CB46AB">
        <w:rPr>
          <w:rFonts w:eastAsiaTheme="minorEastAsia"/>
          <w:i/>
          <w:szCs w:val="20"/>
        </w:rPr>
        <w:t xml:space="preserve">. </w:t>
      </w:r>
      <w:r w:rsidRPr="00CB46AB">
        <w:rPr>
          <w:rFonts w:eastAsiaTheme="minorEastAsia"/>
          <w:szCs w:val="20"/>
        </w:rPr>
        <w:t>London: Anglo German Foundation</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Cabrales, A., Dolado, J. J. y Mora, R. (2013), </w:t>
      </w:r>
      <w:r w:rsidRPr="00CB46AB">
        <w:rPr>
          <w:rFonts w:cs="Arial"/>
          <w:i/>
          <w:szCs w:val="20"/>
        </w:rPr>
        <w:t>Dualidad laboral y déficit de formación ocupacional: Evidencia sobre España con datos de PIAAC</w:t>
      </w:r>
      <w:r w:rsidRPr="00CB46AB">
        <w:rPr>
          <w:rFonts w:cs="Arial"/>
          <w:szCs w:val="20"/>
        </w:rPr>
        <w:t xml:space="preserve"> (Labour market duality and occupational training. Evidence on Spain with PIAAC data), Capítulo 1, in: INEE and OECD, PIAAC 2013, Programa Internacional para la Evaluación de las Competencias de la Población Adulta, Volumen II (International Programme for the Assessment of Adult Competences. Available at: </w:t>
      </w:r>
      <w:hyperlink r:id="rId75" w:history="1">
        <w:r w:rsidRPr="00CB46AB">
          <w:rPr>
            <w:szCs w:val="20"/>
          </w:rPr>
          <w:t>http://www.mecd.gob.es/dctm/inee/internacional/piaac/piaac2013vol2.pdf?documentId=0901e72b81770705</w:t>
        </w:r>
      </w:hyperlink>
      <w:r w:rsidRPr="00CB46AB">
        <w:rPr>
          <w:rFonts w:cs="Arial"/>
          <w:szCs w:val="20"/>
        </w:rPr>
        <w:t xml:space="preserve">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Card, D. (2001), </w:t>
      </w:r>
      <w:r w:rsidRPr="00CB46AB">
        <w:rPr>
          <w:rFonts w:cs="Arial"/>
          <w:i/>
          <w:szCs w:val="20"/>
        </w:rPr>
        <w:t>Estimating the Return to Schooling: Progress on Some Persistent Econometric Problems</w:t>
      </w:r>
      <w:r w:rsidRPr="00CB46AB">
        <w:rPr>
          <w:rFonts w:cs="Arial"/>
          <w:szCs w:val="20"/>
        </w:rPr>
        <w:t>, Econometrica, 69 (5), pp. 1127-1160</w:t>
      </w:r>
    </w:p>
    <w:p w:rsidR="00211990" w:rsidRPr="00CB46AB" w:rsidRDefault="00211990" w:rsidP="00CB46AB">
      <w:pPr>
        <w:spacing w:after="120" w:line="288" w:lineRule="auto"/>
        <w:rPr>
          <w:rFonts w:cs="Arial"/>
          <w:szCs w:val="20"/>
        </w:rPr>
      </w:pPr>
      <w:r w:rsidRPr="00CB46AB">
        <w:rPr>
          <w:rFonts w:cs="Arial"/>
          <w:szCs w:val="20"/>
        </w:rPr>
        <w:t xml:space="preserve">Card, D. and Krueger, B. (1994), </w:t>
      </w:r>
      <w:r w:rsidRPr="00CB46AB">
        <w:rPr>
          <w:rFonts w:cs="Arial"/>
          <w:i/>
          <w:szCs w:val="20"/>
        </w:rPr>
        <w:t>Minimum wages and employment: a case study of the fast-food industry in New Jersey and Pennsylvania,</w:t>
      </w:r>
      <w:r w:rsidRPr="00CB46AB">
        <w:rPr>
          <w:rFonts w:cs="Arial"/>
          <w:szCs w:val="20"/>
        </w:rPr>
        <w:t xml:space="preserve"> </w:t>
      </w:r>
      <w:r w:rsidRPr="00CB46AB">
        <w:rPr>
          <w:rFonts w:cs="Arial"/>
          <w:iCs/>
          <w:szCs w:val="20"/>
        </w:rPr>
        <w:t xml:space="preserve">The American Economic Review, </w:t>
      </w:r>
      <w:r w:rsidRPr="00CB46AB">
        <w:rPr>
          <w:rFonts w:cs="Arial"/>
          <w:szCs w:val="20"/>
        </w:rPr>
        <w:t>84 (4), pp. 772-793</w:t>
      </w:r>
    </w:p>
    <w:p w:rsidR="00260DD6" w:rsidRDefault="00211990" w:rsidP="00CB46AB">
      <w:pPr>
        <w:spacing w:after="120" w:line="288" w:lineRule="auto"/>
        <w:rPr>
          <w:rFonts w:cs="Arial"/>
          <w:szCs w:val="20"/>
        </w:rPr>
      </w:pPr>
      <w:r w:rsidRPr="00CB46AB">
        <w:rPr>
          <w:rFonts w:cs="Arial"/>
          <w:szCs w:val="20"/>
        </w:rPr>
        <w:t xml:space="preserve">Card, D. and Krueger, A. (2000), </w:t>
      </w:r>
      <w:r w:rsidRPr="00CB46AB">
        <w:rPr>
          <w:rFonts w:cs="Arial"/>
          <w:i/>
          <w:szCs w:val="20"/>
        </w:rPr>
        <w:t>Minimum Wages and Employment: A Case Study of the Fast-Food Industry in New Jersey and Pennsylvania: Reply</w:t>
      </w:r>
      <w:r w:rsidRPr="00CB46AB">
        <w:rPr>
          <w:rFonts w:cs="Arial"/>
          <w:szCs w:val="20"/>
        </w:rPr>
        <w:t>, The American Economic Review, 90 (5), pp. 1397-1420</w:t>
      </w:r>
    </w:p>
    <w:p w:rsidR="00761E1E" w:rsidRDefault="00761E1E" w:rsidP="00CB46AB">
      <w:pPr>
        <w:spacing w:after="120" w:line="288" w:lineRule="auto"/>
        <w:rPr>
          <w:rFonts w:cs="Arial"/>
          <w:szCs w:val="20"/>
        </w:rPr>
        <w:sectPr w:rsidR="00761E1E" w:rsidSect="003D6176">
          <w:headerReference w:type="even" r:id="rId76"/>
          <w:footerReference w:type="even" r:id="rId77"/>
          <w:headerReference w:type="first" r:id="rId78"/>
          <w:footerReference w:type="first" r:id="rId79"/>
          <w:pgSz w:w="11906" w:h="16838" w:code="9"/>
          <w:pgMar w:top="1985" w:right="1418" w:bottom="1418" w:left="1701" w:header="709" w:footer="709" w:gutter="0"/>
          <w:cols w:space="708"/>
          <w:titlePg/>
          <w:docGrid w:linePitch="360"/>
        </w:sectPr>
      </w:pPr>
    </w:p>
    <w:p w:rsidR="00211990" w:rsidRPr="00CB46AB" w:rsidRDefault="00211990" w:rsidP="00CB46AB">
      <w:pPr>
        <w:spacing w:after="120" w:line="288" w:lineRule="auto"/>
        <w:rPr>
          <w:rFonts w:cs="Arial"/>
          <w:szCs w:val="20"/>
        </w:rPr>
      </w:pPr>
      <w:r w:rsidRPr="00CB46AB">
        <w:rPr>
          <w:rFonts w:cs="Arial"/>
          <w:szCs w:val="20"/>
        </w:rPr>
        <w:t xml:space="preserve">Cedefop (2014), </w:t>
      </w:r>
      <w:r w:rsidRPr="00CB46AB">
        <w:rPr>
          <w:rFonts w:cs="Arial"/>
          <w:i/>
          <w:szCs w:val="20"/>
        </w:rPr>
        <w:t xml:space="preserve">Adult skills and VET: further findings from the OECD Survey of Adult Skills. </w:t>
      </w:r>
      <w:r w:rsidRPr="00CB46AB">
        <w:rPr>
          <w:rFonts w:cs="Arial"/>
          <w:szCs w:val="20"/>
        </w:rPr>
        <w:t xml:space="preserve">Available at: </w:t>
      </w:r>
      <w:hyperlink r:id="rId80" w:history="1">
        <w:r w:rsidRPr="00CB46AB">
          <w:rPr>
            <w:rStyle w:val="Hyperlink"/>
            <w:color w:val="333333"/>
            <w:szCs w:val="20"/>
          </w:rPr>
          <w:t>http://www.cedefop.europa.eu/en/publications-and-resources/statistics-and-indicators/statistics-and-graphs/adult-skills-and-vet</w:t>
        </w:r>
      </w:hyperlink>
    </w:p>
    <w:p w:rsidR="00211990" w:rsidRPr="00CB46AB" w:rsidRDefault="00211990" w:rsidP="00CB46AB">
      <w:pPr>
        <w:spacing w:after="120" w:line="288" w:lineRule="auto"/>
        <w:rPr>
          <w:szCs w:val="20"/>
          <w:lang w:val="en-US"/>
        </w:rPr>
      </w:pPr>
      <w:r w:rsidRPr="00CB46AB">
        <w:rPr>
          <w:szCs w:val="20"/>
        </w:rPr>
        <w:t xml:space="preserve">Cedefop (2008), </w:t>
      </w:r>
      <w:r w:rsidRPr="00CB46AB">
        <w:rPr>
          <w:i/>
          <w:szCs w:val="20"/>
        </w:rPr>
        <w:t>Initial vocational education and training (IVET) in Europe: Review</w:t>
      </w:r>
      <w:r w:rsidRPr="00CB46AB">
        <w:rPr>
          <w:szCs w:val="20"/>
        </w:rPr>
        <w:t>, European Centre for the Development of Vocational Training</w:t>
      </w:r>
      <w:r w:rsidRPr="00CB46AB">
        <w:rPr>
          <w:szCs w:val="20"/>
          <w:lang w:val="en-US"/>
        </w:rPr>
        <w:t xml:space="preserve"> </w:t>
      </w:r>
    </w:p>
    <w:p w:rsidR="00211990" w:rsidRPr="00CB46AB" w:rsidRDefault="00211990" w:rsidP="00CB46AB">
      <w:pPr>
        <w:spacing w:after="120" w:line="288" w:lineRule="auto"/>
        <w:rPr>
          <w:rFonts w:cs="Arial"/>
          <w:szCs w:val="20"/>
        </w:rPr>
      </w:pPr>
      <w:r w:rsidRPr="00CB46AB">
        <w:rPr>
          <w:rFonts w:cs="Arial"/>
          <w:szCs w:val="20"/>
        </w:rPr>
        <w:t xml:space="preserve">Cederberg, M. and Lingärde, S. (2008), </w:t>
      </w:r>
      <w:r w:rsidRPr="00CB46AB">
        <w:rPr>
          <w:rFonts w:cs="Arial"/>
          <w:i/>
          <w:szCs w:val="20"/>
        </w:rPr>
        <w:t>Educational Policies that Address Social Inequality Country Report: Denmark</w:t>
      </w:r>
      <w:r w:rsidRPr="00CB46AB">
        <w:rPr>
          <w:rFonts w:cs="Arial"/>
          <w:szCs w:val="20"/>
        </w:rPr>
        <w:t xml:space="preserve">. EPASI. Available at: </w:t>
      </w:r>
      <w:hyperlink r:id="rId81" w:history="1">
        <w:r w:rsidRPr="00CB46AB">
          <w:rPr>
            <w:rStyle w:val="Hyperlink"/>
            <w:rFonts w:cs="Arial"/>
            <w:color w:val="333333"/>
            <w:szCs w:val="20"/>
          </w:rPr>
          <w:t>http://www.epasi.eu/CountryReportDK.pdf</w:t>
        </w:r>
      </w:hyperlink>
      <w:r w:rsidRPr="00CB46AB">
        <w:rPr>
          <w:rFonts w:cs="Arial"/>
          <w:szCs w:val="20"/>
        </w:rPr>
        <w:t xml:space="preserve"> </w:t>
      </w:r>
    </w:p>
    <w:p w:rsidR="00211990" w:rsidRPr="00CB46AB" w:rsidRDefault="00211990" w:rsidP="00CB46AB">
      <w:pPr>
        <w:spacing w:after="120" w:line="288" w:lineRule="auto"/>
        <w:rPr>
          <w:szCs w:val="20"/>
        </w:rPr>
      </w:pPr>
      <w:r w:rsidRPr="00CB46AB">
        <w:rPr>
          <w:szCs w:val="20"/>
          <w:lang w:val="fr-FR"/>
        </w:rPr>
        <w:t xml:space="preserve">CEREQ (Centre d’études et de recherches sur les qualifications) (2014), </w:t>
      </w:r>
      <w:r w:rsidRPr="00CB46AB">
        <w:rPr>
          <w:i/>
          <w:iCs/>
          <w:szCs w:val="20"/>
        </w:rPr>
        <w:t xml:space="preserve">Quand l’école est finie. </w:t>
      </w:r>
      <w:r w:rsidRPr="00CB46AB">
        <w:rPr>
          <w:i/>
          <w:iCs/>
          <w:szCs w:val="20"/>
          <w:lang w:val="fr-FR"/>
        </w:rPr>
        <w:t xml:space="preserve">Premiers pas dans la vie active de la génération 2010. Enquête </w:t>
      </w:r>
      <w:r w:rsidRPr="00CB46AB">
        <w:rPr>
          <w:i/>
          <w:iCs/>
          <w:szCs w:val="20"/>
        </w:rPr>
        <w:t xml:space="preserve">2013 </w:t>
      </w:r>
      <w:r w:rsidRPr="00CB46AB">
        <w:rPr>
          <w:szCs w:val="20"/>
        </w:rPr>
        <w:t>(When school is over. First steps in active life of the generation of 2010. 2013 survey), Marseille</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Coleman, J., Campbell, E., Hobson, C. and McPartland, J. (1966), </w:t>
      </w:r>
      <w:r w:rsidRPr="00CB46AB">
        <w:rPr>
          <w:rFonts w:cs="Arial"/>
          <w:i/>
          <w:szCs w:val="20"/>
        </w:rPr>
        <w:t xml:space="preserve">Equality of educational opportunity, </w:t>
      </w:r>
      <w:r w:rsidRPr="00CB46AB">
        <w:rPr>
          <w:rFonts w:cs="Arial"/>
          <w:szCs w:val="20"/>
        </w:rPr>
        <w:t>Washington D.C.: U.S. Government Printing Office</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Da Costa, P. D., Rodrigues, M., Vera-Toscano, E. and Weber, A. (2014), </w:t>
      </w:r>
      <w:r w:rsidRPr="00CB46AB">
        <w:rPr>
          <w:rFonts w:cs="Arial"/>
          <w:i/>
          <w:szCs w:val="20"/>
        </w:rPr>
        <w:t>Adult skills, skills and social outcomes: empirical evidence from the Survey of Adult Skills</w:t>
      </w:r>
      <w:r w:rsidRPr="00CB46AB">
        <w:rPr>
          <w:rFonts w:cs="Arial"/>
          <w:szCs w:val="20"/>
        </w:rPr>
        <w:t>, Luxembourg: Publication Office of the European Union</w:t>
      </w:r>
    </w:p>
    <w:p w:rsidR="00211990" w:rsidRPr="00CB46AB" w:rsidRDefault="00211990" w:rsidP="00CB46AB">
      <w:pPr>
        <w:spacing w:after="120" w:line="288" w:lineRule="auto"/>
        <w:rPr>
          <w:rFonts w:eastAsia="Batang" w:cs="Arial"/>
          <w:szCs w:val="20"/>
        </w:rPr>
      </w:pPr>
      <w:r w:rsidRPr="00CB46AB">
        <w:rPr>
          <w:rFonts w:cs="Arial"/>
          <w:szCs w:val="20"/>
        </w:rPr>
        <w:t xml:space="preserve">Dearden, L., McIntosh, S., Myck, M. and Vignoles, A. (2000), </w:t>
      </w:r>
      <w:r w:rsidRPr="00CB46AB">
        <w:rPr>
          <w:rFonts w:cs="Arial"/>
          <w:i/>
          <w:szCs w:val="20"/>
        </w:rPr>
        <w:t>The Returns to Academic and Vocational Qualifications in Britain</w:t>
      </w:r>
      <w:r w:rsidRPr="00CB46AB">
        <w:rPr>
          <w:rFonts w:cs="Arial"/>
          <w:szCs w:val="20"/>
        </w:rPr>
        <w:t>, Centre for Economics of Education, CEE, London School of Economics</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Desjardins, R. and A. Warnke (2012), </w:t>
      </w:r>
      <w:r w:rsidRPr="00CB46AB">
        <w:rPr>
          <w:rFonts w:cs="Arial"/>
          <w:i/>
          <w:szCs w:val="20"/>
        </w:rPr>
        <w:t>Ageing and Skills: A Review and Analysis of Skill Gain and Skill Loss Over the Lifespan and Over Time</w:t>
      </w:r>
      <w:r w:rsidRPr="00CB46AB">
        <w:rPr>
          <w:rFonts w:cs="Arial"/>
          <w:szCs w:val="20"/>
        </w:rPr>
        <w:t>, OECD Education Working Papers No. 72, Paris: OECD Publishing</w:t>
      </w:r>
    </w:p>
    <w:p w:rsidR="00211990" w:rsidRPr="00CB46AB" w:rsidRDefault="00211990" w:rsidP="00CB46AB">
      <w:pPr>
        <w:pStyle w:val="FootnoteText"/>
        <w:tabs>
          <w:tab w:val="left" w:pos="142"/>
        </w:tabs>
        <w:spacing w:after="120" w:line="288" w:lineRule="auto"/>
        <w:rPr>
          <w:rFonts w:eastAsiaTheme="minorHAnsi" w:cs="Arial"/>
          <w:lang w:eastAsia="en-US"/>
        </w:rPr>
      </w:pPr>
      <w:r w:rsidRPr="00CB46AB">
        <w:rPr>
          <w:rFonts w:eastAsiaTheme="minorHAnsi" w:cs="Arial"/>
          <w:lang w:eastAsia="en-US"/>
        </w:rPr>
        <w:t xml:space="preserve">Desjardins, R. (2003), </w:t>
      </w:r>
      <w:r w:rsidRPr="00CB46AB">
        <w:rPr>
          <w:rFonts w:eastAsiaTheme="minorHAnsi" w:cs="Arial"/>
          <w:i/>
          <w:lang w:eastAsia="en-US"/>
        </w:rPr>
        <w:t>Determinants of literacy proficiency: a lifelong-lifewide learning perspective</w:t>
      </w:r>
      <w:r w:rsidRPr="00CB46AB">
        <w:rPr>
          <w:rFonts w:eastAsiaTheme="minorHAnsi" w:cs="Arial"/>
          <w:lang w:eastAsia="en-US"/>
        </w:rPr>
        <w:t>, International Journal of Educational Research, 39, pp.205-245</w:t>
      </w:r>
    </w:p>
    <w:p w:rsidR="00211990" w:rsidRPr="00CB46AB" w:rsidRDefault="00211990" w:rsidP="00CB46AB">
      <w:pPr>
        <w:spacing w:after="120" w:line="288" w:lineRule="auto"/>
        <w:rPr>
          <w:rFonts w:cs="Arial"/>
          <w:szCs w:val="20"/>
        </w:rPr>
      </w:pPr>
      <w:r w:rsidRPr="00CB46AB">
        <w:rPr>
          <w:szCs w:val="20"/>
          <w:shd w:val="clear" w:color="auto" w:fill="FFFFFF"/>
        </w:rPr>
        <w:t xml:space="preserve">Dumas, A., Mehaut, P. and Olympio, N. (2013), </w:t>
      </w:r>
      <w:r w:rsidRPr="00CB46AB">
        <w:rPr>
          <w:i/>
          <w:szCs w:val="20"/>
          <w:shd w:val="clear" w:color="auto" w:fill="FFFFFF"/>
        </w:rPr>
        <w:t>From Upper Secondary to Further Education</w:t>
      </w:r>
      <w:r w:rsidRPr="00CB46AB">
        <w:rPr>
          <w:szCs w:val="20"/>
          <w:shd w:val="clear" w:color="auto" w:fill="FFFFFF"/>
        </w:rPr>
        <w:t xml:space="preserve">, in: G.-J. </w:t>
      </w:r>
      <w:hyperlink r:id="rId82" w:history="1">
        <w:r w:rsidRPr="00CB46AB">
          <w:rPr>
            <w:rStyle w:val="Hyperlink"/>
            <w:color w:val="333333"/>
            <w:szCs w:val="20"/>
            <w:lang w:val="en-US"/>
          </w:rPr>
          <w:t>Janmaat</w:t>
        </w:r>
      </w:hyperlink>
      <w:r w:rsidRPr="00CB46AB">
        <w:rPr>
          <w:szCs w:val="20"/>
          <w:lang w:val="en-US"/>
        </w:rPr>
        <w:t xml:space="preserve">, M. </w:t>
      </w:r>
      <w:hyperlink r:id="rId83" w:history="1">
        <w:r w:rsidRPr="00CB46AB">
          <w:rPr>
            <w:rStyle w:val="Hyperlink"/>
            <w:color w:val="333333"/>
            <w:szCs w:val="20"/>
            <w:lang w:val="en-US"/>
          </w:rPr>
          <w:t>Duru-Bellat</w:t>
        </w:r>
      </w:hyperlink>
      <w:r w:rsidRPr="00CB46AB">
        <w:rPr>
          <w:szCs w:val="20"/>
          <w:lang w:val="en-US"/>
        </w:rPr>
        <w:t xml:space="preserve">, A. Green. and P. </w:t>
      </w:r>
      <w:hyperlink r:id="rId84" w:history="1">
        <w:r w:rsidRPr="00CB46AB">
          <w:rPr>
            <w:rStyle w:val="Hyperlink"/>
            <w:color w:val="333333"/>
            <w:szCs w:val="20"/>
            <w:lang w:val="en-US"/>
          </w:rPr>
          <w:t>Méhaut</w:t>
        </w:r>
      </w:hyperlink>
      <w:r w:rsidRPr="00CB46AB">
        <w:rPr>
          <w:szCs w:val="20"/>
          <w:lang w:val="en-US"/>
        </w:rPr>
        <w:t xml:space="preserve"> (eds), </w:t>
      </w:r>
      <w:r w:rsidRPr="00CB46AB">
        <w:rPr>
          <w:kern w:val="36"/>
          <w:szCs w:val="20"/>
          <w:lang w:val="en-US"/>
        </w:rPr>
        <w:t xml:space="preserve">The Dynamics and Social Outcomes of Education Systems, London: Palgrave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EC (2014), </w:t>
      </w:r>
      <w:r w:rsidRPr="00CB46AB">
        <w:rPr>
          <w:rFonts w:cs="Arial"/>
          <w:i/>
          <w:szCs w:val="20"/>
        </w:rPr>
        <w:t>Education and Training Monitor 2014</w:t>
      </w:r>
      <w:r w:rsidRPr="00CB46AB">
        <w:rPr>
          <w:rFonts w:cs="Arial"/>
          <w:szCs w:val="20"/>
        </w:rPr>
        <w:t>, Luxembourg: Publications Office of the European Union</w:t>
      </w:r>
    </w:p>
    <w:p w:rsidR="00211990" w:rsidRPr="00CB46AB" w:rsidRDefault="00211990" w:rsidP="00CB46AB">
      <w:pPr>
        <w:pStyle w:val="FootnoteText"/>
        <w:tabs>
          <w:tab w:val="left" w:pos="142"/>
        </w:tabs>
        <w:spacing w:after="120" w:line="288" w:lineRule="auto"/>
        <w:rPr>
          <w:rFonts w:eastAsiaTheme="minorHAnsi" w:cs="Arial"/>
          <w:lang w:eastAsia="en-US"/>
        </w:rPr>
      </w:pPr>
      <w:r w:rsidRPr="00CB46AB">
        <w:rPr>
          <w:rFonts w:eastAsiaTheme="minorHAnsi" w:cs="Arial"/>
          <w:lang w:eastAsia="en-US"/>
        </w:rPr>
        <w:t xml:space="preserve">EC (2013), </w:t>
      </w:r>
      <w:r w:rsidRPr="00CB46AB">
        <w:rPr>
          <w:rFonts w:eastAsiaTheme="minorHAnsi" w:cs="Arial"/>
          <w:i/>
          <w:lang w:eastAsia="en-US"/>
        </w:rPr>
        <w:t>The Survey of Adult Skills (PIAAC),</w:t>
      </w:r>
      <w:r w:rsidRPr="00CB46AB">
        <w:rPr>
          <w:rFonts w:eastAsiaTheme="minorHAnsi" w:cs="Arial"/>
          <w:lang w:eastAsia="en-US"/>
        </w:rPr>
        <w:t xml:space="preserve"> Implications for Education and Training Policies in Europe, Brussels </w:t>
      </w:r>
    </w:p>
    <w:p w:rsidR="00211990" w:rsidRPr="00CB46AB" w:rsidRDefault="00211990" w:rsidP="00CB46AB">
      <w:pPr>
        <w:spacing w:after="120" w:line="288" w:lineRule="auto"/>
        <w:rPr>
          <w:szCs w:val="20"/>
        </w:rPr>
      </w:pPr>
      <w:r w:rsidRPr="00CB46AB">
        <w:rPr>
          <w:szCs w:val="20"/>
        </w:rPr>
        <w:t xml:space="preserve">Esping-Andersen, G. (1990), </w:t>
      </w:r>
      <w:r w:rsidRPr="00CB46AB">
        <w:rPr>
          <w:i/>
          <w:szCs w:val="20"/>
        </w:rPr>
        <w:t>The Three Worlds of Welfare Capitalism</w:t>
      </w:r>
      <w:r w:rsidRPr="00CB46AB">
        <w:rPr>
          <w:szCs w:val="20"/>
        </w:rPr>
        <w:t>, New Jersey: Princeton University Press</w:t>
      </w:r>
    </w:p>
    <w:p w:rsidR="00211990" w:rsidRPr="00CB46AB" w:rsidRDefault="00211990" w:rsidP="00CB46AB">
      <w:pPr>
        <w:spacing w:after="120" w:line="288" w:lineRule="auto"/>
        <w:rPr>
          <w:szCs w:val="20"/>
        </w:rPr>
      </w:pPr>
      <w:r w:rsidRPr="00CB46AB">
        <w:rPr>
          <w:szCs w:val="20"/>
        </w:rPr>
        <w:t xml:space="preserve">Estevez-Abe, M., Iverson, T. and Soskice, D. (2001), </w:t>
      </w:r>
      <w:r w:rsidRPr="00CB46AB">
        <w:rPr>
          <w:i/>
          <w:szCs w:val="20"/>
        </w:rPr>
        <w:t xml:space="preserve">Social protection and the formation of skills: a reinterpretation of the welfare state, </w:t>
      </w:r>
      <w:r w:rsidRPr="00CB46AB">
        <w:rPr>
          <w:szCs w:val="20"/>
        </w:rPr>
        <w:t>in: P. Hall and D. Soskice (eds),  Varieties of Capitalism: The Institutional Foundations of Comparative Advantage, Oxford: Oxford University Press</w:t>
      </w:r>
    </w:p>
    <w:p w:rsidR="00211990" w:rsidRPr="00CB46AB" w:rsidRDefault="00211990" w:rsidP="00CB46AB">
      <w:pPr>
        <w:autoSpaceDE w:val="0"/>
        <w:autoSpaceDN w:val="0"/>
        <w:adjustRightInd w:val="0"/>
        <w:spacing w:after="120" w:line="288" w:lineRule="auto"/>
        <w:rPr>
          <w:rFonts w:cs="Arial"/>
          <w:szCs w:val="20"/>
        </w:rPr>
      </w:pPr>
      <w:r w:rsidRPr="00CB46AB">
        <w:rPr>
          <w:szCs w:val="20"/>
        </w:rPr>
        <w:t>Evans, J. (2014</w:t>
      </w:r>
      <w:r w:rsidRPr="00CB46AB">
        <w:rPr>
          <w:i/>
          <w:szCs w:val="20"/>
        </w:rPr>
        <w:t xml:space="preserve">), New PIAAC results: Care is needed in reading reports of </w:t>
      </w:r>
      <w:r w:rsidRPr="00CB46AB">
        <w:rPr>
          <w:rFonts w:cs="Arial"/>
          <w:i/>
          <w:szCs w:val="20"/>
        </w:rPr>
        <w:t>international surveys</w:t>
      </w:r>
      <w:r w:rsidRPr="00CB46AB">
        <w:rPr>
          <w:rFonts w:cs="Arial"/>
          <w:szCs w:val="20"/>
        </w:rPr>
        <w:t xml:space="preserve">, Adults Learning Mathematics: An International Journal, 9(1), pp. 37-52 </w:t>
      </w:r>
    </w:p>
    <w:p w:rsidR="00211990" w:rsidRPr="00CB46AB" w:rsidRDefault="00211990" w:rsidP="00CB46AB">
      <w:pPr>
        <w:numPr>
          <w:ilvl w:val="12"/>
          <w:numId w:val="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88" w:lineRule="auto"/>
        <w:ind w:right="78"/>
        <w:rPr>
          <w:rFonts w:cs="Arial"/>
          <w:szCs w:val="20"/>
        </w:rPr>
      </w:pPr>
      <w:r w:rsidRPr="00CB46AB">
        <w:rPr>
          <w:rFonts w:cs="Arial"/>
          <w:bCs/>
          <w:szCs w:val="20"/>
        </w:rPr>
        <w:t xml:space="preserve">Evans , K. and W. Heinz (1994), </w:t>
      </w:r>
      <w:r w:rsidRPr="00CB46AB">
        <w:rPr>
          <w:rFonts w:cs="Arial"/>
          <w:i/>
          <w:szCs w:val="20"/>
        </w:rPr>
        <w:t xml:space="preserve">Becoming Adults in England and Germany. </w:t>
      </w:r>
      <w:r w:rsidRPr="00CB46AB">
        <w:rPr>
          <w:rFonts w:cs="Arial"/>
          <w:szCs w:val="20"/>
        </w:rPr>
        <w:t>London: Anglo-German Foundation</w:t>
      </w:r>
    </w:p>
    <w:p w:rsidR="00211990" w:rsidRPr="00CB46AB" w:rsidRDefault="00211990" w:rsidP="00CB46AB">
      <w:pPr>
        <w:spacing w:after="120" w:line="288" w:lineRule="auto"/>
        <w:rPr>
          <w:rFonts w:cs="Arial"/>
          <w:szCs w:val="20"/>
        </w:rPr>
      </w:pPr>
      <w:r w:rsidRPr="00CB46AB">
        <w:rPr>
          <w:rFonts w:cs="Arial"/>
          <w:szCs w:val="20"/>
          <w:lang w:val="es-ES"/>
        </w:rPr>
        <w:t xml:space="preserve">Felguroso, F. (2015), </w:t>
      </w:r>
      <w:r w:rsidRPr="00CB46AB">
        <w:rPr>
          <w:rFonts w:cs="Arial"/>
          <w:i/>
          <w:szCs w:val="20"/>
          <w:lang w:val="es-ES"/>
        </w:rPr>
        <w:t>Claves para mejorar la Educación y Formación de Adultos en España en la Post-Crisis</w:t>
      </w:r>
      <w:r w:rsidRPr="00CB46AB">
        <w:rPr>
          <w:rFonts w:cs="Arial"/>
          <w:szCs w:val="20"/>
          <w:lang w:val="es-ES"/>
        </w:rPr>
        <w:t xml:space="preserve"> (Keys to improve adult education and training in Spain in the post-crisis) in Estudios sobre la economía española. </w:t>
      </w:r>
      <w:r w:rsidRPr="00CB46AB">
        <w:rPr>
          <w:rFonts w:cs="Arial"/>
          <w:szCs w:val="20"/>
        </w:rPr>
        <w:t xml:space="preserve">FEDEA, available at: </w:t>
      </w:r>
      <w:hyperlink r:id="rId85" w:history="1">
        <w:r w:rsidRPr="00CB46AB">
          <w:rPr>
            <w:rStyle w:val="Hyperlink"/>
            <w:rFonts w:cs="Arial"/>
            <w:color w:val="333333"/>
            <w:szCs w:val="20"/>
          </w:rPr>
          <w:t>http://www.sociedadyeducacion.org/site/wp-content/uploads/Claves-para-la-mejora-educacion-de-adultos.pdf</w:t>
        </w:r>
      </w:hyperlink>
    </w:p>
    <w:p w:rsidR="00211990" w:rsidRPr="00CB46AB" w:rsidRDefault="00211990" w:rsidP="00CB46AB">
      <w:pPr>
        <w:spacing w:after="120" w:line="288" w:lineRule="auto"/>
        <w:rPr>
          <w:rFonts w:cs="Arial"/>
          <w:szCs w:val="20"/>
        </w:rPr>
      </w:pPr>
      <w:r w:rsidRPr="00CB46AB">
        <w:rPr>
          <w:rFonts w:cs="Arial"/>
          <w:szCs w:val="20"/>
        </w:rPr>
        <w:t xml:space="preserve">Gal, I. and Tout, D. (2014), </w:t>
      </w:r>
      <w:r w:rsidRPr="00CB46AB">
        <w:rPr>
          <w:rFonts w:cs="Arial"/>
          <w:i/>
          <w:szCs w:val="20"/>
        </w:rPr>
        <w:t>Comparison of PIAAC and PISA Frameworks for Numeracy and Literacy</w:t>
      </w:r>
      <w:r w:rsidRPr="00CB46AB">
        <w:rPr>
          <w:rFonts w:cs="Arial"/>
          <w:szCs w:val="20"/>
        </w:rPr>
        <w:t>. OECD Education Working paper 102, Paris: OECD Publishing</w:t>
      </w:r>
    </w:p>
    <w:p w:rsidR="00211990" w:rsidRPr="00CB46AB" w:rsidRDefault="00211990" w:rsidP="00CB46AB">
      <w:pPr>
        <w:numPr>
          <w:ilvl w:val="12"/>
          <w:numId w:val="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88" w:lineRule="auto"/>
        <w:ind w:right="78"/>
        <w:rPr>
          <w:rFonts w:cs="Arial"/>
          <w:bCs/>
          <w:szCs w:val="20"/>
        </w:rPr>
      </w:pPr>
      <w:r w:rsidRPr="00CB46AB">
        <w:rPr>
          <w:rFonts w:cs="Arial"/>
          <w:szCs w:val="20"/>
        </w:rPr>
        <w:t xml:space="preserve">Gangl, M. (2003), </w:t>
      </w:r>
      <w:r w:rsidRPr="00CB46AB">
        <w:rPr>
          <w:rFonts w:cs="Arial"/>
          <w:i/>
          <w:szCs w:val="20"/>
        </w:rPr>
        <w:t>Unemployment Dynamics in the United States and West Germany: Economic Restructuring, Institutions and Labor Market Processes</w:t>
      </w:r>
      <w:r w:rsidRPr="00CB46AB">
        <w:rPr>
          <w:rFonts w:cs="Arial"/>
          <w:szCs w:val="20"/>
        </w:rPr>
        <w:t xml:space="preserve">. Dordrecht: Springer </w:t>
      </w:r>
    </w:p>
    <w:p w:rsidR="00211990" w:rsidRPr="00CB46AB" w:rsidRDefault="00211990" w:rsidP="00CB46AB">
      <w:pPr>
        <w:spacing w:after="120" w:line="288" w:lineRule="auto"/>
        <w:rPr>
          <w:rFonts w:eastAsia="Batang" w:cs="Arial"/>
          <w:szCs w:val="20"/>
        </w:rPr>
      </w:pPr>
      <w:r w:rsidRPr="00CB46AB">
        <w:rPr>
          <w:rFonts w:cs="Arial"/>
          <w:szCs w:val="20"/>
        </w:rPr>
        <w:t xml:space="preserve">Green, A. (1997), </w:t>
      </w:r>
      <w:r w:rsidRPr="00CB46AB">
        <w:rPr>
          <w:rFonts w:cs="Arial"/>
          <w:i/>
          <w:szCs w:val="20"/>
        </w:rPr>
        <w:t>Educational achievement in centralized and decentralized systems: A comparative analysis,</w:t>
      </w:r>
      <w:r w:rsidRPr="00CB46AB">
        <w:rPr>
          <w:rFonts w:cs="Arial"/>
          <w:szCs w:val="20"/>
        </w:rPr>
        <w:t xml:space="preserve"> in: A. H. Halsey, H. Lauder, P. Brown and A. S. Wells (eds), </w:t>
      </w:r>
      <w:r w:rsidRPr="00CB46AB">
        <w:rPr>
          <w:rFonts w:cs="Arial"/>
          <w:bCs/>
          <w:szCs w:val="20"/>
        </w:rPr>
        <w:t>Education: Culture, Economy and Society</w:t>
      </w:r>
      <w:r w:rsidRPr="00CB46AB">
        <w:rPr>
          <w:rFonts w:cs="Arial"/>
          <w:szCs w:val="20"/>
        </w:rPr>
        <w:t>. Oxford: Oxford University Press, pp. 283-299</w:t>
      </w:r>
    </w:p>
    <w:p w:rsidR="00211990" w:rsidRPr="00CB46AB" w:rsidRDefault="00211990" w:rsidP="00CB46AB">
      <w:pPr>
        <w:numPr>
          <w:ilvl w:val="12"/>
          <w:numId w:val="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88" w:lineRule="auto"/>
        <w:rPr>
          <w:rFonts w:cs="Arial"/>
          <w:bCs/>
          <w:szCs w:val="20"/>
        </w:rPr>
      </w:pPr>
      <w:r w:rsidRPr="00CB46AB">
        <w:rPr>
          <w:rFonts w:cs="Arial"/>
          <w:szCs w:val="20"/>
        </w:rPr>
        <w:t xml:space="preserve">Green, A. (1999), </w:t>
      </w:r>
      <w:r w:rsidRPr="00CB46AB">
        <w:rPr>
          <w:rFonts w:cs="Arial"/>
          <w:i/>
          <w:szCs w:val="20"/>
        </w:rPr>
        <w:t>The roles of the state and the social partners in vocational education and training,</w:t>
      </w:r>
      <w:r w:rsidRPr="00CB46AB">
        <w:rPr>
          <w:rFonts w:cs="Arial"/>
          <w:bCs/>
          <w:szCs w:val="20"/>
        </w:rPr>
        <w:t xml:space="preserve"> in: M. Flude and S. Sieminski. Education, Training and the Future of Work II: Developments in Vocational Education and Training. London: Routledge, pp. 12-30</w:t>
      </w:r>
    </w:p>
    <w:p w:rsidR="00211990" w:rsidRPr="00CB46AB" w:rsidRDefault="00211990" w:rsidP="00CB46AB">
      <w:pPr>
        <w:numPr>
          <w:ilvl w:val="12"/>
          <w:numId w:val="0"/>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88" w:lineRule="auto"/>
        <w:rPr>
          <w:rFonts w:cs="Arial"/>
          <w:bCs/>
          <w:szCs w:val="20"/>
        </w:rPr>
      </w:pPr>
      <w:r w:rsidRPr="00CB46AB">
        <w:rPr>
          <w:rFonts w:cs="Arial"/>
          <w:szCs w:val="20"/>
        </w:rPr>
        <w:t xml:space="preserve">Green, A. (2003), </w:t>
      </w:r>
      <w:r w:rsidRPr="00CB46AB">
        <w:rPr>
          <w:rFonts w:cs="Arial"/>
          <w:i/>
          <w:szCs w:val="20"/>
        </w:rPr>
        <w:t>The many faces of lifelong learning: recent education policy trends in Europe</w:t>
      </w:r>
      <w:r w:rsidRPr="00CB46AB">
        <w:rPr>
          <w:rFonts w:cs="Arial"/>
          <w:szCs w:val="20"/>
        </w:rPr>
        <w:t xml:space="preserve">, </w:t>
      </w:r>
      <w:r w:rsidRPr="00CB46AB">
        <w:rPr>
          <w:rFonts w:cs="Arial"/>
          <w:bCs/>
          <w:szCs w:val="20"/>
        </w:rPr>
        <w:t>Journal of Education Policy,</w:t>
      </w:r>
      <w:r w:rsidRPr="00CB46AB">
        <w:rPr>
          <w:rFonts w:cs="Arial"/>
          <w:szCs w:val="20"/>
        </w:rPr>
        <w:t xml:space="preserve"> 17 (6), pp. 611-626</w:t>
      </w:r>
    </w:p>
    <w:p w:rsidR="00211990" w:rsidRPr="00CB46AB" w:rsidRDefault="00211990" w:rsidP="00CB46AB">
      <w:pPr>
        <w:spacing w:after="120" w:line="288" w:lineRule="auto"/>
        <w:rPr>
          <w:rFonts w:cs="Arial"/>
          <w:szCs w:val="20"/>
        </w:rPr>
      </w:pPr>
      <w:r w:rsidRPr="00CB46AB">
        <w:rPr>
          <w:rFonts w:cs="Arial"/>
          <w:bCs/>
          <w:szCs w:val="20"/>
        </w:rPr>
        <w:t xml:space="preserve">Green, A, Green, F. and Pensiero, N. (2015), </w:t>
      </w:r>
      <w:r w:rsidRPr="00CB46AB">
        <w:rPr>
          <w:rFonts w:cs="Arial"/>
          <w:i/>
          <w:szCs w:val="20"/>
        </w:rPr>
        <w:t>Cross-country variation in adult skills inequality: why are skill levels and opportunities so unequal in Anglophone countries?,</w:t>
      </w:r>
      <w:r w:rsidRPr="00CB46AB">
        <w:rPr>
          <w:rFonts w:cs="Arial"/>
          <w:szCs w:val="20"/>
        </w:rPr>
        <w:t xml:space="preserve"> Comparative Education Review, forthcoming</w:t>
      </w:r>
    </w:p>
    <w:p w:rsidR="00211990" w:rsidRPr="00CB46AB" w:rsidRDefault="00211990" w:rsidP="00CB46AB">
      <w:pPr>
        <w:spacing w:after="120" w:line="288" w:lineRule="auto"/>
        <w:outlineLvl w:val="2"/>
        <w:rPr>
          <w:rFonts w:cs="Arial"/>
          <w:szCs w:val="20"/>
          <w:lang w:val="en-US"/>
        </w:rPr>
      </w:pPr>
      <w:bookmarkStart w:id="229" w:name="_Toc435802115"/>
      <w:r w:rsidRPr="00CB46AB">
        <w:rPr>
          <w:rFonts w:cs="Arial"/>
          <w:bCs/>
          <w:szCs w:val="20"/>
          <w:lang w:val="en-US"/>
        </w:rPr>
        <w:t xml:space="preserve">Greinert, W. (2004), </w:t>
      </w:r>
      <w:hyperlink r:id="rId86" w:history="1">
        <w:r w:rsidRPr="00CB46AB">
          <w:rPr>
            <w:rStyle w:val="Hyperlink"/>
            <w:i/>
            <w:color w:val="333333"/>
            <w:szCs w:val="20"/>
            <w:lang w:val="en-US"/>
          </w:rPr>
          <w:t>European Vocational Training Systems-Some Thoughts on the Theoretical Context of Their Historical Development</w:t>
        </w:r>
      </w:hyperlink>
      <w:r w:rsidRPr="00CB46AB">
        <w:rPr>
          <w:szCs w:val="20"/>
        </w:rPr>
        <w:t>,</w:t>
      </w:r>
      <w:r w:rsidRPr="00CB46AB">
        <w:rPr>
          <w:rFonts w:cs="Arial"/>
          <w:szCs w:val="20"/>
          <w:lang w:val="en-US"/>
        </w:rPr>
        <w:t xml:space="preserve"> European Journal of </w:t>
      </w:r>
      <w:r w:rsidRPr="00CB46AB">
        <w:rPr>
          <w:rFonts w:cs="Arial"/>
          <w:bCs/>
          <w:szCs w:val="20"/>
          <w:lang w:val="en-US"/>
        </w:rPr>
        <w:t>Vocational Training</w:t>
      </w:r>
      <w:bookmarkEnd w:id="229"/>
      <w:r w:rsidRPr="00CB46AB">
        <w:rPr>
          <w:rFonts w:cs="Arial"/>
          <w:szCs w:val="20"/>
          <w:lang w:val="en-US"/>
        </w:rPr>
        <w:t xml:space="preserve">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Hackl, W. (2014), </w:t>
      </w:r>
      <w:r w:rsidRPr="00CB46AB">
        <w:rPr>
          <w:rFonts w:cs="Arial"/>
          <w:i/>
          <w:szCs w:val="20"/>
        </w:rPr>
        <w:t>It's not what I know that will help me but what I can do with it</w:t>
      </w:r>
      <w:r w:rsidRPr="00CB46AB">
        <w:rPr>
          <w:rFonts w:cs="Arial"/>
          <w:szCs w:val="20"/>
        </w:rPr>
        <w:t xml:space="preserve">, Interview available on European Infonet Adult Education website. Available at: </w:t>
      </w:r>
      <w:hyperlink r:id="rId87" w:history="1">
        <w:r w:rsidRPr="00CB46AB">
          <w:rPr>
            <w:rStyle w:val="Hyperlink"/>
            <w:color w:val="333333"/>
            <w:szCs w:val="20"/>
          </w:rPr>
          <w:t>http://www.infonet-ae.eu/interviews-european-affairs-45/2213-it-s-not-what-i-know-that-will-help-me-but-what-i-can-do-with-it</w:t>
        </w:r>
      </w:hyperlink>
    </w:p>
    <w:p w:rsidR="00211990" w:rsidRPr="00CB46AB" w:rsidRDefault="00211990" w:rsidP="00CB46AB">
      <w:pPr>
        <w:spacing w:after="120" w:line="288" w:lineRule="auto"/>
        <w:outlineLvl w:val="2"/>
        <w:rPr>
          <w:bCs/>
          <w:szCs w:val="20"/>
          <w:lang w:val="en-US"/>
        </w:rPr>
      </w:pPr>
      <w:bookmarkStart w:id="230" w:name="_Toc435620198"/>
      <w:bookmarkStart w:id="231" w:name="_Toc435802116"/>
      <w:r w:rsidRPr="00CB46AB">
        <w:rPr>
          <w:bCs/>
          <w:szCs w:val="20"/>
          <w:lang w:val="en-US"/>
        </w:rPr>
        <w:t>Hall, P.</w:t>
      </w:r>
      <w:r w:rsidRPr="00CB46AB">
        <w:rPr>
          <w:szCs w:val="20"/>
          <w:lang w:val="en-US"/>
        </w:rPr>
        <w:t xml:space="preserve">  and </w:t>
      </w:r>
      <w:r w:rsidRPr="00CB46AB">
        <w:rPr>
          <w:bCs/>
          <w:szCs w:val="20"/>
          <w:lang w:val="en-US"/>
        </w:rPr>
        <w:t xml:space="preserve">Soskice, D. (eds) (2001), </w:t>
      </w:r>
      <w:r w:rsidRPr="00CB46AB">
        <w:rPr>
          <w:i/>
          <w:kern w:val="36"/>
          <w:szCs w:val="20"/>
          <w:lang w:val="en-US"/>
        </w:rPr>
        <w:t xml:space="preserve">Varieties of capitalism: </w:t>
      </w:r>
      <w:r w:rsidRPr="00CB46AB">
        <w:rPr>
          <w:bCs/>
          <w:i/>
          <w:szCs w:val="20"/>
          <w:lang w:val="en-US"/>
        </w:rPr>
        <w:t>The institutional foundations of comparative advantage</w:t>
      </w:r>
      <w:r w:rsidRPr="00CB46AB">
        <w:rPr>
          <w:bCs/>
          <w:szCs w:val="20"/>
          <w:lang w:val="en-US"/>
        </w:rPr>
        <w:t>, Oxford: Oxford University Press</w:t>
      </w:r>
      <w:bookmarkEnd w:id="230"/>
      <w:bookmarkEnd w:id="231"/>
      <w:r w:rsidRPr="00CB46AB">
        <w:rPr>
          <w:bCs/>
          <w:szCs w:val="20"/>
          <w:lang w:val="en-US"/>
        </w:rPr>
        <w:t xml:space="preserve">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Hamilton, M. (2001), </w:t>
      </w:r>
      <w:r w:rsidRPr="00CB46AB">
        <w:rPr>
          <w:rFonts w:cs="Arial"/>
          <w:i/>
          <w:szCs w:val="20"/>
        </w:rPr>
        <w:t>Privileged literacies: Policy, institutional process and the life of the IALS</w:t>
      </w:r>
      <w:r w:rsidRPr="00CB46AB">
        <w:rPr>
          <w:rFonts w:cs="Arial"/>
          <w:szCs w:val="20"/>
        </w:rPr>
        <w:t>. Language and Education, 15 (2-3), pp. 178-196</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Hanushek, E., Schwerdt, G., Wiederhold, S. and Wößmann, L. (2015), </w:t>
      </w:r>
      <w:r w:rsidRPr="00CB46AB">
        <w:rPr>
          <w:rFonts w:cs="Arial"/>
          <w:i/>
          <w:szCs w:val="20"/>
        </w:rPr>
        <w:t>Returns to skills around the world: evidence from PIAAC</w:t>
      </w:r>
      <w:r w:rsidRPr="00CB46AB">
        <w:rPr>
          <w:rFonts w:cs="Arial"/>
          <w:szCs w:val="20"/>
        </w:rPr>
        <w:t>, European Economic Review, 73 (January 2015), pp. 103-130</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Hanushek, E. and Woessmann, L. (2006</w:t>
      </w:r>
      <w:r w:rsidRPr="00CB46AB">
        <w:rPr>
          <w:rFonts w:cs="Arial"/>
          <w:i/>
          <w:szCs w:val="20"/>
        </w:rPr>
        <w:t>), Does educational tracking affect performance and inequality? Differences-in-differences evidence across countries</w:t>
      </w:r>
      <w:r w:rsidRPr="00CB46AB">
        <w:rPr>
          <w:rFonts w:cs="Arial"/>
          <w:szCs w:val="20"/>
        </w:rPr>
        <w:t xml:space="preserve">, </w:t>
      </w:r>
      <w:r w:rsidRPr="00CB46AB">
        <w:rPr>
          <w:rFonts w:cs="Arial"/>
          <w:iCs/>
          <w:szCs w:val="20"/>
        </w:rPr>
        <w:t xml:space="preserve">Economic Journal, </w:t>
      </w:r>
      <w:r w:rsidRPr="00CB46AB">
        <w:rPr>
          <w:rFonts w:cs="Arial"/>
          <w:szCs w:val="20"/>
        </w:rPr>
        <w:t>116 (510), pp. C63-C76</w:t>
      </w:r>
    </w:p>
    <w:p w:rsidR="00211990" w:rsidRPr="00CB46AB" w:rsidRDefault="00211990" w:rsidP="00CB46AB">
      <w:pPr>
        <w:spacing w:after="120" w:line="288" w:lineRule="auto"/>
        <w:rPr>
          <w:rFonts w:cs="Arial"/>
          <w:szCs w:val="20"/>
        </w:rPr>
      </w:pPr>
      <w:r w:rsidRPr="00CB46AB">
        <w:rPr>
          <w:rFonts w:eastAsia="Batang" w:cs="Arial"/>
          <w:szCs w:val="20"/>
        </w:rPr>
        <w:t xml:space="preserve">Hanushek, E. and </w:t>
      </w:r>
      <w:r w:rsidRPr="00CB46AB">
        <w:rPr>
          <w:rFonts w:eastAsia="Batang" w:cs="Arial"/>
          <w:w w:val="103"/>
          <w:szCs w:val="20"/>
        </w:rPr>
        <w:t>Woessmann,</w:t>
      </w:r>
      <w:r w:rsidRPr="00CB46AB">
        <w:rPr>
          <w:rFonts w:eastAsia="Batang" w:cs="Arial"/>
          <w:szCs w:val="20"/>
        </w:rPr>
        <w:t xml:space="preserve"> L. (2010), </w:t>
      </w:r>
      <w:r w:rsidRPr="00CB46AB">
        <w:rPr>
          <w:rFonts w:eastAsia="Batang" w:cs="Arial"/>
          <w:i/>
          <w:szCs w:val="20"/>
        </w:rPr>
        <w:t>The economics of international differences in educational achievement,</w:t>
      </w:r>
      <w:r w:rsidRPr="00CB46AB">
        <w:rPr>
          <w:rFonts w:eastAsia="Batang" w:cs="Arial"/>
          <w:szCs w:val="20"/>
        </w:rPr>
        <w:t xml:space="preserve"> NBER Working Paper 15949,  Cambridge, MA, National Bureau of Economic Research</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Hanushek, EA. and Woessmann, L. (2007), </w:t>
      </w:r>
      <w:r w:rsidRPr="00CB46AB">
        <w:rPr>
          <w:rFonts w:cs="Arial"/>
          <w:i/>
          <w:szCs w:val="20"/>
        </w:rPr>
        <w:t>The Role of Education Quality for Economic Growth</w:t>
      </w:r>
      <w:r w:rsidRPr="00CB46AB">
        <w:rPr>
          <w:rFonts w:cs="Arial"/>
          <w:szCs w:val="20"/>
        </w:rPr>
        <w:t>. World Bank, Washington, DC</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Hanushek, E. (2008), </w:t>
      </w:r>
      <w:r w:rsidRPr="00CB46AB">
        <w:rPr>
          <w:rFonts w:cs="Arial"/>
          <w:i/>
          <w:szCs w:val="20"/>
        </w:rPr>
        <w:t>Education Production Functions</w:t>
      </w:r>
      <w:r w:rsidRPr="00CB46AB">
        <w:rPr>
          <w:rFonts w:cs="Arial"/>
          <w:szCs w:val="20"/>
        </w:rPr>
        <w:t>, in: S. Durlauf and L. Blume (eds.), The new Palgrave Dictionary of Economics, Second Edition, Basingstoke: Palgrave Macmillan</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Hanushek, E.A. (1986),</w:t>
      </w:r>
      <w:r w:rsidRPr="00CB46AB">
        <w:rPr>
          <w:rFonts w:cs="Arial"/>
          <w:i/>
          <w:szCs w:val="20"/>
        </w:rPr>
        <w:t xml:space="preserve"> The economics of schooling: Production and efficiency in public schools</w:t>
      </w:r>
      <w:r w:rsidRPr="00CB46AB">
        <w:rPr>
          <w:rFonts w:cs="Arial"/>
          <w:szCs w:val="20"/>
        </w:rPr>
        <w:t>. Journal of Economic Literature, 24, pp. 1141-1177</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Hanushek, E.A. (1979), </w:t>
      </w:r>
      <w:r w:rsidRPr="00CB46AB">
        <w:rPr>
          <w:rFonts w:cs="Arial"/>
          <w:i/>
          <w:szCs w:val="20"/>
        </w:rPr>
        <w:t>Conceptual and empirical issues in the estimation of educational production functions</w:t>
      </w:r>
      <w:r w:rsidRPr="00CB46AB">
        <w:rPr>
          <w:rFonts w:cs="Arial"/>
          <w:szCs w:val="20"/>
        </w:rPr>
        <w:t>, Journal of Human Resources 14, pp. 351–88</w:t>
      </w:r>
    </w:p>
    <w:p w:rsidR="00211990" w:rsidRPr="00CB46AB" w:rsidRDefault="00211990" w:rsidP="00CB46AB">
      <w:pPr>
        <w:spacing w:after="120" w:line="288" w:lineRule="auto"/>
        <w:rPr>
          <w:rFonts w:cs="Arial"/>
          <w:szCs w:val="20"/>
        </w:rPr>
      </w:pPr>
      <w:r w:rsidRPr="00CB46AB">
        <w:rPr>
          <w:rFonts w:cs="Arial"/>
          <w:szCs w:val="20"/>
        </w:rPr>
        <w:t xml:space="preserve">Hanushek, E. and Zhang, L. (2009), </w:t>
      </w:r>
      <w:r w:rsidRPr="00CB46AB">
        <w:rPr>
          <w:rFonts w:cs="Arial"/>
          <w:i/>
          <w:szCs w:val="20"/>
        </w:rPr>
        <w:t>Quality-consistent estimates of international schooling and skill gradients</w:t>
      </w:r>
      <w:r w:rsidRPr="00CB46AB">
        <w:rPr>
          <w:rFonts w:cs="Arial"/>
          <w:szCs w:val="20"/>
        </w:rPr>
        <w:t>, Journal of Human Capital,</w:t>
      </w:r>
      <w:r w:rsidRPr="00CB46AB">
        <w:rPr>
          <w:rFonts w:cs="Arial"/>
          <w:i/>
          <w:szCs w:val="20"/>
        </w:rPr>
        <w:t xml:space="preserve"> </w:t>
      </w:r>
      <w:r w:rsidRPr="00CB46AB">
        <w:rPr>
          <w:rFonts w:cs="Arial"/>
          <w:szCs w:val="20"/>
        </w:rPr>
        <w:t>3 (2), pp. 107-143</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Heisig, J.P. and Solga, H. (2015), </w:t>
      </w:r>
      <w:r w:rsidRPr="00CB46AB">
        <w:rPr>
          <w:rFonts w:cs="Arial"/>
          <w:i/>
          <w:szCs w:val="20"/>
        </w:rPr>
        <w:t>Secondary Education Systems and the General Skills of Less and Intermediate-educated Adults: A Comparison of 18 Countries</w:t>
      </w:r>
      <w:r w:rsidRPr="00CB46AB">
        <w:rPr>
          <w:rFonts w:cs="Arial"/>
          <w:szCs w:val="20"/>
        </w:rPr>
        <w:t xml:space="preserve">, Sociology of Education, 88 (3), pp. 202-225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Hodgen, J., Pepper, D., Sturman, L. and Ruddock, G. (2010), </w:t>
      </w:r>
      <w:r w:rsidRPr="00CB46AB">
        <w:rPr>
          <w:rFonts w:cs="Arial"/>
          <w:i/>
          <w:szCs w:val="20"/>
        </w:rPr>
        <w:t>Is the UK an Outlier? An International Comparison of Upper Secondary Mathematics Education</w:t>
      </w:r>
      <w:r w:rsidRPr="00CB46AB">
        <w:rPr>
          <w:rFonts w:cs="Arial"/>
          <w:szCs w:val="20"/>
        </w:rPr>
        <w:t>, Nuffield Foundation</w:t>
      </w:r>
    </w:p>
    <w:p w:rsidR="00211990" w:rsidRPr="00CB46AB" w:rsidRDefault="00211990" w:rsidP="00CB46AB">
      <w:pPr>
        <w:spacing w:after="120" w:line="288" w:lineRule="auto"/>
        <w:rPr>
          <w:rFonts w:cs="Arial"/>
          <w:szCs w:val="20"/>
        </w:rPr>
      </w:pPr>
      <w:r w:rsidRPr="00CB46AB">
        <w:rPr>
          <w:rFonts w:cs="Arial"/>
          <w:szCs w:val="20"/>
        </w:rPr>
        <w:t xml:space="preserve">Inkeles, A. (1982), </w:t>
      </w:r>
      <w:r w:rsidRPr="00CB46AB">
        <w:rPr>
          <w:rFonts w:cs="Arial"/>
          <w:i/>
          <w:szCs w:val="20"/>
        </w:rPr>
        <w:t>National differences in scholastic performance,</w:t>
      </w:r>
      <w:r w:rsidRPr="00CB46AB">
        <w:rPr>
          <w:rFonts w:cs="Arial"/>
          <w:szCs w:val="20"/>
        </w:rPr>
        <w:t xml:space="preserve"> in: P. Altback, R. Arnove, and G. Kelly (eds), Comparative Education. New York: McGraw-Hill</w:t>
      </w:r>
    </w:p>
    <w:p w:rsidR="00211990" w:rsidRPr="00CB46AB" w:rsidRDefault="00211990" w:rsidP="00CB46AB">
      <w:pPr>
        <w:spacing w:after="120" w:line="288" w:lineRule="auto"/>
        <w:rPr>
          <w:rFonts w:cs="Arial"/>
          <w:szCs w:val="20"/>
        </w:rPr>
      </w:pPr>
      <w:r w:rsidRPr="00CB46AB">
        <w:rPr>
          <w:rFonts w:cs="Arial"/>
          <w:szCs w:val="20"/>
        </w:rPr>
        <w:t xml:space="preserve">International Assessment of Educational Progress (IAEP) (1992), </w:t>
      </w:r>
      <w:r w:rsidRPr="00CB46AB">
        <w:rPr>
          <w:rFonts w:cs="Arial"/>
          <w:i/>
          <w:szCs w:val="20"/>
        </w:rPr>
        <w:t>Learning Mathematics</w:t>
      </w:r>
      <w:r w:rsidRPr="00CB46AB">
        <w:rPr>
          <w:rFonts w:cs="Arial"/>
          <w:szCs w:val="20"/>
        </w:rPr>
        <w:t>. Educational Testing Service, New Jersey</w:t>
      </w:r>
    </w:p>
    <w:p w:rsidR="00211990" w:rsidRPr="00CB46AB" w:rsidRDefault="00211990" w:rsidP="00CB46AB">
      <w:pPr>
        <w:spacing w:after="120" w:line="288" w:lineRule="auto"/>
        <w:rPr>
          <w:rFonts w:cs="Arial"/>
          <w:szCs w:val="20"/>
        </w:rPr>
      </w:pPr>
      <w:r w:rsidRPr="00CB46AB">
        <w:rPr>
          <w:rFonts w:cs="Arial"/>
          <w:szCs w:val="20"/>
        </w:rPr>
        <w:t xml:space="preserve">Jamet, S. and V. Koen (2014), </w:t>
      </w:r>
      <w:r w:rsidRPr="00CB46AB">
        <w:rPr>
          <w:rFonts w:cs="Arial"/>
          <w:i/>
          <w:szCs w:val="20"/>
        </w:rPr>
        <w:t>Making the Most of Skills in Denmark</w:t>
      </w:r>
      <w:r w:rsidRPr="00CB46AB">
        <w:rPr>
          <w:rFonts w:cs="Arial"/>
          <w:szCs w:val="20"/>
        </w:rPr>
        <w:t xml:space="preserve">, OECD Economics Department Working Papers, No. 1119, OECD Publishing. Available at: </w:t>
      </w:r>
      <w:hyperlink r:id="rId88" w:history="1">
        <w:r w:rsidRPr="00CB46AB">
          <w:rPr>
            <w:rStyle w:val="Hyperlink"/>
            <w:rFonts w:cs="Arial"/>
            <w:color w:val="333333"/>
            <w:szCs w:val="20"/>
          </w:rPr>
          <w:t>http://www.oecd-ilibrary.org/economics/making-the-most-of-skills-in-denmark_5jz2qt4crff8-en</w:t>
        </w:r>
      </w:hyperlink>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Jenkins, S., Bryan, M. (2013), </w:t>
      </w:r>
      <w:r w:rsidRPr="00CB46AB">
        <w:rPr>
          <w:rFonts w:cs="Arial"/>
          <w:i/>
          <w:szCs w:val="20"/>
        </w:rPr>
        <w:t>Regression Analysis of Country Level Effects using Multilevel Data: A Cautionary Tale</w:t>
      </w:r>
      <w:r w:rsidRPr="00CB46AB">
        <w:rPr>
          <w:rFonts w:cs="Arial"/>
          <w:szCs w:val="20"/>
        </w:rPr>
        <w:t>, ISER working paper 2013-14, August 2013</w:t>
      </w:r>
    </w:p>
    <w:p w:rsidR="00211990" w:rsidRPr="00CB46AB" w:rsidRDefault="00211990" w:rsidP="00CB46AB">
      <w:pPr>
        <w:spacing w:after="120" w:line="288" w:lineRule="auto"/>
        <w:rPr>
          <w:rFonts w:cs="Arial"/>
          <w:szCs w:val="20"/>
        </w:rPr>
      </w:pPr>
      <w:r w:rsidRPr="00CB46AB">
        <w:rPr>
          <w:rFonts w:cs="Arial"/>
          <w:szCs w:val="20"/>
          <w:lang w:val="es-ES"/>
        </w:rPr>
        <w:t xml:space="preserve">Jimeno, J. F., Lacuesta, A. and Villanueva, E. (2013), </w:t>
      </w:r>
      <w:r w:rsidRPr="00CB46AB">
        <w:rPr>
          <w:rFonts w:cs="Arial"/>
          <w:i/>
          <w:szCs w:val="20"/>
          <w:lang w:val="es-ES"/>
        </w:rPr>
        <w:t>Educación, experiencia laboral y habilidades cognitivas: Una primera aproximación a los resultados PIAAC</w:t>
      </w:r>
      <w:r w:rsidRPr="00CB46AB">
        <w:rPr>
          <w:rFonts w:cs="Arial"/>
          <w:szCs w:val="20"/>
          <w:lang w:val="es-ES"/>
        </w:rPr>
        <w:t xml:space="preserve"> (Education, work experience and cognitive skills: a first approximation of PIAAC results), in:  INEE and OECD, PIAAC 2013, Programa Internacional para la Evaluación de las Competencias de la Población Adulta, Volumen II (PIAAC 2013, International Programme for the Assessment of Adult Competences). </w:t>
      </w:r>
      <w:r w:rsidRPr="00CB46AB">
        <w:rPr>
          <w:rFonts w:cs="Arial"/>
          <w:szCs w:val="20"/>
        </w:rPr>
        <w:t xml:space="preserve">Available at: </w:t>
      </w:r>
      <w:hyperlink r:id="rId89" w:history="1">
        <w:r w:rsidRPr="00CB46AB">
          <w:rPr>
            <w:rStyle w:val="Hyperlink"/>
            <w:rFonts w:cs="Arial"/>
            <w:color w:val="333333"/>
            <w:szCs w:val="20"/>
          </w:rPr>
          <w:t>http://www.mecd.gob.es/dctm/inee/internacional/piaac/piaac2013vol2.pdf?documentId=0901e72b81770705</w:t>
        </w:r>
      </w:hyperlink>
    </w:p>
    <w:p w:rsidR="00211990" w:rsidRPr="00CB46AB" w:rsidRDefault="00211990" w:rsidP="00CB46AB">
      <w:pPr>
        <w:spacing w:after="120" w:line="288" w:lineRule="auto"/>
        <w:rPr>
          <w:rFonts w:cs="Arial"/>
          <w:szCs w:val="20"/>
        </w:rPr>
      </w:pPr>
      <w:r w:rsidRPr="00CB46AB">
        <w:rPr>
          <w:rFonts w:cs="Arial"/>
          <w:szCs w:val="20"/>
        </w:rPr>
        <w:t xml:space="preserve">Jonas, N. (2012), </w:t>
      </w:r>
      <w:r w:rsidRPr="00CB46AB">
        <w:rPr>
          <w:rFonts w:cs="Arial"/>
          <w:i/>
          <w:szCs w:val="20"/>
        </w:rPr>
        <w:t xml:space="preserve">Pour les générations les plus récentes, les difficultés des adultes diminuent a l’écrit, mais augmentent en calcul </w:t>
      </w:r>
      <w:r w:rsidRPr="00CB46AB">
        <w:rPr>
          <w:rFonts w:cs="Arial"/>
          <w:szCs w:val="20"/>
        </w:rPr>
        <w:t xml:space="preserve">(For the most recent generations, difficulties for adults are reducing in literacy, but increasing in numeracy), </w:t>
      </w:r>
      <w:r w:rsidRPr="00CB46AB">
        <w:rPr>
          <w:rFonts w:cs="Arial"/>
          <w:i/>
          <w:szCs w:val="20"/>
        </w:rPr>
        <w:t>INSEE Première</w:t>
      </w:r>
      <w:r w:rsidRPr="00CB46AB">
        <w:rPr>
          <w:rFonts w:cs="Arial"/>
          <w:szCs w:val="20"/>
        </w:rPr>
        <w:t xml:space="preserve"> no.1426, December</w:t>
      </w:r>
    </w:p>
    <w:p w:rsidR="00211990" w:rsidRPr="00CB46AB" w:rsidRDefault="00211990" w:rsidP="00CB46AB">
      <w:pPr>
        <w:spacing w:after="120" w:line="288" w:lineRule="auto"/>
        <w:rPr>
          <w:rFonts w:cs="Arial"/>
          <w:szCs w:val="20"/>
        </w:rPr>
      </w:pPr>
      <w:r w:rsidRPr="00CB46AB">
        <w:rPr>
          <w:rFonts w:cs="Arial"/>
          <w:szCs w:val="20"/>
        </w:rPr>
        <w:t xml:space="preserve">Jonas, N. (2013), </w:t>
      </w:r>
      <w:r w:rsidRPr="00CB46AB">
        <w:rPr>
          <w:rFonts w:cs="Arial"/>
          <w:i/>
          <w:szCs w:val="20"/>
        </w:rPr>
        <w:t xml:space="preserve">Les capacités des adultes à maitriser des informations écrites ou chiffrées : résultats de l’enquête PIAAC 2012 </w:t>
      </w:r>
      <w:r w:rsidRPr="00CB46AB">
        <w:rPr>
          <w:rFonts w:cs="Arial"/>
          <w:szCs w:val="20"/>
        </w:rPr>
        <w:t xml:space="preserve">(The capabilities </w:t>
      </w:r>
      <w:r w:rsidRPr="00CB46AB">
        <w:rPr>
          <w:rFonts w:cs="Arial"/>
          <w:i/>
          <w:szCs w:val="20"/>
        </w:rPr>
        <w:t>of adults to master written or numerical information: results of the PIAAC survey 2012), INSEE</w:t>
      </w:r>
      <w:r w:rsidRPr="00CB46AB">
        <w:rPr>
          <w:rFonts w:cs="Arial"/>
          <w:szCs w:val="20"/>
        </w:rPr>
        <w:t xml:space="preserve"> </w:t>
      </w:r>
      <w:r w:rsidRPr="00CB46AB">
        <w:rPr>
          <w:rFonts w:cs="Arial"/>
          <w:i/>
          <w:szCs w:val="20"/>
        </w:rPr>
        <w:t>Première</w:t>
      </w:r>
      <w:r w:rsidRPr="00CB46AB">
        <w:rPr>
          <w:rFonts w:cs="Arial"/>
          <w:szCs w:val="20"/>
        </w:rPr>
        <w:t xml:space="preserve"> no.1467, Paris, October </w:t>
      </w:r>
    </w:p>
    <w:p w:rsidR="00211990" w:rsidRPr="00CB46AB" w:rsidRDefault="00211990" w:rsidP="00CB46AB">
      <w:pPr>
        <w:spacing w:after="120" w:line="288" w:lineRule="auto"/>
        <w:rPr>
          <w:rFonts w:cs="Arial"/>
          <w:szCs w:val="20"/>
        </w:rPr>
      </w:pPr>
      <w:r w:rsidRPr="00CB46AB">
        <w:rPr>
          <w:rFonts w:cs="Arial"/>
          <w:szCs w:val="20"/>
        </w:rPr>
        <w:t xml:space="preserve">Jonas, N., Lebrere, A., Pommier, P. and Troseille, B. (2013), </w:t>
      </w:r>
      <w:r w:rsidRPr="00CB46AB">
        <w:rPr>
          <w:rFonts w:cs="Arial"/>
          <w:i/>
          <w:szCs w:val="20"/>
        </w:rPr>
        <w:t>Mesurer les compétences des adultes : comparaison des deux enquêtes</w:t>
      </w:r>
      <w:r w:rsidRPr="00CB46AB">
        <w:rPr>
          <w:rFonts w:cs="Arial"/>
          <w:szCs w:val="20"/>
        </w:rPr>
        <w:t xml:space="preserve"> (Measuring adult competences: comparison of two surveys), </w:t>
      </w:r>
      <w:r w:rsidRPr="00CB46AB">
        <w:rPr>
          <w:rFonts w:cs="Arial"/>
          <w:i/>
          <w:szCs w:val="20"/>
        </w:rPr>
        <w:t xml:space="preserve">INSEE Analyses </w:t>
      </w:r>
      <w:r w:rsidRPr="00CB46AB">
        <w:rPr>
          <w:rFonts w:cs="Arial"/>
          <w:szCs w:val="20"/>
        </w:rPr>
        <w:t>no.13, Paris, October</w:t>
      </w:r>
    </w:p>
    <w:p w:rsidR="00211990" w:rsidRPr="00CB46AB" w:rsidRDefault="00211990" w:rsidP="00CB46AB">
      <w:pPr>
        <w:spacing w:after="120" w:line="288" w:lineRule="auto"/>
        <w:rPr>
          <w:rFonts w:eastAsia="Batang" w:cs="Arial"/>
          <w:szCs w:val="20"/>
        </w:rPr>
      </w:pPr>
      <w:r w:rsidRPr="00CB46AB">
        <w:rPr>
          <w:rFonts w:eastAsia="Batang" w:cs="Arial"/>
          <w:szCs w:val="20"/>
        </w:rPr>
        <w:t xml:space="preserve">Lasonen, J. and Young, M. (1998), </w:t>
      </w:r>
      <w:r w:rsidRPr="00CB46AB">
        <w:rPr>
          <w:rFonts w:eastAsia="Batang" w:cs="Arial"/>
          <w:i/>
          <w:szCs w:val="20"/>
        </w:rPr>
        <w:t>Strategies for achieving parity of</w:t>
      </w:r>
      <w:r w:rsidRPr="00CB46AB">
        <w:rPr>
          <w:rFonts w:cs="Arial"/>
          <w:i/>
          <w:szCs w:val="20"/>
        </w:rPr>
        <w:t xml:space="preserve"> esteem in European</w:t>
      </w:r>
      <w:r w:rsidRPr="00CB46AB">
        <w:rPr>
          <w:rFonts w:eastAsia="Batang" w:cs="Arial"/>
          <w:i/>
          <w:szCs w:val="20"/>
        </w:rPr>
        <w:t xml:space="preserve"> </w:t>
      </w:r>
      <w:r w:rsidRPr="00CB46AB">
        <w:rPr>
          <w:rFonts w:cs="Arial"/>
          <w:i/>
          <w:szCs w:val="20"/>
        </w:rPr>
        <w:t>upper secondary education</w:t>
      </w:r>
      <w:r w:rsidRPr="00CB46AB">
        <w:rPr>
          <w:rFonts w:cs="Arial"/>
          <w:szCs w:val="20"/>
        </w:rPr>
        <w:t>. Jyväskylä, Institute for Educational Research, University of Jyväskylä.</w:t>
      </w:r>
      <w:r w:rsidRPr="00CB46AB">
        <w:rPr>
          <w:rFonts w:eastAsia="Batang" w:cs="Arial"/>
          <w:szCs w:val="20"/>
        </w:rPr>
        <w:t xml:space="preserve"> </w:t>
      </w:r>
    </w:p>
    <w:p w:rsidR="00211990" w:rsidRPr="00CB46AB" w:rsidRDefault="00211990" w:rsidP="00CB46AB">
      <w:pPr>
        <w:spacing w:after="120" w:line="288" w:lineRule="auto"/>
        <w:rPr>
          <w:rFonts w:cs="Arial"/>
          <w:szCs w:val="20"/>
        </w:rPr>
      </w:pPr>
      <w:r w:rsidRPr="00CB46AB">
        <w:rPr>
          <w:rFonts w:cs="Arial"/>
          <w:szCs w:val="20"/>
        </w:rPr>
        <w:t xml:space="preserve">Lynn, R. (1988), </w:t>
      </w:r>
      <w:r w:rsidRPr="00CB46AB">
        <w:rPr>
          <w:rFonts w:cs="Arial"/>
          <w:i/>
          <w:szCs w:val="20"/>
        </w:rPr>
        <w:t>Educational Achievement in Japan: Lessons for the West</w:t>
      </w:r>
      <w:r w:rsidRPr="00CB46AB">
        <w:rPr>
          <w:rFonts w:cs="Arial"/>
          <w:szCs w:val="20"/>
        </w:rPr>
        <w:t>. Macmillan, London</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Micklewright, J. and Schnepf, S.V. (2007), </w:t>
      </w:r>
      <w:r w:rsidRPr="00CB46AB">
        <w:rPr>
          <w:rFonts w:cs="Arial"/>
          <w:i/>
          <w:szCs w:val="20"/>
        </w:rPr>
        <w:t xml:space="preserve">Inequality of learning in industrialized countries, </w:t>
      </w:r>
      <w:r w:rsidRPr="00CB46AB">
        <w:rPr>
          <w:rFonts w:cs="Arial"/>
          <w:szCs w:val="20"/>
        </w:rPr>
        <w:t>in: S.P Jenkins and J. Micklewright (eds),</w:t>
      </w:r>
      <w:r w:rsidRPr="00CB46AB">
        <w:rPr>
          <w:rFonts w:cs="Arial"/>
          <w:i/>
          <w:iCs/>
          <w:szCs w:val="20"/>
        </w:rPr>
        <w:t xml:space="preserve"> </w:t>
      </w:r>
      <w:r w:rsidRPr="00CB46AB">
        <w:rPr>
          <w:rFonts w:cs="Arial"/>
          <w:iCs/>
          <w:szCs w:val="20"/>
        </w:rPr>
        <w:t>Inequality and Poverty Re-Examined</w:t>
      </w:r>
      <w:r w:rsidRPr="00CB46AB">
        <w:rPr>
          <w:rFonts w:cs="Arial"/>
          <w:szCs w:val="20"/>
        </w:rPr>
        <w:t>, Oxford: Oxford University Press, pp. 129–45</w:t>
      </w:r>
    </w:p>
    <w:p w:rsidR="00211990" w:rsidRPr="00CB46AB" w:rsidRDefault="00211990" w:rsidP="00CB46AB">
      <w:pPr>
        <w:spacing w:after="120" w:line="288" w:lineRule="auto"/>
        <w:rPr>
          <w:rFonts w:cs="Arial"/>
          <w:szCs w:val="20"/>
        </w:rPr>
      </w:pPr>
      <w:r w:rsidRPr="00CB46AB">
        <w:rPr>
          <w:rFonts w:cs="Arial"/>
          <w:szCs w:val="20"/>
        </w:rPr>
        <w:t xml:space="preserve">Ministère de l'Education nationale, de l'Enseignement supérieur (MENESR) (2015a), </w:t>
      </w:r>
      <w:r w:rsidRPr="00CB46AB">
        <w:rPr>
          <w:rFonts w:cs="Arial"/>
          <w:i/>
          <w:szCs w:val="20"/>
        </w:rPr>
        <w:t>L’etat de l’ecole 2015</w:t>
      </w:r>
      <w:r w:rsidRPr="00CB46AB">
        <w:rPr>
          <w:rFonts w:cs="Arial"/>
          <w:szCs w:val="20"/>
        </w:rPr>
        <w:t xml:space="preserve"> (The state of schools 2015), Direction de l’évaluation, de la prospective et de la performance, Paris</w:t>
      </w:r>
    </w:p>
    <w:p w:rsidR="00211990" w:rsidRPr="00CB46AB" w:rsidRDefault="00211990" w:rsidP="00CB46AB">
      <w:pPr>
        <w:spacing w:after="120" w:line="288" w:lineRule="auto"/>
        <w:rPr>
          <w:rFonts w:cs="Arial"/>
          <w:szCs w:val="20"/>
        </w:rPr>
      </w:pPr>
      <w:r w:rsidRPr="00CB46AB">
        <w:rPr>
          <w:rFonts w:cs="Arial"/>
          <w:szCs w:val="20"/>
        </w:rPr>
        <w:t xml:space="preserve">Ministère de l'Education nationale, de l'Enseignement supérieur (MENESR) (2015b), </w:t>
      </w:r>
      <w:r w:rsidRPr="00CB46AB">
        <w:rPr>
          <w:rFonts w:cs="Arial"/>
          <w:i/>
          <w:szCs w:val="20"/>
        </w:rPr>
        <w:t>Repères et références statistiques sur les enseignements, la formation et la recherch</w:t>
      </w:r>
      <w:r w:rsidRPr="00CB46AB">
        <w:rPr>
          <w:rFonts w:cs="Arial"/>
          <w:szCs w:val="20"/>
        </w:rPr>
        <w:t>e (Statistical portrait of education, training and research), Direction de l’évaluation, de la prospective et de la performance, Paris</w:t>
      </w:r>
    </w:p>
    <w:p w:rsidR="00211990" w:rsidRPr="00CB46AB" w:rsidRDefault="00211990" w:rsidP="00CB46AB">
      <w:pPr>
        <w:spacing w:after="120" w:line="288" w:lineRule="auto"/>
        <w:rPr>
          <w:rFonts w:cs="Arial"/>
          <w:szCs w:val="20"/>
        </w:rPr>
      </w:pPr>
      <w:r w:rsidRPr="00CB46AB">
        <w:rPr>
          <w:rFonts w:cs="Arial"/>
          <w:szCs w:val="20"/>
        </w:rPr>
        <w:t xml:space="preserve">Ministère de l'Education nationale, de l'Enseignement supérieur (MENESR) (2014), </w:t>
      </w:r>
      <w:r w:rsidRPr="00CB46AB">
        <w:rPr>
          <w:rFonts w:cs="Arial"/>
          <w:i/>
          <w:szCs w:val="20"/>
        </w:rPr>
        <w:t>Parcours et réussite aux diplômes universitaires: les indicateurs de la session 2012: Note Flash n°3</w:t>
      </w:r>
      <w:r w:rsidRPr="00CB46AB">
        <w:rPr>
          <w:rFonts w:cs="Arial"/>
          <w:szCs w:val="20"/>
        </w:rPr>
        <w:t xml:space="preserve"> (Pathway and success in university diplomas : indicators for the 2012 year. Flash note no.3), Paris. Available at: </w:t>
      </w:r>
      <w:hyperlink r:id="rId90" w:history="1">
        <w:r w:rsidRPr="00CB46AB">
          <w:rPr>
            <w:rFonts w:cs="Arial"/>
            <w:szCs w:val="20"/>
          </w:rPr>
          <w:t>http://www.enseignementsup-recherche.gouv.fr/cid81688/parcours-et-reussite-aux-diplomes-universitaires-indicateurs-de-la-session-2012.html</w:t>
        </w:r>
      </w:hyperlink>
    </w:p>
    <w:p w:rsidR="00211990" w:rsidRPr="00CB46AB" w:rsidRDefault="00211990" w:rsidP="00CB46AB">
      <w:pPr>
        <w:spacing w:after="120" w:line="288" w:lineRule="auto"/>
        <w:rPr>
          <w:rFonts w:cs="Arial"/>
          <w:szCs w:val="20"/>
        </w:rPr>
      </w:pPr>
      <w:r w:rsidRPr="00CB46AB">
        <w:rPr>
          <w:rFonts w:cs="Arial"/>
          <w:szCs w:val="20"/>
        </w:rPr>
        <w:t xml:space="preserve">Ministère de l'Education nationale, de l'Enseignement supérieur (2013), </w:t>
      </w:r>
      <w:r w:rsidRPr="00CB46AB">
        <w:rPr>
          <w:rFonts w:cs="Arial"/>
          <w:i/>
          <w:szCs w:val="20"/>
        </w:rPr>
        <w:t>L’etat de l’enseignement supérieur et de la recherche</w:t>
      </w:r>
      <w:r w:rsidRPr="00CB46AB">
        <w:rPr>
          <w:rFonts w:cs="Arial"/>
          <w:szCs w:val="20"/>
        </w:rPr>
        <w:t xml:space="preserve"> (The state of higher education and research), Sous-direction des systèmes d’information et études statistiques, Paris.</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Mohadjer, L., Krenzke, T.Van de Kerckhove, W. (2013), </w:t>
      </w:r>
      <w:r w:rsidRPr="00CB46AB">
        <w:rPr>
          <w:rFonts w:cs="Arial"/>
          <w:i/>
          <w:szCs w:val="20"/>
        </w:rPr>
        <w:t>Sampling design</w:t>
      </w:r>
      <w:r w:rsidRPr="00CB46AB">
        <w:rPr>
          <w:rFonts w:cs="Arial"/>
          <w:szCs w:val="20"/>
        </w:rPr>
        <w:t>, in: OECD, Technical Report of the Survey of Adults Skills (PIAAC),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Möhring, K. (2012), </w:t>
      </w:r>
      <w:r w:rsidRPr="00CB46AB">
        <w:rPr>
          <w:rFonts w:cs="Arial"/>
          <w:i/>
          <w:szCs w:val="20"/>
        </w:rPr>
        <w:t>The fixed effects as an alternative to multilevel analysis for cross-national analysis</w:t>
      </w:r>
      <w:r w:rsidRPr="00CB46AB">
        <w:rPr>
          <w:rFonts w:cs="Arial"/>
          <w:szCs w:val="20"/>
        </w:rPr>
        <w:t>, GK Soclife working paper series 16, October 2012</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Murnane, R. (1975), </w:t>
      </w:r>
      <w:r w:rsidRPr="00CB46AB">
        <w:rPr>
          <w:rFonts w:cs="Arial"/>
          <w:i/>
          <w:szCs w:val="20"/>
        </w:rPr>
        <w:t>Impact of School Resources on the Learning of Inner City Children</w:t>
      </w:r>
      <w:r w:rsidRPr="00CB46AB">
        <w:rPr>
          <w:rFonts w:cs="Arial"/>
          <w:szCs w:val="20"/>
        </w:rPr>
        <w:t>, New York: HarperCollins</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(2015), </w:t>
      </w:r>
      <w:r w:rsidRPr="00CB46AB">
        <w:rPr>
          <w:rFonts w:cs="Arial"/>
          <w:i/>
          <w:szCs w:val="20"/>
        </w:rPr>
        <w:t>OECD Skills Outlook 2015, Youth, Skills and Employability</w:t>
      </w:r>
      <w:r w:rsidRPr="00CB46AB">
        <w:rPr>
          <w:rFonts w:cs="Arial"/>
          <w:szCs w:val="20"/>
        </w:rPr>
        <w:t>,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(2014), </w:t>
      </w:r>
      <w:r w:rsidRPr="00CB46AB">
        <w:rPr>
          <w:rFonts w:cs="Arial"/>
          <w:i/>
          <w:szCs w:val="20"/>
        </w:rPr>
        <w:t>PISA 2012 Results: What Students Know and Can Do – Student Performance in Mathematics, Reading and Science</w:t>
      </w:r>
      <w:r w:rsidRPr="00CB46AB">
        <w:rPr>
          <w:rFonts w:cs="Arial"/>
          <w:szCs w:val="20"/>
        </w:rPr>
        <w:t xml:space="preserve"> (Volume I, Revised edition, February 2014), PISA,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(2014b), </w:t>
      </w:r>
      <w:r w:rsidRPr="00CB46AB">
        <w:rPr>
          <w:rFonts w:cs="Arial"/>
          <w:i/>
          <w:szCs w:val="20"/>
        </w:rPr>
        <w:t>Education at a Glance 2014: OECD indicators. Country note France</w:t>
      </w:r>
      <w:r w:rsidRPr="00CB46AB">
        <w:rPr>
          <w:rFonts w:cs="Arial"/>
          <w:szCs w:val="20"/>
        </w:rPr>
        <w:t>,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(2013a), </w:t>
      </w:r>
      <w:r w:rsidRPr="00CB46AB">
        <w:rPr>
          <w:rFonts w:cs="Arial"/>
          <w:i/>
          <w:szCs w:val="20"/>
        </w:rPr>
        <w:t>Technical Report of the Survey of Adult Skills (PIAAC),</w:t>
      </w:r>
      <w:r w:rsidRPr="00CB46AB">
        <w:rPr>
          <w:rFonts w:cs="Arial"/>
          <w:szCs w:val="20"/>
        </w:rPr>
        <w:t xml:space="preserve">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(2013b), </w:t>
      </w:r>
      <w:r w:rsidRPr="00CB46AB">
        <w:rPr>
          <w:rFonts w:cs="Arial"/>
          <w:i/>
          <w:szCs w:val="20"/>
        </w:rPr>
        <w:t>OECD Skills Outlook, First Results from the OECD Survey of Adult Skills,</w:t>
      </w:r>
      <w:r w:rsidRPr="00CB46AB">
        <w:rPr>
          <w:rFonts w:cs="Arial"/>
          <w:szCs w:val="20"/>
        </w:rPr>
        <w:t xml:space="preserve">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(2013c), </w:t>
      </w:r>
      <w:r w:rsidRPr="00CB46AB">
        <w:rPr>
          <w:rFonts w:cs="Arial"/>
          <w:i/>
          <w:szCs w:val="20"/>
        </w:rPr>
        <w:t xml:space="preserve">The Survey of Adult Skills, Reader’s Companion, </w:t>
      </w:r>
      <w:r w:rsidRPr="00CB46AB">
        <w:rPr>
          <w:rFonts w:cs="Arial"/>
          <w:szCs w:val="20"/>
        </w:rPr>
        <w:t>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(2012), </w:t>
      </w:r>
      <w:r w:rsidRPr="00CB46AB">
        <w:rPr>
          <w:rFonts w:cs="Arial"/>
          <w:i/>
          <w:szCs w:val="20"/>
        </w:rPr>
        <w:t>Literacy, Numeracy and Problem Solving in Technology-Rich Environments: Framework for the OECD Survey of Adult Skills</w:t>
      </w:r>
      <w:r w:rsidRPr="00CB46AB">
        <w:rPr>
          <w:rFonts w:cs="Arial"/>
          <w:szCs w:val="20"/>
        </w:rPr>
        <w:t>,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(2009), </w:t>
      </w:r>
      <w:r w:rsidRPr="00CB46AB">
        <w:rPr>
          <w:rFonts w:cs="Arial"/>
          <w:i/>
          <w:szCs w:val="20"/>
        </w:rPr>
        <w:t>PIAAC BQ JRA V5.0 – Conceptual Framework</w:t>
      </w:r>
      <w:r w:rsidRPr="00CB46AB">
        <w:rPr>
          <w:rFonts w:cs="Arial"/>
          <w:szCs w:val="20"/>
        </w:rPr>
        <w:t>,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(2008), </w:t>
      </w:r>
      <w:r w:rsidRPr="00CB46AB">
        <w:rPr>
          <w:rFonts w:cs="Arial"/>
          <w:i/>
          <w:szCs w:val="20"/>
        </w:rPr>
        <w:t>Education at a Glance, 2008</w:t>
      </w:r>
      <w:r w:rsidRPr="00CB46AB">
        <w:rPr>
          <w:rFonts w:cs="Arial"/>
          <w:szCs w:val="20"/>
        </w:rPr>
        <w:t>,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(2001), </w:t>
      </w:r>
      <w:r w:rsidRPr="00CB46AB">
        <w:rPr>
          <w:rFonts w:cs="Arial"/>
          <w:i/>
          <w:szCs w:val="20"/>
        </w:rPr>
        <w:t>Education at a Glance, 2001</w:t>
      </w:r>
      <w:r w:rsidRPr="00CB46AB">
        <w:rPr>
          <w:rFonts w:cs="Arial"/>
          <w:szCs w:val="20"/>
        </w:rPr>
        <w:t>,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(2000), </w:t>
      </w:r>
      <w:r w:rsidRPr="00CB46AB">
        <w:rPr>
          <w:rFonts w:cs="Arial"/>
          <w:i/>
          <w:szCs w:val="20"/>
        </w:rPr>
        <w:t>Literacy in the Information Age. Final Report of the International Adult Survey</w:t>
      </w:r>
      <w:r w:rsidRPr="00CB46AB">
        <w:rPr>
          <w:rFonts w:cs="Arial"/>
          <w:szCs w:val="20"/>
        </w:rPr>
        <w:t xml:space="preserve">. Available at: </w:t>
      </w:r>
      <w:hyperlink r:id="rId91" w:history="1">
        <w:r w:rsidRPr="00CB46AB">
          <w:rPr>
            <w:rStyle w:val="Hyperlink"/>
            <w:color w:val="333333"/>
            <w:szCs w:val="20"/>
          </w:rPr>
          <w:t>http://www.oecd.org/edu/skills-beyond-school/41529765.pdf</w:t>
        </w:r>
      </w:hyperlink>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(1985), </w:t>
      </w:r>
      <w:r w:rsidRPr="00CB46AB">
        <w:rPr>
          <w:rFonts w:cs="Arial"/>
          <w:i/>
          <w:szCs w:val="20"/>
        </w:rPr>
        <w:t>Education and Training Beyond Basic Schooling</w:t>
      </w:r>
      <w:r w:rsidRPr="00CB46AB">
        <w:rPr>
          <w:rFonts w:cs="Arial"/>
          <w:szCs w:val="20"/>
        </w:rPr>
        <w:t>,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OECD (1999), </w:t>
      </w:r>
      <w:r w:rsidRPr="00CB46AB">
        <w:rPr>
          <w:rFonts w:cs="Arial"/>
          <w:i/>
          <w:szCs w:val="20"/>
        </w:rPr>
        <w:t>Classifying Educational Programmes: Manual for ISCED-97 Implementation in OECD Countries.</w:t>
      </w:r>
      <w:r w:rsidRPr="00CB46AB">
        <w:rPr>
          <w:rFonts w:cs="Arial"/>
          <w:szCs w:val="20"/>
        </w:rPr>
        <w:t xml:space="preserve"> 1999 Edition, Paris: OECD Publishing</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Ortmanns, V, Schneider, S. (2014),</w:t>
      </w:r>
      <w:r w:rsidRPr="00CB46AB">
        <w:rPr>
          <w:rFonts w:cs="Arial"/>
          <w:i/>
          <w:szCs w:val="20"/>
        </w:rPr>
        <w:t xml:space="preserve">  Inconsistency of education data collected in surveys in Europe: Comparing LFS, SILC, ISSP, EB, EVS, and ESS,</w:t>
      </w:r>
      <w:r w:rsidRPr="00CB46AB">
        <w:rPr>
          <w:rFonts w:cs="Arial"/>
          <w:szCs w:val="20"/>
        </w:rPr>
        <w:t xml:space="preserve"> paper presented at the European Conference on quality in official statistics, Vienna 2-5 June 2014</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Palmen, M (2014), </w:t>
      </w:r>
      <w:r w:rsidRPr="00CB46AB">
        <w:rPr>
          <w:rFonts w:cs="Arial"/>
          <w:i/>
          <w:szCs w:val="20"/>
        </w:rPr>
        <w:t xml:space="preserve">PIAAC Shaping Policy? </w:t>
      </w:r>
      <w:r w:rsidRPr="00CB46AB">
        <w:rPr>
          <w:rFonts w:cs="Arial"/>
          <w:szCs w:val="20"/>
        </w:rPr>
        <w:t xml:space="preserve">Official Voices. Lifelong Learning in Europe. Issue 1. Available at </w:t>
      </w:r>
      <w:hyperlink r:id="rId92" w:history="1">
        <w:r w:rsidRPr="00CB46AB">
          <w:rPr>
            <w:rStyle w:val="Hyperlink"/>
            <w:color w:val="333333"/>
            <w:szCs w:val="20"/>
          </w:rPr>
          <w:t>http://www.lline.fi/en/issue/1_2014/issue-12014</w:t>
        </w:r>
      </w:hyperlink>
      <w:r w:rsidRPr="00CB46AB">
        <w:rPr>
          <w:rFonts w:cs="Arial"/>
          <w:szCs w:val="20"/>
        </w:rPr>
        <w:t xml:space="preserve">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Park, Hyunjoon and Pearl Kyei (2011), </w:t>
      </w:r>
      <w:r w:rsidRPr="00CB46AB">
        <w:rPr>
          <w:rFonts w:cs="Arial"/>
          <w:i/>
          <w:szCs w:val="20"/>
        </w:rPr>
        <w:t>Literacy Gaps by Educational Attainment: A Cross-National Analysis.</w:t>
      </w:r>
      <w:r w:rsidRPr="00CB46AB">
        <w:rPr>
          <w:rFonts w:cs="Arial"/>
          <w:szCs w:val="20"/>
        </w:rPr>
        <w:t xml:space="preserve"> Social Forces, 89 (3), pp. 879–904</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Perry, A., Helmschrott, S. (2014), </w:t>
      </w:r>
      <w:r w:rsidRPr="00CB46AB">
        <w:rPr>
          <w:rFonts w:cs="Arial"/>
          <w:i/>
          <w:szCs w:val="20"/>
        </w:rPr>
        <w:t>User Guide for the German PIAAC Scientific Use File</w:t>
      </w:r>
      <w:r w:rsidRPr="00CB46AB">
        <w:rPr>
          <w:rFonts w:cs="Arial"/>
          <w:szCs w:val="20"/>
        </w:rPr>
        <w:t>, Gesis, 20.03.2014</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Pokropek, A., Jakubowksi (2013), </w:t>
      </w:r>
      <w:r w:rsidRPr="00CB46AB">
        <w:rPr>
          <w:rFonts w:cs="Arial"/>
          <w:i/>
          <w:szCs w:val="20"/>
        </w:rPr>
        <w:t>PIAACTOOLS: Stata programs for the statistical computing using</w:t>
      </w:r>
      <w:r w:rsidRPr="00CB46AB">
        <w:rPr>
          <w:rFonts w:cs="Arial"/>
          <w:szCs w:val="20"/>
        </w:rPr>
        <w:t xml:space="preserve"> PIAAC data</w:t>
      </w:r>
    </w:p>
    <w:p w:rsidR="00211990" w:rsidRPr="00CB46AB" w:rsidRDefault="00211990" w:rsidP="00CB46AB">
      <w:pPr>
        <w:autoSpaceDE w:val="0"/>
        <w:autoSpaceDN w:val="0"/>
        <w:adjustRightInd w:val="0"/>
        <w:spacing w:after="120" w:line="288" w:lineRule="auto"/>
        <w:rPr>
          <w:rFonts w:cs="Arial"/>
          <w:szCs w:val="20"/>
        </w:rPr>
      </w:pPr>
      <w:r w:rsidRPr="00CB46AB">
        <w:rPr>
          <w:szCs w:val="20"/>
        </w:rPr>
        <w:t xml:space="preserve">Pontusson, J. (2008), </w:t>
      </w:r>
      <w:r w:rsidRPr="00CB46AB">
        <w:rPr>
          <w:i/>
          <w:szCs w:val="20"/>
        </w:rPr>
        <w:t>Social Democracy, Varieties of Capitalism and Globalization: Sketch of Paper.</w:t>
      </w:r>
      <w:r w:rsidRPr="00CB46AB">
        <w:rPr>
          <w:szCs w:val="20"/>
        </w:rPr>
        <w:t xml:space="preserve"> Available at@ </w:t>
      </w:r>
      <w:hyperlink r:id="rId93" w:history="1">
        <w:r w:rsidRPr="00CB46AB">
          <w:rPr>
            <w:rStyle w:val="Hyperlink"/>
            <w:color w:val="333333"/>
            <w:szCs w:val="20"/>
          </w:rPr>
          <w:t>http://www.ces.fas.harvard.edu/conferences/left/left_papers/SocDemo05-08.pdf</w:t>
        </w:r>
      </w:hyperlink>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Raffe, D., Howieson, C., Spours, K. and Young, M. (1998), </w:t>
      </w:r>
      <w:r w:rsidRPr="00CB46AB">
        <w:rPr>
          <w:rFonts w:cs="Arial"/>
          <w:i/>
          <w:szCs w:val="20"/>
        </w:rPr>
        <w:t>The unification of</w:t>
      </w:r>
      <w:r w:rsidRPr="00CB46AB">
        <w:rPr>
          <w:rFonts w:eastAsia="Batang" w:cs="Arial"/>
          <w:i/>
          <w:szCs w:val="20"/>
        </w:rPr>
        <w:t xml:space="preserve"> </w:t>
      </w:r>
      <w:r w:rsidRPr="00CB46AB">
        <w:rPr>
          <w:rFonts w:cs="Arial"/>
          <w:i/>
          <w:szCs w:val="20"/>
        </w:rPr>
        <w:t>post-compulsory education: towards a conceptual framework</w:t>
      </w:r>
      <w:r w:rsidRPr="00CB46AB">
        <w:rPr>
          <w:rFonts w:cs="Arial"/>
          <w:szCs w:val="20"/>
        </w:rPr>
        <w:t>, British Journal of Educational Studies</w:t>
      </w:r>
      <w:r w:rsidRPr="00CB46AB">
        <w:rPr>
          <w:rFonts w:cs="Arial"/>
          <w:i/>
          <w:szCs w:val="20"/>
        </w:rPr>
        <w:t>,</w:t>
      </w:r>
      <w:r w:rsidRPr="00CB46AB">
        <w:rPr>
          <w:rFonts w:cs="Arial"/>
          <w:szCs w:val="20"/>
        </w:rPr>
        <w:t xml:space="preserve"> 46 (2), pp. 169–187</w:t>
      </w:r>
    </w:p>
    <w:p w:rsidR="00211990" w:rsidRPr="00CB46AB" w:rsidRDefault="00211990" w:rsidP="00CB46AB">
      <w:pPr>
        <w:spacing w:after="120" w:line="288" w:lineRule="auto"/>
        <w:rPr>
          <w:rFonts w:cs="Arial"/>
          <w:szCs w:val="20"/>
        </w:rPr>
      </w:pPr>
      <w:r w:rsidRPr="00CB46AB">
        <w:rPr>
          <w:rFonts w:eastAsia="Batang" w:cs="Arial"/>
          <w:szCs w:val="20"/>
        </w:rPr>
        <w:t xml:space="preserve">Raffe, D., Brannen, K., Fairgrieve, J. and Martin, C. (2001), </w:t>
      </w:r>
      <w:r w:rsidRPr="00CB46AB">
        <w:rPr>
          <w:rFonts w:eastAsia="Batang" w:cs="Arial"/>
          <w:i/>
          <w:szCs w:val="20"/>
        </w:rPr>
        <w:t>Participation, inclusiveness, academic drift and parity of esteem: a comparison of post-compulsory education and training in England, Wales, Scotland and Northern Ireland,</w:t>
      </w:r>
      <w:r w:rsidRPr="00CB46AB">
        <w:rPr>
          <w:rFonts w:eastAsia="Batang" w:cs="Arial"/>
          <w:szCs w:val="20"/>
        </w:rPr>
        <w:t xml:space="preserve"> Oxford Review of Education, </w:t>
      </w:r>
      <w:r w:rsidRPr="00CB46AB">
        <w:rPr>
          <w:rFonts w:cs="Arial"/>
          <w:szCs w:val="20"/>
        </w:rPr>
        <w:t>27 (2), pp. 173-203</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Rammstedt, B. and Maehler, D. (2014), </w:t>
      </w:r>
      <w:r w:rsidRPr="00CB46AB">
        <w:rPr>
          <w:rFonts w:cs="Arial"/>
          <w:i/>
          <w:szCs w:val="20"/>
        </w:rPr>
        <w:t xml:space="preserve">PIAAC and its Methodological Challenges. Methods, Data, Analyses, </w:t>
      </w:r>
      <w:r w:rsidRPr="00CB46AB">
        <w:rPr>
          <w:rFonts w:cs="Arial"/>
          <w:szCs w:val="20"/>
        </w:rPr>
        <w:t>8(2), pp. 125-136</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Rindermann H. (2007), </w:t>
      </w:r>
      <w:r w:rsidRPr="00CB46AB">
        <w:rPr>
          <w:rFonts w:cs="Arial"/>
          <w:i/>
          <w:szCs w:val="20"/>
        </w:rPr>
        <w:t xml:space="preserve">The </w:t>
      </w:r>
      <w:r w:rsidRPr="00CB46AB">
        <w:rPr>
          <w:rFonts w:cs="Arial"/>
          <w:i/>
          <w:iCs/>
          <w:szCs w:val="20"/>
        </w:rPr>
        <w:t>g</w:t>
      </w:r>
      <w:r w:rsidRPr="00CB46AB">
        <w:rPr>
          <w:rFonts w:cs="Arial"/>
          <w:i/>
          <w:szCs w:val="20"/>
        </w:rPr>
        <w:t>-factor of international cognitive ability comparisons: the homogeneity of results in PISA, TIMSS, PIRLS and IQ tests across nations</w:t>
      </w:r>
      <w:r w:rsidRPr="00CB46AB">
        <w:rPr>
          <w:rFonts w:cs="Arial"/>
          <w:szCs w:val="20"/>
        </w:rPr>
        <w:t xml:space="preserve">, </w:t>
      </w:r>
      <w:r w:rsidRPr="00CB46AB">
        <w:rPr>
          <w:rFonts w:cs="Arial"/>
          <w:iCs/>
          <w:szCs w:val="20"/>
        </w:rPr>
        <w:t>European Journal of Personality</w:t>
      </w:r>
      <w:r w:rsidRPr="00CB46AB">
        <w:rPr>
          <w:rFonts w:cs="Arial"/>
          <w:i/>
          <w:iCs/>
          <w:szCs w:val="20"/>
        </w:rPr>
        <w:t xml:space="preserve">, </w:t>
      </w:r>
      <w:r w:rsidRPr="00CB46AB">
        <w:rPr>
          <w:rFonts w:cs="Arial"/>
          <w:szCs w:val="20"/>
        </w:rPr>
        <w:t>21, pp. 667–706</w:t>
      </w:r>
    </w:p>
    <w:p w:rsidR="00211990" w:rsidRPr="00CB46AB" w:rsidRDefault="00211990" w:rsidP="00CB46AB">
      <w:pPr>
        <w:spacing w:after="120" w:line="288" w:lineRule="auto"/>
        <w:rPr>
          <w:rFonts w:cs="Arial"/>
          <w:szCs w:val="20"/>
        </w:rPr>
      </w:pPr>
      <w:r w:rsidRPr="00CB46AB">
        <w:rPr>
          <w:rFonts w:cs="Arial"/>
          <w:szCs w:val="20"/>
          <w:lang w:val="es-ES"/>
        </w:rPr>
        <w:t xml:space="preserve">Robles, J. A (2013), </w:t>
      </w:r>
      <w:r w:rsidRPr="00CB46AB">
        <w:rPr>
          <w:rFonts w:cs="Arial"/>
          <w:i/>
          <w:szCs w:val="20"/>
          <w:lang w:val="es-ES"/>
        </w:rPr>
        <w:t>Diferencias entre cohortes en España: El papel de la Ley Orgánica de Ordenación General del Sistema Educativo y un análisis de la depreciación del capital humano,</w:t>
      </w:r>
      <w:r w:rsidRPr="00CB46AB">
        <w:rPr>
          <w:rFonts w:cs="Arial"/>
          <w:szCs w:val="20"/>
          <w:lang w:val="es-ES"/>
        </w:rPr>
        <w:t xml:space="preserve">  (Differences between Spanish cohorts: Paper on the Organic Law of General Ordination of the Education System and an analysis of the depreciation of human capital), in: INEE and OECD, </w:t>
      </w:r>
      <w:r w:rsidRPr="00CB46AB">
        <w:rPr>
          <w:rFonts w:cs="Arial"/>
          <w:i/>
          <w:szCs w:val="20"/>
          <w:lang w:val="es-ES"/>
        </w:rPr>
        <w:t xml:space="preserve">PIAAC 2013, </w:t>
      </w:r>
      <w:r w:rsidRPr="00CB46AB">
        <w:rPr>
          <w:rFonts w:cs="Arial"/>
          <w:szCs w:val="20"/>
          <w:lang w:val="es-ES"/>
        </w:rPr>
        <w:t xml:space="preserve">Programa Internacional para la Evaluación de las Competencias de la Población Adulta, Volumen II (PIAAC 2013, International Programme for the Assessment of Adult Competences). </w:t>
      </w:r>
      <w:r w:rsidRPr="00CB46AB">
        <w:rPr>
          <w:rFonts w:cs="Arial"/>
          <w:szCs w:val="20"/>
        </w:rPr>
        <w:t xml:space="preserve">Available at: </w:t>
      </w:r>
      <w:hyperlink r:id="rId94" w:history="1">
        <w:r w:rsidRPr="00CB46AB">
          <w:rPr>
            <w:rStyle w:val="Hyperlink"/>
            <w:rFonts w:cs="Arial"/>
            <w:color w:val="333333"/>
            <w:szCs w:val="20"/>
          </w:rPr>
          <w:t>http://www.mecd.gob.es/dctm/inee/internacional/piaac/piaac2013vol2.pdf?documentId=0901e72b81770705</w:t>
        </w:r>
      </w:hyperlink>
    </w:p>
    <w:p w:rsidR="00211990" w:rsidRPr="00CB46AB" w:rsidRDefault="00211990" w:rsidP="00CB46AB">
      <w:pPr>
        <w:spacing w:after="120" w:line="288" w:lineRule="auto"/>
        <w:rPr>
          <w:rFonts w:cs="Arial"/>
          <w:i/>
          <w:szCs w:val="20"/>
        </w:rPr>
      </w:pPr>
      <w:r w:rsidRPr="00CB46AB">
        <w:rPr>
          <w:rFonts w:cs="Arial"/>
          <w:szCs w:val="20"/>
        </w:rPr>
        <w:t xml:space="preserve">Rosdhal, A. (2014), </w:t>
      </w:r>
      <w:r w:rsidRPr="00CB46AB">
        <w:rPr>
          <w:rFonts w:cs="Arial"/>
          <w:i/>
          <w:szCs w:val="20"/>
        </w:rPr>
        <w:t>Survey of Adult Skills – Denmark Summary of Danish PIAAC results</w:t>
      </w:r>
      <w:r w:rsidRPr="00CB46AB">
        <w:rPr>
          <w:rFonts w:cs="Arial"/>
          <w:szCs w:val="20"/>
        </w:rPr>
        <w:t>. SFI - The Danish National Centre for Social Research.</w:t>
      </w:r>
      <w:r w:rsidRPr="00CB46AB">
        <w:rPr>
          <w:rFonts w:cs="Arial"/>
          <w:i/>
          <w:szCs w:val="20"/>
        </w:rPr>
        <w:t xml:space="preserve"> </w:t>
      </w:r>
      <w:r w:rsidRPr="00CB46AB">
        <w:rPr>
          <w:rFonts w:cs="Arial"/>
          <w:szCs w:val="20"/>
        </w:rPr>
        <w:t>Available at:</w:t>
      </w:r>
      <w:r w:rsidRPr="00CB46AB">
        <w:rPr>
          <w:rFonts w:cs="Arial"/>
          <w:i/>
          <w:szCs w:val="20"/>
        </w:rPr>
        <w:t xml:space="preserve"> </w:t>
      </w:r>
      <w:hyperlink r:id="rId95" w:history="1">
        <w:r w:rsidRPr="00CB46AB">
          <w:rPr>
            <w:rStyle w:val="Hyperlink"/>
            <w:rFonts w:cs="Arial"/>
            <w:i/>
            <w:color w:val="333333"/>
            <w:szCs w:val="20"/>
          </w:rPr>
          <w:t>http://www.sfi.dk/danskernes_kompetencer-7149.aspx</w:t>
        </w:r>
      </w:hyperlink>
      <w:r w:rsidRPr="00CB46AB">
        <w:rPr>
          <w:rFonts w:cs="Arial"/>
          <w:i/>
          <w:szCs w:val="20"/>
        </w:rPr>
        <w:t xml:space="preserve">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Schneider, S., Massing, N. (2014), </w:t>
      </w:r>
      <w:r w:rsidRPr="00CB46AB">
        <w:rPr>
          <w:rFonts w:cs="Arial"/>
          <w:i/>
          <w:szCs w:val="20"/>
        </w:rPr>
        <w:t>Zum Verhältnis von Bildungsabschlüssen und Kompetenzen Erwachsener im internationalen Vergleich</w:t>
      </w:r>
      <w:r w:rsidRPr="00CB46AB">
        <w:rPr>
          <w:rFonts w:cs="Arial"/>
          <w:szCs w:val="20"/>
        </w:rPr>
        <w:t xml:space="preserve"> </w:t>
      </w:r>
      <w:r w:rsidRPr="00CB46AB">
        <w:rPr>
          <w:rFonts w:cs="Arial"/>
          <w:i/>
          <w:iCs/>
          <w:szCs w:val="20"/>
        </w:rPr>
        <w:t>(on the relationship between formal qualifciations and competences of adult – an international comparison)</w:t>
      </w:r>
      <w:r w:rsidRPr="00CB46AB">
        <w:rPr>
          <w:rFonts w:cs="Arial"/>
          <w:szCs w:val="20"/>
        </w:rPr>
        <w:t>, Presentation in the context of the Gesis PIAAC research conference, 04.-06. April 2014, Mannheim</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Schneider, S. (2009), </w:t>
      </w:r>
      <w:r w:rsidRPr="00CB46AB">
        <w:rPr>
          <w:rFonts w:cs="Arial"/>
          <w:i/>
          <w:szCs w:val="20"/>
        </w:rPr>
        <w:t>Confusing Credentials: The Cross-Nationally Comparable Measurement of Educational Attainment. Ph.D. Thesis</w:t>
      </w:r>
      <w:r w:rsidRPr="00CB46AB">
        <w:rPr>
          <w:rFonts w:cs="Arial"/>
          <w:szCs w:val="20"/>
        </w:rPr>
        <w:t xml:space="preserve">. Oxford University. Available at: </w:t>
      </w:r>
      <w:hyperlink r:id="rId96" w:history="1">
        <w:r w:rsidRPr="00CB46AB">
          <w:rPr>
            <w:rStyle w:val="Hyperlink"/>
            <w:color w:val="333333"/>
            <w:szCs w:val="20"/>
          </w:rPr>
          <w:t>http://ora.ox.ac.uk/objects/uuid%3A15c39d54-f896-425b-aaa8-93ba5bf03529/datastreams/THESIS02</w:t>
        </w:r>
      </w:hyperlink>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Schneider, S. (2008), </w:t>
      </w:r>
      <w:r w:rsidRPr="00CB46AB">
        <w:rPr>
          <w:rFonts w:cs="Arial"/>
          <w:bCs/>
          <w:i/>
          <w:szCs w:val="20"/>
        </w:rPr>
        <w:t>Suggestions for the cross</w:t>
      </w:r>
      <w:r w:rsidRPr="00CB46AB">
        <w:rPr>
          <w:rFonts w:ascii="Cambria Math" w:hAnsi="Cambria Math" w:cs="Cambria Math"/>
          <w:bCs/>
          <w:i/>
          <w:szCs w:val="20"/>
        </w:rPr>
        <w:t>‐</w:t>
      </w:r>
      <w:r w:rsidRPr="00CB46AB">
        <w:rPr>
          <w:rFonts w:cs="Arial"/>
          <w:bCs/>
          <w:i/>
          <w:szCs w:val="20"/>
        </w:rPr>
        <w:t>national measurement of educational attainment: refining the ISCED</w:t>
      </w:r>
      <w:r w:rsidRPr="00CB46AB">
        <w:rPr>
          <w:rFonts w:ascii="Cambria Math" w:hAnsi="Cambria Math" w:cs="Cambria Math"/>
          <w:bCs/>
          <w:i/>
          <w:szCs w:val="20"/>
        </w:rPr>
        <w:t>‐</w:t>
      </w:r>
      <w:r w:rsidRPr="00CB46AB">
        <w:rPr>
          <w:rFonts w:cs="Arial"/>
          <w:bCs/>
          <w:i/>
          <w:szCs w:val="20"/>
        </w:rPr>
        <w:t>97 and improving data collection and coding procedures</w:t>
      </w:r>
      <w:r w:rsidRPr="00CB46AB">
        <w:rPr>
          <w:rFonts w:cs="Arial"/>
          <w:bCs/>
          <w:szCs w:val="20"/>
        </w:rPr>
        <w:t>, i</w:t>
      </w:r>
      <w:r w:rsidRPr="00CB46AB">
        <w:rPr>
          <w:rFonts w:cs="Arial"/>
          <w:szCs w:val="20"/>
        </w:rPr>
        <w:t>n: Schneider, S. (eds), The International Standard Classification of Education. An Evaluation of Content and Criterion Validity for 15 European Countries, Mannheim: MZES</w:t>
      </w:r>
    </w:p>
    <w:p w:rsidR="00211990" w:rsidRPr="00CB46AB" w:rsidRDefault="00211990" w:rsidP="00CB46AB">
      <w:pPr>
        <w:autoSpaceDE w:val="0"/>
        <w:autoSpaceDN w:val="0"/>
        <w:adjustRightInd w:val="0"/>
        <w:spacing w:after="120" w:line="288" w:lineRule="auto"/>
        <w:rPr>
          <w:rFonts w:cs="Arial"/>
          <w:bCs/>
          <w:szCs w:val="20"/>
        </w:rPr>
      </w:pPr>
      <w:r w:rsidRPr="00CB46AB">
        <w:rPr>
          <w:rFonts w:cs="Arial"/>
          <w:bCs/>
          <w:szCs w:val="20"/>
        </w:rPr>
        <w:t xml:space="preserve">Schneider, S. and Kogan, I. (2008), </w:t>
      </w:r>
      <w:r w:rsidRPr="00CB46AB">
        <w:rPr>
          <w:rFonts w:cs="Arial"/>
          <w:bCs/>
          <w:i/>
          <w:szCs w:val="20"/>
        </w:rPr>
        <w:t>The International Standard Classification of Education 1997: challenges in the application to national data and the implementation in cross</w:t>
      </w:r>
      <w:r w:rsidRPr="00CB46AB">
        <w:rPr>
          <w:rFonts w:ascii="Cambria Math" w:hAnsi="Cambria Math" w:cs="Cambria Math"/>
          <w:bCs/>
          <w:i/>
          <w:szCs w:val="20"/>
        </w:rPr>
        <w:t>‐</w:t>
      </w:r>
      <w:r w:rsidRPr="00CB46AB">
        <w:rPr>
          <w:rFonts w:cs="Arial"/>
          <w:bCs/>
          <w:i/>
          <w:szCs w:val="20"/>
        </w:rPr>
        <w:t>national surveys</w:t>
      </w:r>
      <w:r w:rsidRPr="00CB46AB">
        <w:rPr>
          <w:rFonts w:cs="Arial"/>
          <w:bCs/>
          <w:szCs w:val="20"/>
        </w:rPr>
        <w:t>. in: Schneider, S. (eds) The International Standard Classification of Education. An Evaluation of Content and Criterion Validity for 15 European Countries. Mannheim: MZES</w:t>
      </w:r>
    </w:p>
    <w:p w:rsidR="00211990" w:rsidRPr="00CB46AB" w:rsidRDefault="00211990" w:rsidP="00CB46AB">
      <w:pPr>
        <w:pStyle w:val="FootnoteText"/>
        <w:spacing w:after="120" w:line="288" w:lineRule="auto"/>
        <w:rPr>
          <w:rStyle w:val="Hyperlink"/>
          <w:rFonts w:eastAsiaTheme="minorHAnsi"/>
          <w:color w:val="333333"/>
          <w:lang w:eastAsia="en-US"/>
        </w:rPr>
      </w:pPr>
      <w:r w:rsidRPr="00CB46AB">
        <w:rPr>
          <w:rFonts w:eastAsiaTheme="minorHAnsi" w:cs="Arial"/>
          <w:lang w:eastAsia="en-US"/>
        </w:rPr>
        <w:t xml:space="preserve">Serentill, P. and Palma, F. (2014), </w:t>
      </w:r>
      <w:r w:rsidRPr="00CB46AB">
        <w:rPr>
          <w:rFonts w:eastAsiaTheme="minorHAnsi" w:cs="Arial"/>
          <w:i/>
          <w:lang w:eastAsia="en-US"/>
        </w:rPr>
        <w:t xml:space="preserve">PISA and PIAAC study methodology: some achievement and many errors. Interview available on European Infonet Adult Education website. </w:t>
      </w:r>
      <w:r w:rsidRPr="00CB46AB">
        <w:rPr>
          <w:rFonts w:eastAsiaTheme="minorHAnsi" w:cs="Arial"/>
          <w:lang w:eastAsia="en-US"/>
        </w:rPr>
        <w:t xml:space="preserve">Available at: </w:t>
      </w:r>
      <w:hyperlink r:id="rId97" w:history="1">
        <w:r w:rsidRPr="00CB46AB">
          <w:rPr>
            <w:rStyle w:val="Hyperlink"/>
            <w:rFonts w:eastAsiaTheme="minorHAnsi"/>
            <w:color w:val="333333"/>
            <w:lang w:eastAsia="en-US"/>
          </w:rPr>
          <w:t xml:space="preserve">http://www.infonet-ae.eu/articles-science-55/2188-pisa-and-piaac-study-methodology-some-achievement-and-many-errors </w:t>
        </w:r>
      </w:hyperlink>
    </w:p>
    <w:p w:rsidR="00211990" w:rsidRPr="00CB46AB" w:rsidRDefault="00211990" w:rsidP="00CB46AB">
      <w:pPr>
        <w:suppressAutoHyphens/>
        <w:spacing w:after="120" w:line="288" w:lineRule="auto"/>
        <w:rPr>
          <w:szCs w:val="20"/>
        </w:rPr>
      </w:pPr>
      <w:r w:rsidRPr="00CB46AB">
        <w:rPr>
          <w:szCs w:val="20"/>
        </w:rPr>
        <w:t xml:space="preserve">Solga, H., C. Protsch, C. Ebner, and C. Brzinsky-Fay (2014), </w:t>
      </w:r>
      <w:r w:rsidRPr="00CB46AB">
        <w:rPr>
          <w:bCs/>
          <w:i/>
          <w:szCs w:val="20"/>
        </w:rPr>
        <w:t>The German vocational education and training</w:t>
      </w:r>
      <w:r w:rsidRPr="00CB46AB">
        <w:rPr>
          <w:i/>
          <w:szCs w:val="20"/>
        </w:rPr>
        <w:t xml:space="preserve"> </w:t>
      </w:r>
      <w:r w:rsidRPr="00CB46AB">
        <w:rPr>
          <w:bCs/>
          <w:i/>
          <w:szCs w:val="20"/>
        </w:rPr>
        <w:t xml:space="preserve">system: </w:t>
      </w:r>
      <w:r w:rsidRPr="00CB46AB">
        <w:rPr>
          <w:i/>
          <w:szCs w:val="20"/>
        </w:rPr>
        <w:t>Its institutional configuration, strengths and</w:t>
      </w:r>
      <w:r w:rsidRPr="00CB46AB">
        <w:rPr>
          <w:szCs w:val="20"/>
        </w:rPr>
        <w:t xml:space="preserve"> </w:t>
      </w:r>
      <w:r w:rsidRPr="00CB46AB">
        <w:rPr>
          <w:i/>
          <w:szCs w:val="20"/>
        </w:rPr>
        <w:t xml:space="preserve">challenges. </w:t>
      </w:r>
      <w:r w:rsidRPr="00CB46AB">
        <w:rPr>
          <w:bCs/>
          <w:szCs w:val="20"/>
        </w:rPr>
        <w:t>Discussion Paper.</w:t>
      </w:r>
      <w:r w:rsidRPr="00CB46AB">
        <w:rPr>
          <w:szCs w:val="20"/>
        </w:rPr>
        <w:t xml:space="preserve"> University of Cologne and Federal Institute for Vocational Education and Training, Bonn</w:t>
      </w:r>
    </w:p>
    <w:p w:rsidR="00211990" w:rsidRPr="00CB46AB" w:rsidRDefault="00211990" w:rsidP="00CB46AB">
      <w:pPr>
        <w:pStyle w:val="FootnoteText"/>
        <w:spacing w:after="120" w:line="288" w:lineRule="auto"/>
        <w:rPr>
          <w:rFonts w:eastAsiaTheme="minorHAnsi" w:cs="Arial"/>
          <w:lang w:eastAsia="en-US"/>
        </w:rPr>
      </w:pPr>
      <w:r w:rsidRPr="00CB46AB">
        <w:rPr>
          <w:rFonts w:eastAsiaTheme="minorHAnsi" w:cs="Arial"/>
          <w:lang w:eastAsia="en-US"/>
        </w:rPr>
        <w:t xml:space="preserve">Somers, M. (2005), </w:t>
      </w:r>
      <w:r w:rsidRPr="00CB46AB">
        <w:rPr>
          <w:rFonts w:eastAsiaTheme="minorHAnsi" w:cs="Arial"/>
          <w:i/>
          <w:lang w:eastAsia="en-US"/>
        </w:rPr>
        <w:t xml:space="preserve">Disentangling Schooling Attainment from Literacy Skills and Competencies, </w:t>
      </w:r>
      <w:r w:rsidRPr="00CB46AB">
        <w:rPr>
          <w:rFonts w:eastAsiaTheme="minorHAnsi" w:cs="Arial"/>
          <w:lang w:eastAsia="en-US"/>
        </w:rPr>
        <w:t>UNESCO</w:t>
      </w:r>
    </w:p>
    <w:p w:rsidR="00211990" w:rsidRPr="00CB46AB" w:rsidRDefault="00211990" w:rsidP="00CB46AB">
      <w:pPr>
        <w:pStyle w:val="FootnoteText"/>
        <w:spacing w:after="120" w:line="288" w:lineRule="auto"/>
        <w:rPr>
          <w:rFonts w:eastAsiaTheme="minorHAnsi" w:cs="Arial"/>
          <w:lang w:eastAsia="en-US"/>
        </w:rPr>
      </w:pPr>
      <w:r w:rsidRPr="00CB46AB">
        <w:rPr>
          <w:rFonts w:eastAsiaTheme="minorHAnsi" w:cs="Arial"/>
          <w:lang w:eastAsia="en-US"/>
        </w:rPr>
        <w:t xml:space="preserve">Statistics Canada (2015), </w:t>
      </w:r>
      <w:r w:rsidRPr="00CB46AB">
        <w:rPr>
          <w:rFonts w:eastAsiaTheme="minorHAnsi" w:cs="Arial"/>
          <w:i/>
          <w:lang w:eastAsia="en-US"/>
        </w:rPr>
        <w:t>The International Adult Literacy Survey (IALS),</w:t>
      </w:r>
      <w:r w:rsidRPr="00CB46AB">
        <w:rPr>
          <w:rFonts w:eastAsiaTheme="minorHAnsi" w:cs="Arial"/>
          <w:lang w:eastAsia="en-US"/>
        </w:rPr>
        <w:t xml:space="preserve"> PUMF files Updates Log. CD-ROM</w:t>
      </w:r>
    </w:p>
    <w:p w:rsidR="00211990" w:rsidRPr="00CB46AB" w:rsidRDefault="00211990" w:rsidP="00CB46AB">
      <w:pPr>
        <w:pStyle w:val="FootnoteText"/>
        <w:spacing w:after="120" w:line="288" w:lineRule="auto"/>
        <w:rPr>
          <w:rFonts w:eastAsiaTheme="minorHAnsi" w:cs="Arial"/>
          <w:lang w:eastAsia="en-US"/>
        </w:rPr>
      </w:pPr>
      <w:r w:rsidRPr="00CB46AB">
        <w:rPr>
          <w:rFonts w:eastAsiaTheme="minorHAnsi" w:cs="Arial"/>
          <w:lang w:eastAsia="en-US"/>
        </w:rPr>
        <w:t xml:space="preserve">St. Clair, R. (2012), </w:t>
      </w:r>
      <w:r w:rsidRPr="00CB46AB">
        <w:rPr>
          <w:rFonts w:eastAsiaTheme="minorHAnsi" w:cs="Arial"/>
          <w:i/>
          <w:lang w:eastAsia="en-US"/>
        </w:rPr>
        <w:t>The limits of levels: Understanding the International Adult Literacy Surveys (IALS).</w:t>
      </w:r>
      <w:r w:rsidRPr="00CB46AB">
        <w:rPr>
          <w:rFonts w:eastAsiaTheme="minorHAnsi" w:cs="Arial"/>
          <w:lang w:eastAsia="en-US"/>
        </w:rPr>
        <w:t xml:space="preserve"> International Review of Education, 58 (6), pp. 759-776</w:t>
      </w:r>
    </w:p>
    <w:p w:rsidR="00211990" w:rsidRPr="00CB46AB" w:rsidRDefault="00211990" w:rsidP="00CB46AB">
      <w:pPr>
        <w:pStyle w:val="FootnoteText"/>
        <w:spacing w:after="120" w:line="288" w:lineRule="auto"/>
        <w:rPr>
          <w:rFonts w:cs="Arial"/>
        </w:rPr>
      </w:pPr>
      <w:r w:rsidRPr="00CB46AB">
        <w:rPr>
          <w:rFonts w:cs="Arial"/>
        </w:rPr>
        <w:t xml:space="preserve">Steedman, H., &amp; McIntosh, S. (2001), </w:t>
      </w:r>
      <w:r w:rsidRPr="00CB46AB">
        <w:rPr>
          <w:rFonts w:cs="Arial"/>
          <w:i/>
        </w:rPr>
        <w:t xml:space="preserve">Measuring low skills in Europe: How useful is the ISCED framework? </w:t>
      </w:r>
      <w:r w:rsidRPr="00CB46AB">
        <w:rPr>
          <w:rFonts w:cs="Arial"/>
        </w:rPr>
        <w:t>Oxford Economic Papers, 53, pp. 564–581</w:t>
      </w:r>
    </w:p>
    <w:p w:rsidR="00211990" w:rsidRPr="00CB46AB" w:rsidRDefault="00211990" w:rsidP="00CB46AB">
      <w:pPr>
        <w:pStyle w:val="BodyText"/>
        <w:spacing w:line="288" w:lineRule="auto"/>
        <w:rPr>
          <w:rFonts w:cs="Arial"/>
          <w:szCs w:val="20"/>
        </w:rPr>
      </w:pPr>
      <w:r w:rsidRPr="00CB46AB">
        <w:rPr>
          <w:rFonts w:cs="Arial"/>
          <w:szCs w:val="20"/>
        </w:rPr>
        <w:t xml:space="preserve">Steedman, H. (2001), </w:t>
      </w:r>
      <w:r w:rsidRPr="00CB46AB">
        <w:rPr>
          <w:rFonts w:cs="Arial"/>
          <w:i/>
          <w:szCs w:val="20"/>
        </w:rPr>
        <w:t>Benchmarking Apprenticeship: UK and Continental Europe Compared.</w:t>
      </w:r>
      <w:r w:rsidRPr="00CB46AB">
        <w:rPr>
          <w:rFonts w:cs="Arial"/>
          <w:szCs w:val="20"/>
        </w:rPr>
        <w:t xml:space="preserve"> Centre for Economic Performance, LSE, London</w:t>
      </w:r>
    </w:p>
    <w:p w:rsidR="00211990" w:rsidRPr="00CB46AB" w:rsidRDefault="00211990" w:rsidP="00CB46AB">
      <w:pPr>
        <w:pStyle w:val="BodyText"/>
        <w:spacing w:line="288" w:lineRule="auto"/>
        <w:rPr>
          <w:rFonts w:cs="Arial"/>
          <w:szCs w:val="20"/>
        </w:rPr>
      </w:pPr>
      <w:r w:rsidRPr="00CB46AB">
        <w:rPr>
          <w:rFonts w:cs="Arial"/>
          <w:szCs w:val="20"/>
        </w:rPr>
        <w:t xml:space="preserve">Steedman, H. (2010), </w:t>
      </w:r>
      <w:r w:rsidRPr="00CB46AB">
        <w:rPr>
          <w:rFonts w:cs="Arial"/>
          <w:i/>
          <w:szCs w:val="20"/>
        </w:rPr>
        <w:t>The State of the Apprenticeship in 2010,</w:t>
      </w:r>
      <w:r w:rsidRPr="00CB46AB">
        <w:rPr>
          <w:rFonts w:cs="Arial"/>
          <w:szCs w:val="20"/>
        </w:rPr>
        <w:t xml:space="preserve"> Centre for Economic Performance, LSE, London</w:t>
      </w:r>
    </w:p>
    <w:p w:rsidR="00211990" w:rsidRPr="00CB46AB" w:rsidRDefault="00211990" w:rsidP="00CB46AB">
      <w:pPr>
        <w:pStyle w:val="FootnoteText"/>
        <w:spacing w:after="120" w:line="288" w:lineRule="auto"/>
        <w:rPr>
          <w:rFonts w:eastAsiaTheme="minorHAnsi" w:cs="Arial"/>
          <w:lang w:eastAsia="en-US"/>
        </w:rPr>
      </w:pPr>
      <w:r w:rsidRPr="00CB46AB">
        <w:rPr>
          <w:rFonts w:eastAsiaTheme="minorHAnsi" w:cs="Arial"/>
          <w:lang w:eastAsia="en-US"/>
        </w:rPr>
        <w:t xml:space="preserve">Sticht, T. (2013), </w:t>
      </w:r>
      <w:r w:rsidRPr="00CB46AB">
        <w:rPr>
          <w:rFonts w:eastAsiaTheme="minorHAnsi" w:cs="Arial"/>
          <w:i/>
          <w:lang w:eastAsia="en-US"/>
        </w:rPr>
        <w:t xml:space="preserve">Avoid Misleading Claims About Adult Literacy Based on PIACC Results. </w:t>
      </w:r>
      <w:r w:rsidRPr="00CB46AB">
        <w:rPr>
          <w:rFonts w:eastAsiaTheme="minorHAnsi" w:cs="Arial"/>
          <w:lang w:eastAsia="en-US"/>
        </w:rPr>
        <w:t>Available at:</w:t>
      </w:r>
      <w:r w:rsidRPr="00CB46AB">
        <w:rPr>
          <w:rFonts w:eastAsiaTheme="minorHAnsi" w:cs="Arial"/>
          <w:i/>
          <w:lang w:eastAsia="en-US"/>
        </w:rPr>
        <w:t xml:space="preserve"> </w:t>
      </w:r>
      <w:hyperlink r:id="rId98" w:history="1">
        <w:r w:rsidRPr="00CB46AB">
          <w:rPr>
            <w:rStyle w:val="Hyperlink"/>
            <w:rFonts w:eastAsiaTheme="minorHAnsi"/>
            <w:color w:val="333333"/>
            <w:lang w:eastAsia="en-US"/>
          </w:rPr>
          <w:t>https://community.lincs.ed.gov/discussion/avoid-misleading-piaac-claims</w:t>
        </w:r>
      </w:hyperlink>
      <w:r w:rsidRPr="00CB46AB">
        <w:rPr>
          <w:rFonts w:eastAsiaTheme="minorHAnsi" w:cs="Arial"/>
          <w:lang w:eastAsia="en-US"/>
        </w:rPr>
        <w:t xml:space="preserve">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Solga, H., Protsch, P., Ebner, C., and Brzinsky-Fay, C. (2014), </w:t>
      </w:r>
      <w:r w:rsidRPr="00CB46AB">
        <w:rPr>
          <w:rFonts w:cs="Arial"/>
          <w:bCs/>
          <w:i/>
          <w:szCs w:val="20"/>
        </w:rPr>
        <w:t xml:space="preserve">The German vocational education and training system: </w:t>
      </w:r>
      <w:r w:rsidRPr="00CB46AB">
        <w:rPr>
          <w:rFonts w:cs="Arial"/>
          <w:i/>
          <w:szCs w:val="20"/>
        </w:rPr>
        <w:t>Its institutional configuration, strengths, and</w:t>
      </w:r>
      <w:r w:rsidRPr="00CB46AB">
        <w:rPr>
          <w:rFonts w:cs="Arial"/>
          <w:bCs/>
          <w:i/>
          <w:szCs w:val="20"/>
        </w:rPr>
        <w:t xml:space="preserve"> </w:t>
      </w:r>
      <w:r w:rsidRPr="00CB46AB">
        <w:rPr>
          <w:rFonts w:cs="Arial"/>
          <w:i/>
          <w:szCs w:val="20"/>
        </w:rPr>
        <w:t>challenges</w:t>
      </w:r>
      <w:r w:rsidRPr="00CB46AB">
        <w:rPr>
          <w:rFonts w:cs="Arial"/>
          <w:szCs w:val="20"/>
        </w:rPr>
        <w:t>, WZB, Berlin</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Thorn, W. (2009), </w:t>
      </w:r>
      <w:r w:rsidRPr="00CB46AB">
        <w:rPr>
          <w:rFonts w:cs="Arial"/>
          <w:i/>
          <w:szCs w:val="20"/>
        </w:rPr>
        <w:t>International Adult Literacy and Basic Skills Surveys in the OECD Region,</w:t>
      </w:r>
      <w:r w:rsidRPr="00CB46AB">
        <w:rPr>
          <w:rFonts w:cs="Arial"/>
          <w:szCs w:val="20"/>
        </w:rPr>
        <w:t xml:space="preserve"> OECD Education Working Papers, No. 26, Paris: OECD Publishing</w:t>
      </w:r>
    </w:p>
    <w:p w:rsidR="00211990" w:rsidRPr="00CB46AB" w:rsidRDefault="00211990" w:rsidP="00CB46AB">
      <w:pPr>
        <w:pStyle w:val="FootnoteText"/>
        <w:tabs>
          <w:tab w:val="left" w:pos="0"/>
        </w:tabs>
        <w:spacing w:after="120" w:line="288" w:lineRule="auto"/>
        <w:rPr>
          <w:rFonts w:cs="Arial"/>
        </w:rPr>
      </w:pPr>
      <w:r w:rsidRPr="00CB46AB">
        <w:rPr>
          <w:rFonts w:eastAsiaTheme="minorHAnsi" w:cs="Arial"/>
          <w:lang w:eastAsia="en-US"/>
        </w:rPr>
        <w:t xml:space="preserve">Truong, N. (2011), </w:t>
      </w:r>
      <w:r w:rsidRPr="00CB46AB">
        <w:rPr>
          <w:rFonts w:eastAsiaTheme="minorHAnsi" w:cs="Arial"/>
          <w:i/>
          <w:lang w:eastAsia="en-US"/>
        </w:rPr>
        <w:t>A new ISCED: Reflecting today’s education systems.</w:t>
      </w:r>
      <w:r w:rsidRPr="00CB46AB">
        <w:rPr>
          <w:rFonts w:eastAsiaTheme="minorHAnsi" w:cs="Arial"/>
          <w:lang w:eastAsia="en-US"/>
        </w:rPr>
        <w:t xml:space="preserve"> UN Statistical Division’s Classifications Newsletter, August 2011, pp. 3-5. Available at: </w:t>
      </w:r>
      <w:hyperlink r:id="rId99" w:history="1">
        <w:r w:rsidRPr="00CB46AB">
          <w:rPr>
            <w:rStyle w:val="Hyperlink"/>
            <w:rFonts w:eastAsiaTheme="minorHAnsi"/>
            <w:color w:val="333333"/>
            <w:lang w:eastAsia="en-US"/>
          </w:rPr>
          <w:t>http://www.uis.unesco.org/Education/Documents/UNSD_newsletter_27e_ISCED.pdf</w:t>
        </w:r>
      </w:hyperlink>
      <w:r w:rsidRPr="00CB46AB">
        <w:rPr>
          <w:rFonts w:cs="Arial"/>
        </w:rPr>
        <w:t xml:space="preserve"> </w:t>
      </w:r>
    </w:p>
    <w:p w:rsidR="00211990" w:rsidRPr="00CB46AB" w:rsidRDefault="00211990" w:rsidP="00CB46AB">
      <w:pPr>
        <w:pStyle w:val="FootnoteText"/>
        <w:tabs>
          <w:tab w:val="left" w:pos="0"/>
        </w:tabs>
        <w:spacing w:after="120" w:line="288" w:lineRule="auto"/>
        <w:rPr>
          <w:rFonts w:eastAsiaTheme="minorHAnsi" w:cs="Arial"/>
          <w:lang w:eastAsia="en-US"/>
        </w:rPr>
      </w:pPr>
      <w:r w:rsidRPr="00CB46AB">
        <w:rPr>
          <w:rFonts w:eastAsiaTheme="minorHAnsi" w:cs="Arial"/>
          <w:lang w:eastAsia="en-US"/>
        </w:rPr>
        <w:t xml:space="preserve">UNESCO Institute for Statistics (2012), </w:t>
      </w:r>
      <w:r w:rsidRPr="00CB46AB">
        <w:rPr>
          <w:rFonts w:eastAsiaTheme="minorHAnsi" w:cs="Arial"/>
          <w:i/>
          <w:lang w:eastAsia="en-US"/>
        </w:rPr>
        <w:t>International Standard Classification of Education: ISCED 2011</w:t>
      </w:r>
      <w:r w:rsidRPr="00CB46AB">
        <w:rPr>
          <w:rFonts w:eastAsiaTheme="minorHAnsi" w:cs="Arial"/>
          <w:lang w:eastAsia="en-US"/>
        </w:rPr>
        <w:t xml:space="preserve"> </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Van de Werfhorst, H. and Mijs, J. (2010), </w:t>
      </w:r>
      <w:r w:rsidRPr="00CB46AB">
        <w:rPr>
          <w:rFonts w:cs="Arial"/>
          <w:i/>
          <w:szCs w:val="20"/>
        </w:rPr>
        <w:t>Achievement Inequality and the Institutional Structure of Educational Systems: A Comparative Perspective</w:t>
      </w:r>
      <w:r w:rsidRPr="00CB46AB">
        <w:rPr>
          <w:rFonts w:cs="Arial"/>
          <w:szCs w:val="20"/>
        </w:rPr>
        <w:t>, Annual Review of Sociology 2010/36: pp. 407-428</w:t>
      </w:r>
    </w:p>
    <w:p w:rsidR="00211990" w:rsidRPr="00CB46AB" w:rsidRDefault="00211990" w:rsidP="00CB46AB">
      <w:pPr>
        <w:spacing w:after="120" w:line="288" w:lineRule="auto"/>
        <w:rPr>
          <w:rFonts w:cs="Arial"/>
          <w:szCs w:val="20"/>
        </w:rPr>
      </w:pPr>
      <w:r w:rsidRPr="00CB46AB">
        <w:rPr>
          <w:rFonts w:cs="Arial"/>
          <w:szCs w:val="20"/>
        </w:rPr>
        <w:t xml:space="preserve">Woessmann, Ludger (2014), </w:t>
      </w:r>
      <w:r w:rsidRPr="00CB46AB">
        <w:rPr>
          <w:rFonts w:cs="Arial"/>
          <w:i/>
          <w:szCs w:val="20"/>
        </w:rPr>
        <w:t>The economic case for education</w:t>
      </w:r>
      <w:r w:rsidRPr="00CB46AB">
        <w:rPr>
          <w:rFonts w:cs="Arial"/>
          <w:szCs w:val="20"/>
        </w:rPr>
        <w:t>, EENEE Analytical Report, No 20</w:t>
      </w:r>
    </w:p>
    <w:p w:rsidR="00211990" w:rsidRPr="00CB46AB" w:rsidRDefault="00211990" w:rsidP="00CB46AB">
      <w:pPr>
        <w:spacing w:after="120" w:line="288" w:lineRule="auto"/>
        <w:rPr>
          <w:rFonts w:cs="Arial"/>
          <w:szCs w:val="20"/>
        </w:rPr>
      </w:pPr>
      <w:r w:rsidRPr="00CB46AB">
        <w:rPr>
          <w:rFonts w:cs="Arial"/>
          <w:szCs w:val="20"/>
        </w:rPr>
        <w:t xml:space="preserve">Woessmann, L. (2005), </w:t>
      </w:r>
      <w:r w:rsidRPr="00CB46AB">
        <w:rPr>
          <w:rFonts w:cs="Arial"/>
          <w:i/>
          <w:szCs w:val="20"/>
        </w:rPr>
        <w:t xml:space="preserve">The effect heterogeneity of central examinations: evidence from TIMSS, TIMS-Repeat and PISA, </w:t>
      </w:r>
      <w:r w:rsidRPr="00CB46AB">
        <w:rPr>
          <w:rFonts w:cs="Arial"/>
          <w:szCs w:val="20"/>
        </w:rPr>
        <w:t>Education Economics, 13 (2), pp. 143 – 169</w:t>
      </w:r>
    </w:p>
    <w:p w:rsidR="00211990" w:rsidRPr="00CB46AB" w:rsidRDefault="00211990" w:rsidP="00CB46AB">
      <w:pPr>
        <w:autoSpaceDE w:val="0"/>
        <w:autoSpaceDN w:val="0"/>
        <w:adjustRightInd w:val="0"/>
        <w:spacing w:after="120" w:line="288" w:lineRule="auto"/>
        <w:rPr>
          <w:rFonts w:eastAsia="OptimaLTStd" w:cs="Arial"/>
          <w:szCs w:val="20"/>
        </w:rPr>
      </w:pPr>
      <w:r w:rsidRPr="00CB46AB">
        <w:rPr>
          <w:rFonts w:cs="Arial"/>
          <w:bCs/>
          <w:szCs w:val="20"/>
        </w:rPr>
        <w:t>Woessmann, L.</w:t>
      </w:r>
      <w:r w:rsidRPr="00CB46AB">
        <w:rPr>
          <w:rFonts w:cs="Arial"/>
          <w:b/>
          <w:bCs/>
          <w:szCs w:val="20"/>
        </w:rPr>
        <w:t xml:space="preserve"> </w:t>
      </w:r>
      <w:r w:rsidRPr="00CB46AB">
        <w:rPr>
          <w:rFonts w:eastAsia="OptimaLTStd" w:cs="Arial"/>
          <w:szCs w:val="20"/>
        </w:rPr>
        <w:t>(2006),</w:t>
      </w:r>
      <w:r w:rsidRPr="00CB46AB">
        <w:rPr>
          <w:rFonts w:eastAsia="OptimaLTStd" w:cs="Arial"/>
          <w:i/>
          <w:szCs w:val="20"/>
        </w:rPr>
        <w:t xml:space="preserve"> Public-Private Partnerships and Schooling Outcomes across Countries</w:t>
      </w:r>
      <w:r w:rsidRPr="00CB46AB">
        <w:rPr>
          <w:rFonts w:eastAsia="OptimaLTStd" w:cs="Arial"/>
          <w:szCs w:val="20"/>
        </w:rPr>
        <w:t xml:space="preserve">. </w:t>
      </w:r>
      <w:r w:rsidRPr="00CB46AB">
        <w:rPr>
          <w:rFonts w:cs="Arial"/>
          <w:i/>
          <w:iCs/>
          <w:szCs w:val="20"/>
        </w:rPr>
        <w:t>CESifo Working Paper Series</w:t>
      </w:r>
      <w:r w:rsidRPr="00CB46AB">
        <w:rPr>
          <w:rFonts w:eastAsia="OptimaLTStd" w:cs="Arial"/>
          <w:szCs w:val="20"/>
        </w:rPr>
        <w:t>, No.1662, Center for Economic Studies, Institute for Economic Research, Munich</w:t>
      </w:r>
    </w:p>
    <w:p w:rsidR="00211990" w:rsidRPr="00CB46AB" w:rsidRDefault="00211990" w:rsidP="00CB46AB">
      <w:pPr>
        <w:autoSpaceDE w:val="0"/>
        <w:autoSpaceDN w:val="0"/>
        <w:adjustRightInd w:val="0"/>
        <w:spacing w:after="120" w:line="288" w:lineRule="auto"/>
        <w:rPr>
          <w:rFonts w:cs="Arial"/>
          <w:szCs w:val="20"/>
        </w:rPr>
      </w:pPr>
      <w:r w:rsidRPr="00CB46AB">
        <w:rPr>
          <w:rFonts w:cs="Arial"/>
          <w:szCs w:val="20"/>
        </w:rPr>
        <w:t xml:space="preserve">Woessmann L. (2008), </w:t>
      </w:r>
      <w:r w:rsidRPr="00CB46AB">
        <w:rPr>
          <w:rFonts w:cs="Arial"/>
          <w:i/>
          <w:szCs w:val="20"/>
        </w:rPr>
        <w:t>How Equal are Educational Opportunities? Family Background and Student Achievement in Europe and the US</w:t>
      </w:r>
      <w:r w:rsidRPr="00CB46AB">
        <w:rPr>
          <w:rFonts w:cs="Arial"/>
          <w:szCs w:val="20"/>
        </w:rPr>
        <w:t xml:space="preserve">, </w:t>
      </w:r>
      <w:r w:rsidRPr="00CB46AB">
        <w:rPr>
          <w:rFonts w:cs="Arial"/>
          <w:iCs/>
          <w:szCs w:val="20"/>
        </w:rPr>
        <w:t>Zeitschrift für Betriebswirtschaft</w:t>
      </w:r>
      <w:r w:rsidRPr="00CB46AB">
        <w:rPr>
          <w:rFonts w:cs="Arial"/>
          <w:i/>
          <w:iCs/>
          <w:szCs w:val="20"/>
        </w:rPr>
        <w:t xml:space="preserve">, </w:t>
      </w:r>
      <w:r w:rsidRPr="00CB46AB">
        <w:rPr>
          <w:rFonts w:cs="Arial"/>
          <w:szCs w:val="20"/>
        </w:rPr>
        <w:t>78: pp. 45–70</w:t>
      </w:r>
    </w:p>
    <w:p w:rsidR="00211990" w:rsidRPr="00CB46AB" w:rsidRDefault="00211990" w:rsidP="00CB46AB">
      <w:pPr>
        <w:autoSpaceDE w:val="0"/>
        <w:autoSpaceDN w:val="0"/>
        <w:adjustRightInd w:val="0"/>
        <w:spacing w:after="120" w:line="288" w:lineRule="auto"/>
        <w:rPr>
          <w:rFonts w:cs="Arial"/>
          <w:i/>
          <w:iCs/>
          <w:szCs w:val="20"/>
        </w:rPr>
      </w:pPr>
      <w:r w:rsidRPr="00CB46AB">
        <w:rPr>
          <w:rFonts w:cs="Arial"/>
          <w:szCs w:val="20"/>
        </w:rPr>
        <w:t xml:space="preserve">Woessmann, L., Luedemann, E., Schuetz, G., and West M.R. (2009), </w:t>
      </w:r>
      <w:r w:rsidRPr="00CB46AB">
        <w:rPr>
          <w:rFonts w:cs="Arial"/>
          <w:i/>
          <w:iCs/>
          <w:szCs w:val="20"/>
        </w:rPr>
        <w:t>School Accountability, Autonomy and Choice around the World</w:t>
      </w:r>
      <w:r w:rsidRPr="00CB46AB">
        <w:rPr>
          <w:rFonts w:cs="Arial"/>
          <w:szCs w:val="20"/>
        </w:rPr>
        <w:t>, Cheltenham: Edward Elgar</w:t>
      </w:r>
    </w:p>
    <w:p w:rsidR="00211990" w:rsidRPr="00CB46AB" w:rsidRDefault="00211990" w:rsidP="00CB46AB">
      <w:pPr>
        <w:spacing w:after="120" w:line="288" w:lineRule="auto"/>
        <w:rPr>
          <w:rFonts w:cs="Arial"/>
          <w:szCs w:val="20"/>
        </w:rPr>
      </w:pPr>
      <w:r w:rsidRPr="00CB46AB">
        <w:rPr>
          <w:rFonts w:cs="Arial"/>
          <w:szCs w:val="20"/>
        </w:rPr>
        <w:t xml:space="preserve">Van de Werfhorst, H. G. and Mifs, J. (2010), </w:t>
      </w:r>
      <w:r w:rsidRPr="00CB46AB">
        <w:rPr>
          <w:rFonts w:cs="Arial"/>
          <w:i/>
          <w:szCs w:val="20"/>
        </w:rPr>
        <w:t>Achievement inequality and the institutional structure of systems: A comparative perspective</w:t>
      </w:r>
      <w:r w:rsidRPr="00CB46AB">
        <w:rPr>
          <w:rFonts w:cs="Arial"/>
          <w:szCs w:val="20"/>
        </w:rPr>
        <w:t>. Annual Review of Sociology, 36: pp. 407-428</w:t>
      </w:r>
    </w:p>
    <w:p w:rsidR="00211990" w:rsidRPr="00CB46AB" w:rsidRDefault="00211990" w:rsidP="00CB46AB">
      <w:pPr>
        <w:spacing w:after="120" w:line="288" w:lineRule="auto"/>
        <w:rPr>
          <w:kern w:val="36"/>
          <w:szCs w:val="20"/>
          <w:lang w:val="en-US"/>
        </w:rPr>
      </w:pPr>
      <w:r w:rsidRPr="00CB46AB">
        <w:rPr>
          <w:szCs w:val="20"/>
          <w:shd w:val="clear" w:color="auto" w:fill="FFFFFF"/>
        </w:rPr>
        <w:t xml:space="preserve">Verdier, E. (2013), </w:t>
      </w:r>
      <w:r w:rsidRPr="00CB46AB">
        <w:rPr>
          <w:i/>
          <w:szCs w:val="20"/>
          <w:shd w:val="clear" w:color="auto" w:fill="FFFFFF"/>
        </w:rPr>
        <w:t>Lifelong Learning Regimes Versus VET Systems in Europe,</w:t>
      </w:r>
      <w:r w:rsidRPr="00CB46AB">
        <w:rPr>
          <w:szCs w:val="20"/>
          <w:shd w:val="clear" w:color="auto" w:fill="FFFFFF"/>
        </w:rPr>
        <w:t xml:space="preserve"> in: </w:t>
      </w:r>
      <w:hyperlink r:id="rId100" w:history="1">
        <w:r w:rsidRPr="00CB46AB">
          <w:rPr>
            <w:rStyle w:val="Hyperlink"/>
            <w:color w:val="333333"/>
            <w:szCs w:val="20"/>
            <w:lang w:val="en-US"/>
          </w:rPr>
          <w:t>Janmaat</w:t>
        </w:r>
      </w:hyperlink>
      <w:r w:rsidRPr="00CB46AB">
        <w:rPr>
          <w:szCs w:val="20"/>
          <w:lang w:val="en-US"/>
        </w:rPr>
        <w:t xml:space="preserve">, G-J., </w:t>
      </w:r>
      <w:hyperlink r:id="rId101" w:history="1">
        <w:r w:rsidRPr="00CB46AB">
          <w:rPr>
            <w:rStyle w:val="Hyperlink"/>
            <w:color w:val="333333"/>
            <w:szCs w:val="20"/>
            <w:lang w:val="en-US"/>
          </w:rPr>
          <w:t>Duru-Bellat</w:t>
        </w:r>
      </w:hyperlink>
      <w:r w:rsidRPr="00CB46AB">
        <w:rPr>
          <w:szCs w:val="20"/>
          <w:lang w:val="en-US"/>
        </w:rPr>
        <w:t xml:space="preserve">, M., Green, A. and </w:t>
      </w:r>
      <w:hyperlink r:id="rId102" w:history="1">
        <w:r w:rsidRPr="00CB46AB">
          <w:rPr>
            <w:rStyle w:val="Hyperlink"/>
            <w:color w:val="333333"/>
            <w:szCs w:val="20"/>
            <w:lang w:val="en-US"/>
          </w:rPr>
          <w:t>Méhaut</w:t>
        </w:r>
      </w:hyperlink>
      <w:r w:rsidRPr="00CB46AB">
        <w:rPr>
          <w:szCs w:val="20"/>
          <w:lang w:val="en-US"/>
        </w:rPr>
        <w:t xml:space="preserve">, P. (eds), </w:t>
      </w:r>
      <w:r w:rsidRPr="00CB46AB">
        <w:rPr>
          <w:kern w:val="36"/>
          <w:szCs w:val="20"/>
          <w:lang w:val="en-US"/>
        </w:rPr>
        <w:t xml:space="preserve">The Dynamics and Social Outcomes of Education Systems, London: Palgrave </w:t>
      </w:r>
    </w:p>
    <w:p w:rsidR="00211990" w:rsidRPr="00CB46AB" w:rsidRDefault="00211990" w:rsidP="00CB46AB">
      <w:pPr>
        <w:spacing w:after="120" w:line="288" w:lineRule="auto"/>
        <w:rPr>
          <w:rFonts w:cs="Arial"/>
          <w:szCs w:val="20"/>
        </w:rPr>
      </w:pPr>
      <w:r w:rsidRPr="00CB46AB">
        <w:rPr>
          <w:rFonts w:cs="Arial"/>
          <w:szCs w:val="20"/>
          <w:lang w:val="es-ES"/>
        </w:rPr>
        <w:t xml:space="preserve">Villar, A (2013), </w:t>
      </w:r>
      <w:r w:rsidRPr="00CB46AB">
        <w:rPr>
          <w:rFonts w:cs="Arial"/>
          <w:i/>
          <w:szCs w:val="20"/>
          <w:lang w:val="es-ES"/>
        </w:rPr>
        <w:t>Formación y habilidades cognitivas en la población adulta española. Comparación intergeneracional de los conocimientos matemáticos a partir de los datos del PIAAC</w:t>
      </w:r>
      <w:r w:rsidRPr="00CB46AB">
        <w:rPr>
          <w:rFonts w:cs="Arial"/>
          <w:szCs w:val="20"/>
          <w:lang w:val="es-ES"/>
        </w:rPr>
        <w:t xml:space="preserve">, (Training and cognitive abilities in Spanish adult population. Intergenerational comparison of mathematical knowledge based on PIAAC data), in: INEE and OECD, PIAAC 2013, Programa Internacional para la Evaluación de las Competencias de la Población Adulta, Volumen II (International Programme for the Assessment of Adult Competences, Volume II). </w:t>
      </w:r>
      <w:r w:rsidRPr="00CB46AB">
        <w:rPr>
          <w:rFonts w:cs="Arial"/>
          <w:szCs w:val="20"/>
        </w:rPr>
        <w:t xml:space="preserve">Available at: </w:t>
      </w:r>
      <w:hyperlink r:id="rId103" w:history="1">
        <w:r w:rsidRPr="00CB46AB">
          <w:rPr>
            <w:rStyle w:val="Hyperlink"/>
            <w:rFonts w:cs="Arial"/>
            <w:color w:val="333333"/>
            <w:szCs w:val="20"/>
          </w:rPr>
          <w:t>http://www.mecd.gob.es/dctm/inee/internacional/piaac/piaac2013vol2.pdf?documentId=0901e72b81770705</w:t>
        </w:r>
      </w:hyperlink>
      <w:r w:rsidRPr="00CB46AB">
        <w:rPr>
          <w:rFonts w:cs="Arial"/>
          <w:szCs w:val="20"/>
        </w:rPr>
        <w:t xml:space="preserve"> </w:t>
      </w:r>
    </w:p>
    <w:p w:rsidR="00932C08" w:rsidRPr="00CB46AB" w:rsidRDefault="00932C08" w:rsidP="00CB46AB">
      <w:pPr>
        <w:spacing w:after="120" w:line="288" w:lineRule="auto"/>
        <w:ind w:left="720" w:hanging="720"/>
        <w:rPr>
          <w:bCs/>
          <w:szCs w:val="20"/>
        </w:rPr>
      </w:pPr>
    </w:p>
    <w:p w:rsidR="00932C08" w:rsidRPr="00CB46AB" w:rsidRDefault="00932C08" w:rsidP="00CB46AB">
      <w:pPr>
        <w:spacing w:after="120" w:line="288" w:lineRule="auto"/>
        <w:rPr>
          <w:rFonts w:cs="Arial"/>
          <w:szCs w:val="20"/>
        </w:rPr>
      </w:pPr>
    </w:p>
    <w:p w:rsidR="008F4AE2" w:rsidRDefault="008F4AE2" w:rsidP="00CB46AB">
      <w:pPr>
        <w:pStyle w:val="Annexheading2"/>
        <w:rPr>
          <w:rStyle w:val="element-citation"/>
          <w:rFonts w:ascii="Verdana" w:hAnsi="Verdana" w:cs="Arial"/>
          <w:color w:val="333333"/>
          <w:sz w:val="20"/>
          <w:szCs w:val="20"/>
        </w:rPr>
        <w:sectPr w:rsidR="008F4AE2" w:rsidSect="003D6176">
          <w:footerReference w:type="default" r:id="rId104"/>
          <w:headerReference w:type="first" r:id="rId105"/>
          <w:footerReference w:type="first" r:id="rId106"/>
          <w:pgSz w:w="11906" w:h="16838" w:code="9"/>
          <w:pgMar w:top="1985" w:right="1418" w:bottom="1418" w:left="1701" w:header="709" w:footer="709" w:gutter="0"/>
          <w:cols w:space="708"/>
          <w:titlePg/>
          <w:docGrid w:linePitch="360"/>
        </w:sectPr>
      </w:pPr>
    </w:p>
    <w:p w:rsidR="00211990" w:rsidRDefault="00211990" w:rsidP="00CB46AB">
      <w:pPr>
        <w:pStyle w:val="Annexheading2"/>
        <w:rPr>
          <w:rFonts w:ascii="Verdana" w:hAnsi="Verdana"/>
          <w:b w:val="0"/>
        </w:rPr>
      </w:pPr>
      <w:r w:rsidRPr="00E13A24">
        <w:rPr>
          <w:rFonts w:ascii="Verdana" w:hAnsi="Verdana"/>
          <w:b w:val="0"/>
        </w:rPr>
        <w:t xml:space="preserve">Annex II – </w:t>
      </w:r>
      <w:r>
        <w:rPr>
          <w:rFonts w:ascii="Verdana" w:hAnsi="Verdana"/>
          <w:b w:val="0"/>
        </w:rPr>
        <w:t>Study methodology</w:t>
      </w:r>
    </w:p>
    <w:p w:rsidR="00CB46AB" w:rsidRDefault="00211990" w:rsidP="00CB46AB">
      <w:pPr>
        <w:pStyle w:val="BodyText"/>
      </w:pPr>
      <w:r>
        <w:t>In this annex</w:t>
      </w:r>
      <w:r w:rsidRPr="005936AE">
        <w:t xml:space="preserve">, we present a brief overview of </w:t>
      </w:r>
      <w:r>
        <w:t xml:space="preserve">the study methodology. </w:t>
      </w:r>
      <w:r w:rsidRPr="005936AE">
        <w:t>The diagram below presents an overview of the full set of work packages (WPs)</w:t>
      </w:r>
      <w:r>
        <w:t xml:space="preserve"> for this study, including timings. Subsequently, details on the implemented Work Packages are provided.</w:t>
      </w:r>
      <w:bookmarkStart w:id="232" w:name="_Toc409537505"/>
      <w:bookmarkStart w:id="233" w:name="_Toc426718815"/>
      <w:bookmarkStart w:id="234" w:name="_Toc426719011"/>
      <w:bookmarkStart w:id="235" w:name="_Toc427069081"/>
    </w:p>
    <w:p w:rsidR="00211990" w:rsidRPr="00CB46AB" w:rsidRDefault="00211990" w:rsidP="00CB46AB">
      <w:pPr>
        <w:pStyle w:val="BodyText"/>
        <w:rPr>
          <w:color w:val="1F497D" w:themeColor="text2"/>
        </w:rPr>
      </w:pPr>
      <w:r w:rsidRPr="00CB46AB">
        <w:rPr>
          <w:color w:val="1F497D" w:themeColor="text2"/>
        </w:rPr>
        <w:t xml:space="preserve">Figure A1 Overview of the work packages (WPs) and </w:t>
      </w:r>
      <w:bookmarkEnd w:id="232"/>
      <w:bookmarkEnd w:id="233"/>
      <w:bookmarkEnd w:id="234"/>
      <w:bookmarkEnd w:id="235"/>
      <w:r w:rsidRPr="00CB46AB">
        <w:rPr>
          <w:color w:val="1F497D" w:themeColor="text2"/>
        </w:rPr>
        <w:t>timetable</w:t>
      </w:r>
    </w:p>
    <w:p w:rsidR="00211990" w:rsidRPr="005936AE" w:rsidRDefault="00CB46AB" w:rsidP="00211990">
      <w:pPr>
        <w:pStyle w:val="Caption"/>
        <w:jc w:val="left"/>
        <w:rPr>
          <w:rFonts w:cs="Arial"/>
          <w:b w:val="0"/>
          <w:color w:val="365F91"/>
          <w:sz w:val="20"/>
          <w:highlight w:val="yellow"/>
        </w:rPr>
      </w:pPr>
      <w:r w:rsidRPr="005936AE">
        <w:rPr>
          <w:rFonts w:cs="Arial"/>
          <w:sz w:val="20"/>
        </w:rPr>
        <w:object w:dxaOrig="9352" w:dyaOrig="10543">
          <v:shape id="_x0000_i1030" type="#_x0000_t75" style="width:444.7pt;height:503.45pt" o:ole="">
            <v:imagedata r:id="rId107" o:title=""/>
          </v:shape>
          <o:OLEObject Type="Embed" ProgID="Visio.Drawing.11" ShapeID="_x0000_i1030" DrawAspect="Content" ObjectID="_1802864917" r:id="rId108"/>
        </w:object>
      </w:r>
    </w:p>
    <w:p w:rsidR="00211990" w:rsidRPr="005936AE" w:rsidRDefault="00211990" w:rsidP="00211990">
      <w:pPr>
        <w:rPr>
          <w:rFonts w:cs="Arial"/>
          <w:b/>
          <w:color w:val="003C64"/>
          <w:szCs w:val="20"/>
          <w:highlight w:val="yellow"/>
        </w:rPr>
      </w:pPr>
      <w:bookmarkStart w:id="236" w:name="_Toc410125743"/>
      <w:r w:rsidRPr="005936AE">
        <w:rPr>
          <w:szCs w:val="20"/>
          <w:highlight w:val="yellow"/>
        </w:rPr>
        <w:br w:type="page"/>
      </w:r>
    </w:p>
    <w:p w:rsidR="00211990" w:rsidRPr="003C1E6D" w:rsidRDefault="00211990" w:rsidP="00211990">
      <w:pPr>
        <w:pStyle w:val="Heading2"/>
        <w:spacing w:before="0" w:after="120" w:line="288" w:lineRule="auto"/>
        <w:rPr>
          <w:color w:val="1F497D" w:themeColor="text2"/>
          <w:sz w:val="20"/>
          <w:szCs w:val="20"/>
        </w:rPr>
      </w:pPr>
      <w:bookmarkStart w:id="237" w:name="_Toc415752883"/>
      <w:bookmarkStart w:id="238" w:name="_Toc415753035"/>
      <w:bookmarkStart w:id="239" w:name="_Toc416182683"/>
      <w:bookmarkStart w:id="240" w:name="_Toc426718817"/>
      <w:bookmarkStart w:id="241" w:name="_Toc426719013"/>
      <w:bookmarkStart w:id="242" w:name="_Toc427069083"/>
      <w:bookmarkStart w:id="243" w:name="_Toc427154719"/>
      <w:bookmarkStart w:id="244" w:name="_Toc427232446"/>
      <w:bookmarkStart w:id="245" w:name="_Toc435802117"/>
      <w:r w:rsidRPr="003C1E6D">
        <w:rPr>
          <w:color w:val="1F497D" w:themeColor="text2"/>
          <w:sz w:val="20"/>
          <w:szCs w:val="20"/>
        </w:rPr>
        <w:t>Work Package 1: Inception phase</w:t>
      </w:r>
      <w:bookmarkEnd w:id="236"/>
      <w:bookmarkEnd w:id="237"/>
      <w:bookmarkEnd w:id="238"/>
      <w:bookmarkEnd w:id="239"/>
      <w:bookmarkEnd w:id="240"/>
      <w:bookmarkEnd w:id="241"/>
      <w:bookmarkEnd w:id="242"/>
      <w:bookmarkEnd w:id="243"/>
      <w:bookmarkEnd w:id="244"/>
      <w:bookmarkEnd w:id="245"/>
    </w:p>
    <w:p w:rsidR="00211990" w:rsidRPr="003C1E6D" w:rsidRDefault="00211990" w:rsidP="00211990">
      <w:pPr>
        <w:spacing w:after="120" w:line="288" w:lineRule="auto"/>
        <w:rPr>
          <w:szCs w:val="20"/>
        </w:rPr>
      </w:pPr>
      <w:r w:rsidRPr="003C1E6D">
        <w:rPr>
          <w:szCs w:val="20"/>
        </w:rPr>
        <w:t>The study kick-off meeting was held on 18 March 2015 at DG EAC, involving representatives from DG EAC, and the Project Director and Manager from Ecorys. Following this meeting, an internal kick-off meeting of the core study team (Ecorys and LLAKES) took place in London on  20 March 2015, where the Project Director and Manager provided feedback from the kick-off meeting and the further refinement of the methodology was discussed in detail.</w:t>
      </w:r>
    </w:p>
    <w:p w:rsidR="00211990" w:rsidRPr="003C1E6D" w:rsidRDefault="00211990" w:rsidP="00211990">
      <w:pPr>
        <w:spacing w:after="120" w:line="288" w:lineRule="auto"/>
        <w:rPr>
          <w:szCs w:val="20"/>
        </w:rPr>
      </w:pPr>
      <w:r w:rsidRPr="003C1E6D">
        <w:rPr>
          <w:szCs w:val="20"/>
        </w:rPr>
        <w:t>Taking into account the feedback received during the kick-off meeting from DG EAC, the core team refined the study methodology in consultation with the Scientific Committee, namely Prof. Richard Desjardins, Prof. Beatrice Rammstedt and Prof. Patrick Werquin. The purpose of the peer review through the Scientific Committee was in particular to assess the validity and feasibility of the proposed research methodology and to suggest any changes. Following the internal review, the core team drafted a revised 13-page summary paper on the statistical methodology, which was submitted to DG EAC as an annex to the Inception Report.</w:t>
      </w:r>
    </w:p>
    <w:p w:rsidR="00211990" w:rsidRPr="003C1E6D" w:rsidRDefault="00211990" w:rsidP="00211990">
      <w:pPr>
        <w:spacing w:after="120" w:line="288" w:lineRule="auto"/>
        <w:rPr>
          <w:szCs w:val="20"/>
        </w:rPr>
      </w:pPr>
      <w:r w:rsidRPr="003C1E6D">
        <w:rPr>
          <w:szCs w:val="20"/>
        </w:rPr>
        <w:t>The Inception Report was submitted to DG EAC on 9 April 2015, comprising an overview of progress in the inception phase, the refined methodology and an overview of the work organisation for the study. The annexes included the minutes of the kick-off meeting, the final method paper and the preliminary bibliography for the desk research phase. Further to minor revisions suggested by DG EAC, the Inception Report was approved at the end of April 2015.</w:t>
      </w:r>
    </w:p>
    <w:p w:rsidR="00211990" w:rsidRPr="003C1E6D" w:rsidRDefault="00211990" w:rsidP="00211990">
      <w:pPr>
        <w:pStyle w:val="BodyText"/>
        <w:spacing w:line="288" w:lineRule="auto"/>
        <w:rPr>
          <w:szCs w:val="20"/>
        </w:rPr>
      </w:pPr>
      <w:r w:rsidRPr="003C1E6D">
        <w:rPr>
          <w:szCs w:val="20"/>
        </w:rPr>
        <w:t>Throughout the inception phase, both informal and formal exchanges took place with both the interim DG EAC Project Manager responsible for the study, Susanne von Below, and Geir Ottestad, who took responsibility as the DG EAC Project Manager from 23 March 2015.</w:t>
      </w:r>
    </w:p>
    <w:p w:rsidR="00211990" w:rsidRPr="003C1E6D" w:rsidRDefault="00211990" w:rsidP="00211990">
      <w:pPr>
        <w:pStyle w:val="Heading2"/>
        <w:spacing w:before="0" w:after="120" w:line="288" w:lineRule="auto"/>
        <w:ind w:left="1134" w:hanging="1134"/>
        <w:rPr>
          <w:sz w:val="20"/>
          <w:szCs w:val="20"/>
        </w:rPr>
      </w:pPr>
      <w:bookmarkStart w:id="246" w:name="_Toc410125747"/>
      <w:bookmarkStart w:id="247" w:name="_Toc415752887"/>
      <w:bookmarkStart w:id="248" w:name="_Toc415753039"/>
      <w:bookmarkStart w:id="249" w:name="_Toc416182687"/>
      <w:bookmarkStart w:id="250" w:name="_Toc426718818"/>
      <w:bookmarkStart w:id="251" w:name="_Toc426719014"/>
      <w:bookmarkStart w:id="252" w:name="_Toc427069084"/>
      <w:bookmarkStart w:id="253" w:name="_Toc427154720"/>
      <w:bookmarkStart w:id="254" w:name="_Toc427232447"/>
      <w:bookmarkStart w:id="255" w:name="_Toc435802118"/>
      <w:bookmarkStart w:id="256" w:name="_Toc351620233"/>
      <w:r w:rsidRPr="003C1E6D">
        <w:rPr>
          <w:sz w:val="20"/>
          <w:szCs w:val="20"/>
        </w:rPr>
        <w:t>Work Package 2: Desk research</w:t>
      </w:r>
      <w:bookmarkEnd w:id="246"/>
      <w:bookmarkEnd w:id="247"/>
      <w:bookmarkEnd w:id="248"/>
      <w:bookmarkEnd w:id="249"/>
      <w:bookmarkEnd w:id="250"/>
      <w:bookmarkEnd w:id="251"/>
      <w:bookmarkEnd w:id="252"/>
      <w:bookmarkEnd w:id="253"/>
      <w:bookmarkEnd w:id="254"/>
      <w:bookmarkEnd w:id="255"/>
    </w:p>
    <w:p w:rsidR="00211990" w:rsidRPr="003C1E6D" w:rsidRDefault="00211990" w:rsidP="00211990">
      <w:pPr>
        <w:pStyle w:val="BodyText"/>
        <w:spacing w:line="288" w:lineRule="auto"/>
        <w:rPr>
          <w:rFonts w:cs="Arial"/>
          <w:szCs w:val="20"/>
        </w:rPr>
      </w:pPr>
      <w:r w:rsidRPr="003C1E6D">
        <w:rPr>
          <w:szCs w:val="20"/>
        </w:rPr>
        <w:t xml:space="preserve">The desk research began in April 2015, with the aim of </w:t>
      </w:r>
      <w:r w:rsidRPr="003C1E6D">
        <w:rPr>
          <w:rFonts w:cs="Arial"/>
          <w:szCs w:val="20"/>
        </w:rPr>
        <w:t>gathering, structuring and summarising the latest and most relevant research on the study topic, in particular on the link between education systems and formal educational attainment at secondary and tertiary level and young people’s competence levels. Given the limited timeframe available for this study, the rapid evidence assessment (REA) methodology was used, allowing the application of a rigorous and systematic methodology focusing on specific research questions, as set out in our Inception Report.</w:t>
      </w:r>
    </w:p>
    <w:p w:rsidR="00211990" w:rsidRPr="003C1E6D" w:rsidRDefault="00211990" w:rsidP="00211990">
      <w:pPr>
        <w:pStyle w:val="BodyText"/>
        <w:spacing w:line="288" w:lineRule="auto"/>
        <w:rPr>
          <w:rFonts w:cs="Arial"/>
          <w:szCs w:val="20"/>
        </w:rPr>
      </w:pPr>
      <w:r w:rsidRPr="003C1E6D">
        <w:rPr>
          <w:rFonts w:cs="Arial"/>
          <w:szCs w:val="20"/>
        </w:rPr>
        <w:t>On the basis of the research questions, a literature search and screening process was conducted focusing on both EU and non-EU literature, including literature covering all OECD countries. The search included academic literature extracted from a wide range of general bibliographic databases covering education and the social sciences, policy literature extracted from websites of key organisations, publication lists of key experts, and references harvested from key documents and previous reviews. Further to the literature collection, screening and appraisal process, the most relevant sources were identified; a full bibliography of sources consulted can be found in Annex I.</w:t>
      </w:r>
    </w:p>
    <w:p w:rsidR="00211990" w:rsidRPr="003C1E6D" w:rsidRDefault="00211990" w:rsidP="00211990">
      <w:pPr>
        <w:pStyle w:val="BodyText"/>
        <w:spacing w:line="288" w:lineRule="auto"/>
        <w:rPr>
          <w:rFonts w:cs="Arial"/>
          <w:b/>
          <w:color w:val="003C64"/>
          <w:szCs w:val="20"/>
          <w:highlight w:val="yellow"/>
        </w:rPr>
      </w:pPr>
      <w:r w:rsidRPr="003C1E6D">
        <w:rPr>
          <w:rFonts w:cs="Arial"/>
          <w:szCs w:val="20"/>
        </w:rPr>
        <w:t xml:space="preserve">The selected literature was then reviewed in detail, and summarised in response to the specific research questions. Output from the desk review has been included in </w:t>
      </w:r>
      <w:r>
        <w:rPr>
          <w:rFonts w:cs="Arial"/>
          <w:szCs w:val="20"/>
        </w:rPr>
        <w:t>this draft final report.</w:t>
      </w:r>
      <w:bookmarkStart w:id="257" w:name="_Toc410125752"/>
      <w:bookmarkStart w:id="258" w:name="_Toc415752892"/>
      <w:bookmarkStart w:id="259" w:name="_Toc415753044"/>
      <w:bookmarkStart w:id="260" w:name="_Toc416182692"/>
    </w:p>
    <w:p w:rsidR="00211990" w:rsidRPr="003C1E6D" w:rsidRDefault="00211990" w:rsidP="00211990">
      <w:pPr>
        <w:pStyle w:val="Heading2"/>
        <w:spacing w:before="0" w:after="120" w:line="288" w:lineRule="auto"/>
        <w:ind w:left="1134" w:hanging="1134"/>
        <w:jc w:val="left"/>
        <w:rPr>
          <w:sz w:val="20"/>
          <w:szCs w:val="20"/>
        </w:rPr>
      </w:pPr>
      <w:bookmarkStart w:id="261" w:name="_Toc426718819"/>
      <w:bookmarkStart w:id="262" w:name="_Toc426719015"/>
      <w:bookmarkStart w:id="263" w:name="_Toc427069085"/>
      <w:bookmarkStart w:id="264" w:name="_Toc427154721"/>
      <w:bookmarkStart w:id="265" w:name="_Toc427232448"/>
      <w:bookmarkStart w:id="266" w:name="_Toc435802119"/>
      <w:r w:rsidRPr="003C1E6D">
        <w:rPr>
          <w:sz w:val="20"/>
          <w:szCs w:val="20"/>
        </w:rPr>
        <w:t>Work Package 3: Statistical analysis</w:t>
      </w:r>
      <w:bookmarkEnd w:id="257"/>
      <w:bookmarkEnd w:id="258"/>
      <w:bookmarkEnd w:id="259"/>
      <w:bookmarkEnd w:id="260"/>
      <w:bookmarkEnd w:id="261"/>
      <w:bookmarkEnd w:id="262"/>
      <w:bookmarkEnd w:id="263"/>
      <w:bookmarkEnd w:id="264"/>
      <w:bookmarkEnd w:id="265"/>
      <w:bookmarkEnd w:id="266"/>
    </w:p>
    <w:p w:rsidR="00211990" w:rsidRPr="003C1E6D" w:rsidRDefault="00211990" w:rsidP="00211990">
      <w:pPr>
        <w:pStyle w:val="BodyText"/>
        <w:spacing w:line="288" w:lineRule="auto"/>
        <w:rPr>
          <w:szCs w:val="20"/>
        </w:rPr>
      </w:pPr>
      <w:r>
        <w:rPr>
          <w:szCs w:val="20"/>
        </w:rPr>
        <w:t>Work package 3 consisted</w:t>
      </w:r>
      <w:r w:rsidRPr="003C1E6D">
        <w:rPr>
          <w:szCs w:val="20"/>
        </w:rPr>
        <w:t xml:space="preserve"> of three distinct, but overlapping, tasks of statistical analysis which lie at the core of this study.</w:t>
      </w:r>
      <w:r w:rsidRPr="003C1E6D">
        <w:rPr>
          <w:rFonts w:cs="Arial"/>
          <w:szCs w:val="20"/>
          <w:lang w:eastAsia="en-US"/>
        </w:rPr>
        <w:t xml:space="preserve"> </w:t>
      </w:r>
      <w:r w:rsidRPr="003C1E6D">
        <w:rPr>
          <w:szCs w:val="20"/>
        </w:rPr>
        <w:t>We set out below an overview of the steps undertaken for the three strands of statistical analysis.</w:t>
      </w:r>
      <w:r>
        <w:rPr>
          <w:szCs w:val="20"/>
        </w:rPr>
        <w:t xml:space="preserve"> Methodological details are also provided in the relevant chapters throughout this report.</w:t>
      </w:r>
    </w:p>
    <w:p w:rsidR="00211990" w:rsidRPr="003C1E6D" w:rsidRDefault="00211990" w:rsidP="00211990">
      <w:pPr>
        <w:pStyle w:val="Heading2"/>
        <w:spacing w:before="0" w:after="120" w:line="288" w:lineRule="auto"/>
        <w:jc w:val="left"/>
        <w:rPr>
          <w:i/>
          <w:sz w:val="20"/>
          <w:szCs w:val="20"/>
        </w:rPr>
      </w:pPr>
      <w:bookmarkStart w:id="267" w:name="_Toc396404780"/>
      <w:bookmarkStart w:id="268" w:name="_Toc396405013"/>
      <w:bookmarkStart w:id="269" w:name="_Toc410125753"/>
      <w:bookmarkStart w:id="270" w:name="_Toc415752893"/>
      <w:bookmarkStart w:id="271" w:name="_Toc415753045"/>
      <w:bookmarkStart w:id="272" w:name="_Toc416182693"/>
      <w:bookmarkStart w:id="273" w:name="_Toc426718820"/>
      <w:bookmarkStart w:id="274" w:name="_Toc426719016"/>
      <w:bookmarkStart w:id="275" w:name="_Toc427069086"/>
      <w:bookmarkStart w:id="276" w:name="_Toc427154722"/>
      <w:bookmarkStart w:id="277" w:name="_Toc427232449"/>
      <w:bookmarkStart w:id="278" w:name="_Toc435802120"/>
      <w:r w:rsidRPr="003C1E6D">
        <w:rPr>
          <w:i/>
          <w:sz w:val="20"/>
          <w:szCs w:val="20"/>
        </w:rPr>
        <w:t>Task</w:t>
      </w:r>
      <w:bookmarkEnd w:id="267"/>
      <w:bookmarkEnd w:id="268"/>
      <w:r w:rsidRPr="003C1E6D">
        <w:rPr>
          <w:i/>
          <w:sz w:val="20"/>
          <w:szCs w:val="20"/>
        </w:rPr>
        <w:t xml:space="preserve"> 3.1 Analysis of formal educational attainment</w:t>
      </w:r>
      <w:bookmarkEnd w:id="269"/>
      <w:bookmarkEnd w:id="270"/>
      <w:bookmarkEnd w:id="271"/>
      <w:bookmarkEnd w:id="272"/>
      <w:bookmarkEnd w:id="273"/>
      <w:bookmarkEnd w:id="274"/>
      <w:bookmarkEnd w:id="275"/>
      <w:bookmarkEnd w:id="276"/>
      <w:bookmarkEnd w:id="277"/>
      <w:bookmarkEnd w:id="278"/>
    </w:p>
    <w:p w:rsidR="00211990" w:rsidRPr="003C1E6D" w:rsidRDefault="00211990" w:rsidP="00211990">
      <w:pPr>
        <w:spacing w:after="120" w:line="288" w:lineRule="auto"/>
        <w:rPr>
          <w:rFonts w:cs="Arial"/>
          <w:szCs w:val="20"/>
        </w:rPr>
      </w:pPr>
      <w:r w:rsidRPr="003C1E6D">
        <w:rPr>
          <w:rFonts w:cs="Arial"/>
          <w:szCs w:val="20"/>
        </w:rPr>
        <w:t xml:space="preserve">This task focused on the distribution and development of formal educational attainment levels across countries, within countries, and over time. The aim of this task was to increase our understanding of the degree of educational expansion which can be observed across the EU, therein providing the context for the subsequent analysis. </w:t>
      </w:r>
      <w:r w:rsidRPr="003C1E6D">
        <w:rPr>
          <w:rFonts w:cs="Arial"/>
          <w:bCs/>
          <w:szCs w:val="20"/>
        </w:rPr>
        <w:t>The educational attainment</w:t>
      </w:r>
      <w:r w:rsidRPr="003C1E6D">
        <w:rPr>
          <w:rFonts w:cs="Arial"/>
          <w:szCs w:val="20"/>
        </w:rPr>
        <w:t xml:space="preserve"> of an individual is the highest ISCED level successfully completed (ISCED 1997 – 6 level ISCED classification, but grouped in three groups). </w:t>
      </w:r>
    </w:p>
    <w:p w:rsidR="00211990" w:rsidRPr="003C1E6D" w:rsidRDefault="00211990" w:rsidP="00211990">
      <w:pPr>
        <w:spacing w:after="120" w:line="288" w:lineRule="auto"/>
        <w:rPr>
          <w:rFonts w:cs="Arial"/>
          <w:szCs w:val="20"/>
        </w:rPr>
      </w:pPr>
      <w:r w:rsidRPr="003C1E6D">
        <w:rPr>
          <w:rFonts w:cs="Arial"/>
          <w:szCs w:val="20"/>
        </w:rPr>
        <w:t>Two types of analysis were conducted and outputs produced:</w:t>
      </w:r>
    </w:p>
    <w:p w:rsidR="00211990" w:rsidRPr="003C1E6D" w:rsidRDefault="00211990" w:rsidP="00F90C88">
      <w:pPr>
        <w:pStyle w:val="ListParagraph"/>
        <w:keepNext/>
        <w:numPr>
          <w:ilvl w:val="0"/>
          <w:numId w:val="48"/>
        </w:numPr>
        <w:spacing w:after="120" w:line="288" w:lineRule="auto"/>
        <w:ind w:right="170"/>
        <w:rPr>
          <w:rFonts w:cs="Arial"/>
          <w:szCs w:val="20"/>
        </w:rPr>
      </w:pPr>
      <w:r w:rsidRPr="00F432C4">
        <w:rPr>
          <w:rFonts w:cs="Arial"/>
          <w:b/>
          <w:color w:val="1F497D" w:themeColor="text2"/>
          <w:szCs w:val="20"/>
        </w:rPr>
        <w:t>Time-series</w:t>
      </w:r>
      <w:r w:rsidRPr="00F432C4">
        <w:rPr>
          <w:rFonts w:cs="Arial"/>
          <w:color w:val="1F497D" w:themeColor="text2"/>
          <w:szCs w:val="20"/>
        </w:rPr>
        <w:t xml:space="preserve"> </w:t>
      </w:r>
      <w:r w:rsidRPr="003C1E6D">
        <w:rPr>
          <w:rFonts w:cs="Arial"/>
          <w:szCs w:val="20"/>
        </w:rPr>
        <w:t xml:space="preserve">of shares of lower secondary, upper secondary and tertiary graduates in the age-group 25-34 (‘young people’) for each Member State and for the EU28, 2004-2014; for some Member States longer uninterrupted (or near uninterrupted) time series are available and were used (e.g. from 1992 for BE, DE, DK, EL, ES, FR, IE, IT, LU, PT, UK); </w:t>
      </w:r>
    </w:p>
    <w:p w:rsidR="00211990" w:rsidRPr="003C1E6D" w:rsidRDefault="00211990" w:rsidP="00F90C88">
      <w:pPr>
        <w:pStyle w:val="ListParagraph"/>
        <w:keepNext/>
        <w:numPr>
          <w:ilvl w:val="0"/>
          <w:numId w:val="48"/>
        </w:numPr>
        <w:spacing w:after="120" w:line="288" w:lineRule="auto"/>
        <w:ind w:right="170"/>
        <w:rPr>
          <w:rFonts w:cs="Arial"/>
          <w:szCs w:val="20"/>
        </w:rPr>
      </w:pPr>
      <w:r w:rsidRPr="003C1E6D">
        <w:rPr>
          <w:rFonts w:cs="Arial"/>
          <w:szCs w:val="20"/>
        </w:rPr>
        <w:t xml:space="preserve">Comparison </w:t>
      </w:r>
      <w:r w:rsidRPr="00F432C4">
        <w:rPr>
          <w:rFonts w:cs="Arial"/>
          <w:b/>
          <w:color w:val="1F497D" w:themeColor="text2"/>
          <w:szCs w:val="20"/>
        </w:rPr>
        <w:t>of highest educational attainment by age cohorts</w:t>
      </w:r>
      <w:r w:rsidRPr="00F432C4">
        <w:rPr>
          <w:rFonts w:cs="Arial"/>
          <w:color w:val="1F497D" w:themeColor="text2"/>
          <w:szCs w:val="20"/>
        </w:rPr>
        <w:t xml:space="preserve"> </w:t>
      </w:r>
      <w:r w:rsidRPr="003C1E6D">
        <w:rPr>
          <w:rFonts w:cs="Arial"/>
          <w:szCs w:val="20"/>
        </w:rPr>
        <w:t>(25-34, 35-44, 45-54, 55-64</w:t>
      </w:r>
      <w:r w:rsidRPr="003C1E6D">
        <w:rPr>
          <w:rFonts w:cs="Arial"/>
          <w:szCs w:val="20"/>
          <w:vertAlign w:val="superscript"/>
        </w:rPr>
        <w:footnoteReference w:id="32"/>
      </w:r>
      <w:r w:rsidRPr="003C1E6D">
        <w:rPr>
          <w:rFonts w:cs="Arial"/>
          <w:szCs w:val="20"/>
        </w:rPr>
        <w:t xml:space="preserve">) for the most recent year available (2013). </w:t>
      </w:r>
    </w:p>
    <w:p w:rsidR="00211990" w:rsidRPr="003C1E6D" w:rsidRDefault="00211990" w:rsidP="00211990">
      <w:pPr>
        <w:pStyle w:val="Heading2"/>
        <w:spacing w:before="0" w:after="120" w:line="288" w:lineRule="auto"/>
        <w:jc w:val="left"/>
        <w:rPr>
          <w:i/>
          <w:sz w:val="20"/>
          <w:szCs w:val="20"/>
        </w:rPr>
      </w:pPr>
      <w:bookmarkStart w:id="279" w:name="_Toc396404779"/>
      <w:bookmarkStart w:id="280" w:name="_Toc396405012"/>
      <w:bookmarkStart w:id="281" w:name="_Toc410125754"/>
      <w:bookmarkStart w:id="282" w:name="_Toc415752894"/>
      <w:bookmarkStart w:id="283" w:name="_Toc415753046"/>
      <w:bookmarkStart w:id="284" w:name="_Toc416182694"/>
      <w:bookmarkStart w:id="285" w:name="_Toc426718821"/>
      <w:bookmarkStart w:id="286" w:name="_Toc426719017"/>
      <w:bookmarkStart w:id="287" w:name="_Toc427069087"/>
      <w:bookmarkStart w:id="288" w:name="_Toc427154723"/>
      <w:bookmarkStart w:id="289" w:name="_Toc427232450"/>
      <w:bookmarkStart w:id="290" w:name="_Toc435802121"/>
      <w:r w:rsidRPr="003C1E6D">
        <w:rPr>
          <w:i/>
          <w:sz w:val="20"/>
          <w:szCs w:val="20"/>
        </w:rPr>
        <w:t xml:space="preserve">Task 3.2 </w:t>
      </w:r>
      <w:bookmarkEnd w:id="279"/>
      <w:bookmarkEnd w:id="280"/>
      <w:r w:rsidRPr="003C1E6D">
        <w:rPr>
          <w:i/>
          <w:sz w:val="20"/>
          <w:szCs w:val="20"/>
        </w:rPr>
        <w:t>Analysis of average proficiency and distribution of basic competences</w:t>
      </w:r>
      <w:bookmarkEnd w:id="281"/>
      <w:bookmarkEnd w:id="282"/>
      <w:bookmarkEnd w:id="283"/>
      <w:bookmarkEnd w:id="284"/>
      <w:bookmarkEnd w:id="285"/>
      <w:bookmarkEnd w:id="286"/>
      <w:bookmarkEnd w:id="287"/>
      <w:bookmarkEnd w:id="288"/>
      <w:bookmarkEnd w:id="289"/>
      <w:bookmarkEnd w:id="290"/>
    </w:p>
    <w:p w:rsidR="00211990" w:rsidRPr="003C1E6D" w:rsidRDefault="00211990" w:rsidP="00211990">
      <w:pPr>
        <w:pStyle w:val="BodyText"/>
        <w:spacing w:line="288" w:lineRule="auto"/>
        <w:rPr>
          <w:rFonts w:cs="Arial"/>
          <w:szCs w:val="20"/>
          <w:lang w:eastAsia="en-US"/>
        </w:rPr>
      </w:pPr>
      <w:r w:rsidRPr="003C1E6D">
        <w:rPr>
          <w:rFonts w:cs="Arial"/>
          <w:szCs w:val="20"/>
          <w:lang w:eastAsia="en-US"/>
        </w:rPr>
        <w:t>This task aimed to provide an analysis of the average performance and distribution of proficiency in literacy and numeracy amongst young adults across Europe. The analysis focused on developments across and within countries and over time, identifying patterns and groups of countries with similar results, using data from PIAAC and IALS. The analysis followed four steps:</w:t>
      </w:r>
    </w:p>
    <w:p w:rsidR="00211990" w:rsidRPr="003C1E6D" w:rsidRDefault="00211990" w:rsidP="00F90C88">
      <w:pPr>
        <w:pStyle w:val="ListParagraph"/>
        <w:keepNext/>
        <w:numPr>
          <w:ilvl w:val="0"/>
          <w:numId w:val="49"/>
        </w:numPr>
        <w:spacing w:after="120" w:line="288" w:lineRule="auto"/>
        <w:ind w:right="170"/>
        <w:rPr>
          <w:rFonts w:cs="Arial"/>
          <w:szCs w:val="20"/>
        </w:rPr>
      </w:pPr>
      <w:r w:rsidRPr="003C1E6D">
        <w:rPr>
          <w:rFonts w:cs="Arial"/>
          <w:szCs w:val="20"/>
        </w:rPr>
        <w:t xml:space="preserve">Analysis of average and distribution (percentiles) of competence scores in literacy and numeracy for the age-group of 20-34 year olds; </w:t>
      </w:r>
    </w:p>
    <w:p w:rsidR="00211990" w:rsidRPr="003C1E6D" w:rsidRDefault="00211990" w:rsidP="00F90C88">
      <w:pPr>
        <w:pStyle w:val="ListParagraph"/>
        <w:numPr>
          <w:ilvl w:val="0"/>
          <w:numId w:val="49"/>
        </w:numPr>
        <w:spacing w:after="120" w:line="288" w:lineRule="auto"/>
        <w:ind w:right="170"/>
        <w:rPr>
          <w:rFonts w:cs="Arial"/>
          <w:szCs w:val="20"/>
        </w:rPr>
      </w:pPr>
      <w:r w:rsidRPr="003C1E6D">
        <w:rPr>
          <w:rFonts w:cs="Arial"/>
          <w:szCs w:val="20"/>
        </w:rPr>
        <w:t xml:space="preserve">Analysis of distribution of literacy and numeracy scores at different competence levels for this age-group; </w:t>
      </w:r>
    </w:p>
    <w:p w:rsidR="00211990" w:rsidRPr="003C1E6D" w:rsidRDefault="00211990" w:rsidP="00F90C88">
      <w:pPr>
        <w:pStyle w:val="ListParagraph"/>
        <w:numPr>
          <w:ilvl w:val="0"/>
          <w:numId w:val="49"/>
        </w:numPr>
        <w:spacing w:after="120" w:line="288" w:lineRule="auto"/>
        <w:ind w:right="170"/>
        <w:rPr>
          <w:rFonts w:cs="Arial"/>
          <w:szCs w:val="20"/>
        </w:rPr>
      </w:pPr>
      <w:r w:rsidRPr="003C1E6D">
        <w:rPr>
          <w:rFonts w:cs="Arial"/>
          <w:szCs w:val="20"/>
        </w:rPr>
        <w:t xml:space="preserve">Providing further detail on the average proficiency in literacy and numeracy across countries, by highest level of formal educational attainment; </w:t>
      </w:r>
    </w:p>
    <w:p w:rsidR="00211990" w:rsidRPr="003C1E6D" w:rsidRDefault="00211990" w:rsidP="00F90C88">
      <w:pPr>
        <w:pStyle w:val="ListParagraph"/>
        <w:numPr>
          <w:ilvl w:val="0"/>
          <w:numId w:val="49"/>
        </w:numPr>
        <w:spacing w:after="120" w:line="288" w:lineRule="auto"/>
        <w:ind w:right="170"/>
        <w:rPr>
          <w:rFonts w:cs="Arial"/>
          <w:szCs w:val="20"/>
        </w:rPr>
      </w:pPr>
      <w:r w:rsidRPr="003C1E6D">
        <w:rPr>
          <w:rFonts w:cs="Arial"/>
          <w:szCs w:val="20"/>
        </w:rPr>
        <w:t xml:space="preserve">An analysis of the changes in average proficiency levels and distribution over time, comparing literacy competence proficiency of ‘young people’ as assessed by the International Adult Literacy Survey in the mid-1990s with PIAAC collected 16 years later, for those EU Member States included in both surveys. </w:t>
      </w:r>
    </w:p>
    <w:p w:rsidR="00211990" w:rsidRPr="003C1E6D" w:rsidRDefault="00211990" w:rsidP="00211990">
      <w:pPr>
        <w:pStyle w:val="Heading2"/>
        <w:spacing w:before="0" w:after="120" w:line="288" w:lineRule="auto"/>
        <w:jc w:val="left"/>
        <w:rPr>
          <w:i/>
          <w:sz w:val="20"/>
          <w:szCs w:val="20"/>
        </w:rPr>
      </w:pPr>
      <w:bookmarkStart w:id="291" w:name="_Toc396404781"/>
      <w:bookmarkStart w:id="292" w:name="_Toc396405014"/>
      <w:bookmarkStart w:id="293" w:name="_Toc410125755"/>
      <w:bookmarkStart w:id="294" w:name="_Toc415752895"/>
      <w:bookmarkStart w:id="295" w:name="_Toc415753047"/>
      <w:bookmarkStart w:id="296" w:name="_Toc416182695"/>
      <w:bookmarkStart w:id="297" w:name="_Toc426718822"/>
      <w:bookmarkStart w:id="298" w:name="_Toc426719018"/>
      <w:bookmarkStart w:id="299" w:name="_Toc427069088"/>
      <w:bookmarkStart w:id="300" w:name="_Toc427154724"/>
      <w:bookmarkStart w:id="301" w:name="_Toc427232451"/>
      <w:bookmarkStart w:id="302" w:name="_Toc435802122"/>
      <w:r w:rsidRPr="003C1E6D">
        <w:rPr>
          <w:i/>
          <w:sz w:val="20"/>
          <w:szCs w:val="20"/>
        </w:rPr>
        <w:t xml:space="preserve">Task 3.3 </w:t>
      </w:r>
      <w:bookmarkEnd w:id="291"/>
      <w:bookmarkEnd w:id="292"/>
      <w:r w:rsidRPr="003C1E6D">
        <w:rPr>
          <w:i/>
          <w:sz w:val="20"/>
          <w:szCs w:val="20"/>
        </w:rPr>
        <w:t>Analysis of the link between formal educational attainment and basic competences</w:t>
      </w:r>
      <w:bookmarkEnd w:id="293"/>
      <w:bookmarkEnd w:id="294"/>
      <w:bookmarkEnd w:id="295"/>
      <w:bookmarkEnd w:id="296"/>
      <w:bookmarkEnd w:id="297"/>
      <w:bookmarkEnd w:id="298"/>
      <w:bookmarkEnd w:id="299"/>
      <w:bookmarkEnd w:id="300"/>
      <w:bookmarkEnd w:id="301"/>
      <w:bookmarkEnd w:id="302"/>
    </w:p>
    <w:p w:rsidR="00211990" w:rsidRPr="00F432C4" w:rsidRDefault="00211990" w:rsidP="00211990">
      <w:pPr>
        <w:spacing w:after="120" w:line="288" w:lineRule="auto"/>
        <w:ind w:right="-2"/>
        <w:rPr>
          <w:rFonts w:cs="Arial"/>
          <w:szCs w:val="20"/>
        </w:rPr>
      </w:pPr>
      <w:r w:rsidRPr="003C1E6D">
        <w:rPr>
          <w:rFonts w:cs="Arial"/>
          <w:szCs w:val="20"/>
        </w:rPr>
        <w:t xml:space="preserve">The aim of this task was to increase the understanding both of the extent of the association between assessed competences and educational attainment, and the variation of this association by country and individual background characteristics. In order to meet this aim, we used two complementary strategies: firstly, multi-level </w:t>
      </w:r>
      <w:r w:rsidRPr="00F432C4">
        <w:rPr>
          <w:rFonts w:cs="Arial"/>
          <w:szCs w:val="20"/>
        </w:rPr>
        <w:t xml:space="preserve">modelling </w:t>
      </w:r>
      <w:r>
        <w:rPr>
          <w:rFonts w:cs="Arial"/>
          <w:szCs w:val="20"/>
        </w:rPr>
        <w:t xml:space="preserve">using PIAAC micro-data </w:t>
      </w:r>
      <w:r w:rsidRPr="00F432C4">
        <w:rPr>
          <w:rFonts w:cs="Arial"/>
          <w:szCs w:val="20"/>
        </w:rPr>
        <w:t>to analyse the extent of the association between competences and educational attainment and its variation by specific individual and contextual characteristics, and; secondly, a difference-in-difference approach</w:t>
      </w:r>
      <w:r>
        <w:rPr>
          <w:rFonts w:cs="Arial"/>
          <w:szCs w:val="20"/>
        </w:rPr>
        <w:t xml:space="preserve"> using PIAAC and PISA country-level data</w:t>
      </w:r>
      <w:r w:rsidRPr="00F432C4">
        <w:rPr>
          <w:rFonts w:cs="Arial"/>
          <w:szCs w:val="20"/>
        </w:rPr>
        <w:t xml:space="preserve"> to investigate the specific </w:t>
      </w:r>
      <w:r>
        <w:rPr>
          <w:rFonts w:cs="Arial"/>
          <w:szCs w:val="20"/>
        </w:rPr>
        <w:t>contribution</w:t>
      </w:r>
      <w:r w:rsidRPr="00F432C4">
        <w:rPr>
          <w:rFonts w:cs="Arial"/>
          <w:szCs w:val="20"/>
        </w:rPr>
        <w:t xml:space="preserve"> of the upper secondary and tertiary pha</w:t>
      </w:r>
      <w:r>
        <w:rPr>
          <w:rFonts w:cs="Arial"/>
          <w:szCs w:val="20"/>
        </w:rPr>
        <w:t>ses of education and training to</w:t>
      </w:r>
      <w:r w:rsidRPr="00F432C4">
        <w:rPr>
          <w:rFonts w:cs="Arial"/>
          <w:szCs w:val="20"/>
        </w:rPr>
        <w:t xml:space="preserve"> competence levels. We summarise the approach taken for each strategy below.</w:t>
      </w:r>
    </w:p>
    <w:p w:rsidR="00211990" w:rsidRPr="00F432C4" w:rsidRDefault="00211990" w:rsidP="00211990">
      <w:pPr>
        <w:keepNext/>
        <w:spacing w:after="120" w:line="288" w:lineRule="auto"/>
        <w:ind w:left="360" w:right="170" w:hanging="360"/>
        <w:rPr>
          <w:rFonts w:cs="Arial"/>
          <w:i/>
          <w:szCs w:val="20"/>
        </w:rPr>
      </w:pPr>
      <w:r w:rsidRPr="00F432C4">
        <w:rPr>
          <w:rFonts w:cs="Arial"/>
          <w:i/>
          <w:szCs w:val="20"/>
        </w:rPr>
        <w:t>Multi-level modelling</w:t>
      </w:r>
    </w:p>
    <w:p w:rsidR="00211990" w:rsidRPr="00F432C4" w:rsidRDefault="00211990" w:rsidP="00211990">
      <w:pPr>
        <w:spacing w:after="120" w:line="288" w:lineRule="auto"/>
        <w:ind w:right="-2"/>
        <w:rPr>
          <w:rFonts w:cs="Arial"/>
          <w:szCs w:val="20"/>
        </w:rPr>
      </w:pPr>
      <w:r w:rsidRPr="00F432C4">
        <w:rPr>
          <w:rFonts w:cs="Arial"/>
          <w:szCs w:val="20"/>
        </w:rPr>
        <w:t xml:space="preserve">The purpose of this subtask was to increase our understanding of the extent to which the association between competences and educational attainment varies by specific individual and contextual characteristics. We primarily used PIAAC and PISA data and restricted our analysis to the sample of 20-34 year olds. Following feedback from the Scientific Committee and further consultation of the literature, we tested and applied different specifications for the multi-level analysis. Results of several models are presented in this report, alternative specifications were run and </w:t>
      </w:r>
      <w:r w:rsidR="00E010B3">
        <w:rPr>
          <w:rFonts w:cs="Arial"/>
          <w:szCs w:val="20"/>
        </w:rPr>
        <w:t>are described in Annex VII of this report</w:t>
      </w:r>
      <w:r w:rsidRPr="00F432C4">
        <w:rPr>
          <w:rFonts w:cs="Arial"/>
          <w:szCs w:val="20"/>
        </w:rPr>
        <w:t>.</w:t>
      </w:r>
    </w:p>
    <w:p w:rsidR="00211990" w:rsidRPr="00F432C4" w:rsidRDefault="00211990" w:rsidP="00211990">
      <w:pPr>
        <w:spacing w:after="120" w:line="288" w:lineRule="auto"/>
        <w:ind w:right="-2"/>
        <w:rPr>
          <w:rFonts w:cs="Arial"/>
          <w:szCs w:val="20"/>
        </w:rPr>
      </w:pPr>
      <w:r w:rsidRPr="00F432C4">
        <w:rPr>
          <w:rFonts w:cs="Arial"/>
          <w:szCs w:val="20"/>
        </w:rPr>
        <w:t>The models applied controlled for a number of characteristics including individual background characteristics (e.g. parental background work experience, age, gender, etc.) and country-level characteristics (e.g. age of first selection into different tracks, school accountability, school autonomy, average achievement at 15 years, etc.). The full list of characteristics used is set out in the relevant chapters of this report.</w:t>
      </w:r>
    </w:p>
    <w:p w:rsidR="00211990" w:rsidRPr="00F432C4" w:rsidRDefault="00211990" w:rsidP="00211990">
      <w:pPr>
        <w:keepNext/>
        <w:spacing w:after="120" w:line="288" w:lineRule="auto"/>
        <w:ind w:left="360" w:right="170" w:hanging="360"/>
        <w:rPr>
          <w:rFonts w:cs="Arial"/>
          <w:i/>
          <w:szCs w:val="20"/>
        </w:rPr>
      </w:pPr>
      <w:r w:rsidRPr="00F432C4">
        <w:rPr>
          <w:rFonts w:cs="Arial"/>
          <w:i/>
          <w:szCs w:val="20"/>
        </w:rPr>
        <w:t>Difference-in-Difference modelling</w:t>
      </w:r>
    </w:p>
    <w:p w:rsidR="00211990" w:rsidRPr="003C1E6D" w:rsidRDefault="00211990" w:rsidP="00211990">
      <w:pPr>
        <w:spacing w:after="120" w:line="288" w:lineRule="auto"/>
        <w:ind w:right="-2"/>
        <w:rPr>
          <w:rFonts w:cs="Arial"/>
          <w:szCs w:val="20"/>
        </w:rPr>
      </w:pPr>
      <w:r w:rsidRPr="00F432C4">
        <w:rPr>
          <w:rFonts w:cs="Arial"/>
          <w:szCs w:val="20"/>
        </w:rPr>
        <w:t>The purpose of this sub-task was to investigate the specific impact of upper secondary and tertiary phases of education and training on competence acquisition using a difference-in-difference (DiD) strategy. Outputs of this analysis illustrate the cross-country variations of changes in average competence levels after the age of 15 and the education system characteristics that explain them. The difference-in-difference model uses pseudo cohort data</w:t>
      </w:r>
      <w:r w:rsidRPr="00F432C4">
        <w:rPr>
          <w:rStyle w:val="FootnoteReference"/>
          <w:szCs w:val="20"/>
        </w:rPr>
        <w:footnoteReference w:id="33"/>
      </w:r>
      <w:r w:rsidRPr="00F432C4">
        <w:rPr>
          <w:rFonts w:cs="Arial"/>
          <w:szCs w:val="20"/>
        </w:rPr>
        <w:t xml:space="preserve"> by comparing the performance of the sample of fifteen year olds in literacy and numeracy in PISA with that of adults in PIAAC who are at the age that the PISA sample would have been by 2011/12 when PIAAC</w:t>
      </w:r>
      <w:r w:rsidRPr="003C1E6D">
        <w:rPr>
          <w:rFonts w:cs="Arial"/>
          <w:szCs w:val="20"/>
        </w:rPr>
        <w:t xml:space="preserve"> was conducted. </w:t>
      </w:r>
    </w:p>
    <w:p w:rsidR="00211990" w:rsidRPr="003C1E6D" w:rsidRDefault="00211990" w:rsidP="00211990">
      <w:pPr>
        <w:spacing w:after="120" w:line="288" w:lineRule="auto"/>
        <w:ind w:right="-2"/>
        <w:rPr>
          <w:rFonts w:cs="Arial"/>
          <w:szCs w:val="20"/>
        </w:rPr>
      </w:pPr>
      <w:r w:rsidRPr="003C1E6D">
        <w:rPr>
          <w:rFonts w:cs="Arial"/>
          <w:szCs w:val="20"/>
        </w:rPr>
        <w:t xml:space="preserve">In a first step, the relative changes across countries in competence levels between the age of 15 in PISA 2000 and the age of 25-29 in PIAAC were analysed with the aim of establishing how the degree of competence change varies across countries, allowing to rank order countries according to the relative degree of that change. Then, the DiD approach was used to understand which system level characteristics explain the expected variation in competence level changes between the age of 15 and 27. We analysed the effects of four different types of education systems, according to a categorisation which is </w:t>
      </w:r>
      <w:r>
        <w:rPr>
          <w:rFonts w:cs="Arial"/>
          <w:szCs w:val="20"/>
        </w:rPr>
        <w:t>familiar in the literature (Lasonen/</w:t>
      </w:r>
      <w:r w:rsidRPr="003C1E6D">
        <w:rPr>
          <w:rFonts w:cs="Arial"/>
          <w:szCs w:val="20"/>
        </w:rPr>
        <w:t>Young 1998 and Raffe et al. 1998 and 2001) and set out in Chapter Six of this report. Moreover, the DiD approach was used to estimate the effects of particular system characteristics on the changes in the average literacy and numeracy scores over this phase in the life course. The characteristics used were selected based on the literature review, and are set out in Chapter Six of this report.</w:t>
      </w:r>
    </w:p>
    <w:p w:rsidR="00211990" w:rsidRPr="001A0C89" w:rsidRDefault="00211990" w:rsidP="00211990">
      <w:pPr>
        <w:keepNext/>
        <w:spacing w:after="120" w:line="288" w:lineRule="auto"/>
        <w:ind w:left="360" w:right="170" w:hanging="360"/>
        <w:rPr>
          <w:rFonts w:cs="Arial"/>
          <w:i/>
          <w:szCs w:val="20"/>
        </w:rPr>
      </w:pPr>
      <w:r w:rsidRPr="001A0C89">
        <w:rPr>
          <w:rFonts w:cs="Arial"/>
          <w:i/>
          <w:szCs w:val="20"/>
        </w:rPr>
        <w:t>Identification of themes for further qualitative analysis</w:t>
      </w:r>
    </w:p>
    <w:p w:rsidR="00211990" w:rsidRPr="003C1E6D" w:rsidRDefault="00211990" w:rsidP="00211990">
      <w:pPr>
        <w:pStyle w:val="BodyText"/>
        <w:spacing w:line="288" w:lineRule="auto"/>
        <w:rPr>
          <w:rFonts w:cs="Arial"/>
          <w:szCs w:val="20"/>
          <w:lang w:eastAsia="en-US"/>
        </w:rPr>
      </w:pPr>
      <w:r w:rsidRPr="003C1E6D">
        <w:rPr>
          <w:rFonts w:cs="Arial"/>
          <w:szCs w:val="20"/>
          <w:lang w:eastAsia="en-US"/>
        </w:rPr>
        <w:t xml:space="preserve">On the basis of the emerging findings of the different strands of the quantitative analysis, the study team </w:t>
      </w:r>
      <w:r>
        <w:rPr>
          <w:rFonts w:cs="Arial"/>
          <w:szCs w:val="20"/>
          <w:lang w:eastAsia="en-US"/>
        </w:rPr>
        <w:t>identified emerging findings and patterns</w:t>
      </w:r>
      <w:r w:rsidRPr="003C1E6D">
        <w:rPr>
          <w:rFonts w:cs="Arial"/>
          <w:szCs w:val="20"/>
          <w:lang w:eastAsia="en-US"/>
        </w:rPr>
        <w:t>, both in specific countries and in g</w:t>
      </w:r>
      <w:r>
        <w:rPr>
          <w:rFonts w:cs="Arial"/>
          <w:szCs w:val="20"/>
          <w:lang w:eastAsia="en-US"/>
        </w:rPr>
        <w:t>roups of countries, for the</w:t>
      </w:r>
      <w:r w:rsidRPr="003C1E6D">
        <w:rPr>
          <w:rFonts w:cs="Arial"/>
          <w:szCs w:val="20"/>
          <w:lang w:eastAsia="en-US"/>
        </w:rPr>
        <w:t xml:space="preserve"> qualitative analysis to be conducted under work package 5 (see below). </w:t>
      </w:r>
      <w:r>
        <w:rPr>
          <w:rFonts w:cs="Arial"/>
          <w:szCs w:val="20"/>
          <w:lang w:eastAsia="en-US"/>
        </w:rPr>
        <w:t>Suggestions of themes were presented to the Commission at interim stage.</w:t>
      </w:r>
    </w:p>
    <w:p w:rsidR="00211990" w:rsidRPr="003C1E6D" w:rsidRDefault="00211990" w:rsidP="00211990">
      <w:pPr>
        <w:pStyle w:val="Heading2"/>
        <w:spacing w:before="0" w:after="120" w:line="288" w:lineRule="auto"/>
        <w:ind w:left="1134" w:hanging="1134"/>
        <w:jc w:val="left"/>
        <w:rPr>
          <w:sz w:val="20"/>
          <w:szCs w:val="20"/>
        </w:rPr>
      </w:pPr>
      <w:bookmarkStart w:id="303" w:name="_Toc410125756"/>
      <w:bookmarkStart w:id="304" w:name="_Toc415752896"/>
      <w:bookmarkStart w:id="305" w:name="_Toc415753048"/>
      <w:bookmarkStart w:id="306" w:name="_Toc416182696"/>
      <w:bookmarkStart w:id="307" w:name="_Toc426718823"/>
      <w:bookmarkStart w:id="308" w:name="_Toc426719019"/>
      <w:bookmarkStart w:id="309" w:name="_Toc427069089"/>
      <w:bookmarkStart w:id="310" w:name="_Toc427154725"/>
      <w:bookmarkStart w:id="311" w:name="_Toc427232452"/>
      <w:bookmarkStart w:id="312" w:name="_Toc435802123"/>
      <w:r w:rsidRPr="003C1E6D">
        <w:rPr>
          <w:sz w:val="20"/>
          <w:szCs w:val="20"/>
        </w:rPr>
        <w:t>Work Package 4: Interim stage</w:t>
      </w:r>
      <w:bookmarkEnd w:id="303"/>
      <w:bookmarkEnd w:id="304"/>
      <w:bookmarkEnd w:id="305"/>
      <w:bookmarkEnd w:id="306"/>
      <w:bookmarkEnd w:id="307"/>
      <w:bookmarkEnd w:id="308"/>
      <w:bookmarkEnd w:id="309"/>
      <w:bookmarkEnd w:id="310"/>
      <w:bookmarkEnd w:id="311"/>
      <w:bookmarkEnd w:id="312"/>
    </w:p>
    <w:p w:rsidR="00211990" w:rsidRPr="003C1E6D" w:rsidRDefault="00211990" w:rsidP="00211990">
      <w:pPr>
        <w:pStyle w:val="Heading2"/>
        <w:spacing w:before="0" w:after="120" w:line="288" w:lineRule="auto"/>
        <w:ind w:left="1134" w:hanging="1134"/>
        <w:jc w:val="left"/>
        <w:rPr>
          <w:i/>
          <w:sz w:val="20"/>
          <w:szCs w:val="20"/>
        </w:rPr>
      </w:pPr>
      <w:bookmarkStart w:id="313" w:name="_Toc410125757"/>
      <w:bookmarkStart w:id="314" w:name="_Toc415752897"/>
      <w:bookmarkStart w:id="315" w:name="_Toc415753049"/>
      <w:bookmarkStart w:id="316" w:name="_Toc416182697"/>
      <w:bookmarkStart w:id="317" w:name="_Toc426718824"/>
      <w:bookmarkStart w:id="318" w:name="_Toc426719020"/>
      <w:bookmarkStart w:id="319" w:name="_Toc427069090"/>
      <w:bookmarkStart w:id="320" w:name="_Toc427154726"/>
      <w:bookmarkStart w:id="321" w:name="_Toc427232453"/>
      <w:bookmarkStart w:id="322" w:name="_Toc435802124"/>
      <w:r w:rsidRPr="003C1E6D">
        <w:rPr>
          <w:i/>
          <w:sz w:val="20"/>
          <w:szCs w:val="20"/>
        </w:rPr>
        <w:t>Task 4.1 Interim Report</w:t>
      </w:r>
      <w:bookmarkEnd w:id="313"/>
      <w:bookmarkEnd w:id="314"/>
      <w:bookmarkEnd w:id="315"/>
      <w:bookmarkEnd w:id="316"/>
      <w:bookmarkEnd w:id="317"/>
      <w:bookmarkEnd w:id="318"/>
      <w:bookmarkEnd w:id="319"/>
      <w:bookmarkEnd w:id="320"/>
      <w:bookmarkEnd w:id="321"/>
      <w:bookmarkEnd w:id="322"/>
    </w:p>
    <w:p w:rsidR="00211990" w:rsidRPr="003C1E6D" w:rsidRDefault="00211990" w:rsidP="00211990">
      <w:pPr>
        <w:pStyle w:val="BodyText"/>
        <w:spacing w:line="288" w:lineRule="auto"/>
        <w:rPr>
          <w:rFonts w:cs="Arial"/>
          <w:szCs w:val="20"/>
        </w:rPr>
      </w:pPr>
      <w:r w:rsidRPr="003C1E6D">
        <w:rPr>
          <w:rFonts w:cs="Arial"/>
          <w:szCs w:val="20"/>
        </w:rPr>
        <w:t xml:space="preserve">This Interim Report </w:t>
      </w:r>
      <w:r>
        <w:rPr>
          <w:rFonts w:cs="Arial"/>
          <w:szCs w:val="20"/>
        </w:rPr>
        <w:t>was</w:t>
      </w:r>
      <w:r w:rsidRPr="003C1E6D">
        <w:rPr>
          <w:rFonts w:cs="Arial"/>
          <w:szCs w:val="20"/>
        </w:rPr>
        <w:t xml:space="preserve"> submitted as agreed with DG EAC on 14 August 2015. As required, the report provide</w:t>
      </w:r>
      <w:r>
        <w:rPr>
          <w:rFonts w:cs="Arial"/>
          <w:szCs w:val="20"/>
        </w:rPr>
        <w:t>d</w:t>
      </w:r>
      <w:r w:rsidRPr="003C1E6D">
        <w:rPr>
          <w:rFonts w:cs="Arial"/>
          <w:szCs w:val="20"/>
        </w:rPr>
        <w:t>:</w:t>
      </w:r>
    </w:p>
    <w:p w:rsidR="00211990" w:rsidRPr="003C1E6D" w:rsidRDefault="00211990" w:rsidP="00F90C88">
      <w:pPr>
        <w:pStyle w:val="BodyText"/>
        <w:numPr>
          <w:ilvl w:val="0"/>
          <w:numId w:val="46"/>
        </w:numPr>
        <w:spacing w:line="288" w:lineRule="auto"/>
        <w:ind w:left="426" w:hanging="426"/>
        <w:rPr>
          <w:rFonts w:cs="Arial"/>
          <w:szCs w:val="20"/>
        </w:rPr>
      </w:pPr>
      <w:r w:rsidRPr="003C1E6D">
        <w:rPr>
          <w:rFonts w:cs="Arial"/>
          <w:szCs w:val="20"/>
        </w:rPr>
        <w:t>A description of progress with the tasks undertaken to date and remaining tasks to be completed, detailed time schedule and methodology for completion of the work;</w:t>
      </w:r>
    </w:p>
    <w:p w:rsidR="00211990" w:rsidRPr="003C1E6D" w:rsidRDefault="00211990" w:rsidP="00F90C88">
      <w:pPr>
        <w:pStyle w:val="BodyText"/>
        <w:numPr>
          <w:ilvl w:val="0"/>
          <w:numId w:val="46"/>
        </w:numPr>
        <w:spacing w:line="288" w:lineRule="auto"/>
        <w:ind w:left="426" w:hanging="426"/>
        <w:rPr>
          <w:rFonts w:cs="Arial"/>
          <w:szCs w:val="20"/>
        </w:rPr>
      </w:pPr>
      <w:r w:rsidRPr="003C1E6D">
        <w:rPr>
          <w:rFonts w:cs="Arial"/>
          <w:szCs w:val="20"/>
        </w:rPr>
        <w:t>Challenges and problems identified and solutions found to address these, including an assessment of impact on future work;</w:t>
      </w:r>
    </w:p>
    <w:p w:rsidR="00211990" w:rsidRPr="003C1E6D" w:rsidRDefault="00211990" w:rsidP="00F90C88">
      <w:pPr>
        <w:pStyle w:val="BodyText"/>
        <w:numPr>
          <w:ilvl w:val="0"/>
          <w:numId w:val="46"/>
        </w:numPr>
        <w:spacing w:line="288" w:lineRule="auto"/>
        <w:ind w:left="426" w:hanging="426"/>
        <w:rPr>
          <w:rFonts w:cs="Arial"/>
          <w:szCs w:val="20"/>
        </w:rPr>
      </w:pPr>
      <w:r w:rsidRPr="003C1E6D">
        <w:rPr>
          <w:rFonts w:cs="Arial"/>
          <w:szCs w:val="20"/>
        </w:rPr>
        <w:t>Outputs from the work packages conducted;</w:t>
      </w:r>
    </w:p>
    <w:p w:rsidR="00211990" w:rsidRPr="003C1E6D" w:rsidRDefault="00211990" w:rsidP="00F90C88">
      <w:pPr>
        <w:pStyle w:val="BodyText"/>
        <w:numPr>
          <w:ilvl w:val="0"/>
          <w:numId w:val="46"/>
        </w:numPr>
        <w:spacing w:line="288" w:lineRule="auto"/>
        <w:ind w:left="426" w:hanging="426"/>
        <w:rPr>
          <w:rFonts w:cs="Arial"/>
          <w:szCs w:val="20"/>
        </w:rPr>
      </w:pPr>
      <w:r w:rsidRPr="003C1E6D">
        <w:rPr>
          <w:rFonts w:cs="Arial"/>
          <w:szCs w:val="20"/>
        </w:rPr>
        <w:t>A long list of key themes emerging from the statistical analysis for discussion during the interim validation workshop;</w:t>
      </w:r>
    </w:p>
    <w:p w:rsidR="00211990" w:rsidRPr="003C1E6D" w:rsidRDefault="00211990" w:rsidP="00F90C88">
      <w:pPr>
        <w:pStyle w:val="BodyText"/>
        <w:numPr>
          <w:ilvl w:val="0"/>
          <w:numId w:val="46"/>
        </w:numPr>
        <w:spacing w:line="288" w:lineRule="auto"/>
        <w:ind w:left="426" w:hanging="426"/>
        <w:rPr>
          <w:rFonts w:cs="Arial"/>
          <w:szCs w:val="20"/>
        </w:rPr>
      </w:pPr>
      <w:r w:rsidRPr="003C1E6D">
        <w:rPr>
          <w:rFonts w:cs="Arial"/>
          <w:szCs w:val="20"/>
        </w:rPr>
        <w:t>Draft structure for the Final Report;</w:t>
      </w:r>
    </w:p>
    <w:p w:rsidR="00211990" w:rsidRPr="003C1E6D" w:rsidRDefault="00211990" w:rsidP="00F90C88">
      <w:pPr>
        <w:pStyle w:val="BodyText"/>
        <w:numPr>
          <w:ilvl w:val="0"/>
          <w:numId w:val="46"/>
        </w:numPr>
        <w:spacing w:line="288" w:lineRule="auto"/>
        <w:ind w:left="426" w:hanging="426"/>
        <w:rPr>
          <w:rFonts w:cs="Arial"/>
          <w:szCs w:val="20"/>
        </w:rPr>
      </w:pPr>
      <w:r w:rsidRPr="003C1E6D">
        <w:rPr>
          <w:rFonts w:cs="Arial"/>
          <w:szCs w:val="20"/>
        </w:rPr>
        <w:t>Annexes, including the bibliography of the literature review.</w:t>
      </w:r>
    </w:p>
    <w:p w:rsidR="00211990" w:rsidRPr="003C1E6D" w:rsidRDefault="00211990" w:rsidP="00211990">
      <w:pPr>
        <w:pStyle w:val="Heading2"/>
        <w:spacing w:before="0" w:after="120" w:line="288" w:lineRule="auto"/>
        <w:ind w:left="1134" w:hanging="1134"/>
        <w:jc w:val="left"/>
        <w:rPr>
          <w:i/>
          <w:sz w:val="20"/>
          <w:szCs w:val="20"/>
        </w:rPr>
      </w:pPr>
      <w:bookmarkStart w:id="323" w:name="_Toc410125758"/>
      <w:bookmarkStart w:id="324" w:name="_Toc415752898"/>
      <w:bookmarkStart w:id="325" w:name="_Toc415753050"/>
      <w:bookmarkStart w:id="326" w:name="_Toc416182698"/>
      <w:bookmarkStart w:id="327" w:name="_Toc426718825"/>
      <w:bookmarkStart w:id="328" w:name="_Toc426719021"/>
      <w:bookmarkStart w:id="329" w:name="_Toc427069091"/>
      <w:bookmarkStart w:id="330" w:name="_Toc427154727"/>
      <w:bookmarkStart w:id="331" w:name="_Toc427232454"/>
      <w:bookmarkStart w:id="332" w:name="_Toc435802125"/>
      <w:r w:rsidRPr="003C1E6D">
        <w:rPr>
          <w:i/>
          <w:sz w:val="20"/>
          <w:szCs w:val="20"/>
        </w:rPr>
        <w:t>Task 4.2 Interim validation workshop</w:t>
      </w:r>
      <w:bookmarkEnd w:id="323"/>
      <w:bookmarkEnd w:id="324"/>
      <w:bookmarkEnd w:id="325"/>
      <w:bookmarkEnd w:id="326"/>
      <w:bookmarkEnd w:id="327"/>
      <w:bookmarkEnd w:id="328"/>
      <w:bookmarkEnd w:id="329"/>
      <w:bookmarkEnd w:id="330"/>
      <w:bookmarkEnd w:id="331"/>
      <w:bookmarkEnd w:id="332"/>
    </w:p>
    <w:p w:rsidR="00211990" w:rsidRPr="003C1E6D" w:rsidRDefault="00211990" w:rsidP="00211990">
      <w:pPr>
        <w:pStyle w:val="BodyText"/>
        <w:spacing w:line="288" w:lineRule="auto"/>
        <w:rPr>
          <w:rFonts w:cs="Arial"/>
          <w:szCs w:val="20"/>
        </w:rPr>
      </w:pPr>
      <w:r>
        <w:rPr>
          <w:rFonts w:cs="Arial"/>
          <w:szCs w:val="20"/>
        </w:rPr>
        <w:t>The interim workshop</w:t>
      </w:r>
      <w:r w:rsidRPr="003C1E6D">
        <w:rPr>
          <w:rFonts w:cs="Arial"/>
          <w:szCs w:val="20"/>
        </w:rPr>
        <w:t xml:space="preserve"> with the Steering Committee </w:t>
      </w:r>
      <w:r>
        <w:rPr>
          <w:rFonts w:cs="Arial"/>
          <w:szCs w:val="20"/>
        </w:rPr>
        <w:t>was held</w:t>
      </w:r>
      <w:r w:rsidRPr="003C1E6D">
        <w:rPr>
          <w:rFonts w:cs="Arial"/>
          <w:szCs w:val="20"/>
        </w:rPr>
        <w:t xml:space="preserve"> on 15 September 2015</w:t>
      </w:r>
      <w:r>
        <w:rPr>
          <w:rFonts w:cs="Arial"/>
          <w:szCs w:val="20"/>
        </w:rPr>
        <w:t xml:space="preserve"> in Brussels. The workshop provided the opportunity to discuss the preliminary findings and sought </w:t>
      </w:r>
      <w:r w:rsidRPr="003C1E6D">
        <w:rPr>
          <w:rFonts w:cs="Arial"/>
          <w:szCs w:val="20"/>
        </w:rPr>
        <w:t xml:space="preserve">agreement on the selection </w:t>
      </w:r>
      <w:r>
        <w:rPr>
          <w:rFonts w:cs="Arial"/>
          <w:szCs w:val="20"/>
        </w:rPr>
        <w:t>of case studies for the contextualisation phase.</w:t>
      </w:r>
      <w:r w:rsidRPr="003C1E6D">
        <w:rPr>
          <w:rFonts w:cs="Arial"/>
          <w:szCs w:val="20"/>
        </w:rPr>
        <w:t xml:space="preserve"> </w:t>
      </w:r>
      <w:r>
        <w:rPr>
          <w:rFonts w:cs="Arial"/>
          <w:szCs w:val="20"/>
        </w:rPr>
        <w:t xml:space="preserve">Any </w:t>
      </w:r>
      <w:r w:rsidRPr="003C1E6D">
        <w:rPr>
          <w:rFonts w:cs="Arial"/>
          <w:szCs w:val="20"/>
        </w:rPr>
        <w:t xml:space="preserve">feedback received from the Steering Committee </w:t>
      </w:r>
      <w:r w:rsidR="00E010B3">
        <w:rPr>
          <w:rFonts w:cs="Arial"/>
          <w:szCs w:val="20"/>
        </w:rPr>
        <w:t>was taken into account in this Draft Final R</w:t>
      </w:r>
      <w:r>
        <w:rPr>
          <w:rFonts w:cs="Arial"/>
          <w:szCs w:val="20"/>
        </w:rPr>
        <w:t>eport</w:t>
      </w:r>
      <w:r w:rsidRPr="003C1E6D">
        <w:rPr>
          <w:rFonts w:cs="Arial"/>
          <w:szCs w:val="20"/>
        </w:rPr>
        <w:t xml:space="preserve">. </w:t>
      </w:r>
    </w:p>
    <w:p w:rsidR="00211990" w:rsidRPr="003C1E6D" w:rsidRDefault="00211990" w:rsidP="00211990">
      <w:pPr>
        <w:pStyle w:val="Heading2"/>
        <w:spacing w:before="0" w:after="120" w:line="288" w:lineRule="auto"/>
        <w:ind w:left="1134" w:hanging="1134"/>
        <w:jc w:val="left"/>
        <w:rPr>
          <w:sz w:val="20"/>
          <w:szCs w:val="20"/>
        </w:rPr>
      </w:pPr>
      <w:bookmarkStart w:id="333" w:name="_Toc410125759"/>
      <w:bookmarkStart w:id="334" w:name="_Toc415752899"/>
      <w:bookmarkStart w:id="335" w:name="_Toc415753051"/>
      <w:bookmarkStart w:id="336" w:name="_Toc416182699"/>
      <w:bookmarkStart w:id="337" w:name="_Toc426718827"/>
      <w:bookmarkStart w:id="338" w:name="_Toc426719023"/>
      <w:bookmarkStart w:id="339" w:name="_Toc427069093"/>
      <w:bookmarkStart w:id="340" w:name="_Toc427154729"/>
      <w:bookmarkStart w:id="341" w:name="_Toc427232456"/>
      <w:bookmarkStart w:id="342" w:name="_Toc435802126"/>
      <w:r w:rsidRPr="003C1E6D">
        <w:rPr>
          <w:sz w:val="20"/>
          <w:szCs w:val="20"/>
        </w:rPr>
        <w:t>Work Package 5: Contextualisation phase (including expert interviews)</w:t>
      </w:r>
      <w:bookmarkEnd w:id="333"/>
      <w:bookmarkEnd w:id="334"/>
      <w:bookmarkEnd w:id="335"/>
      <w:bookmarkEnd w:id="336"/>
      <w:bookmarkEnd w:id="337"/>
      <w:bookmarkEnd w:id="338"/>
      <w:bookmarkEnd w:id="339"/>
      <w:bookmarkEnd w:id="340"/>
      <w:bookmarkEnd w:id="341"/>
      <w:bookmarkEnd w:id="342"/>
    </w:p>
    <w:p w:rsidR="00211990" w:rsidRDefault="00211990" w:rsidP="00211990">
      <w:pPr>
        <w:spacing w:after="120" w:line="288" w:lineRule="auto"/>
        <w:rPr>
          <w:rFonts w:cs="Arial"/>
          <w:szCs w:val="20"/>
        </w:rPr>
      </w:pPr>
      <w:r w:rsidRPr="003C1E6D">
        <w:rPr>
          <w:rFonts w:cs="Arial"/>
          <w:szCs w:val="20"/>
        </w:rPr>
        <w:t xml:space="preserve">The purpose of this work </w:t>
      </w:r>
      <w:r>
        <w:rPr>
          <w:rFonts w:cs="Arial"/>
          <w:szCs w:val="20"/>
        </w:rPr>
        <w:t>package was</w:t>
      </w:r>
      <w:r w:rsidRPr="003C1E6D">
        <w:rPr>
          <w:rFonts w:cs="Arial"/>
          <w:szCs w:val="20"/>
        </w:rPr>
        <w:t xml:space="preserve"> to contextualise and complement the findings of the quantitative analysis conducted in WP 3 with additional qualitative information, through the review of additional qualitative sources, in particular Eurydice, Eurypedia, the EC Education and Training Monitor, OECD Education at a glance publications and national level sources, and the implementation of 10 expert interviews at national level (ToR p. 4). </w:t>
      </w:r>
    </w:p>
    <w:p w:rsidR="00211990" w:rsidRPr="001A0C89" w:rsidRDefault="00211990" w:rsidP="00211990">
      <w:pPr>
        <w:spacing w:after="120" w:line="288" w:lineRule="auto"/>
        <w:rPr>
          <w:rFonts w:cs="Arial"/>
          <w:szCs w:val="20"/>
        </w:rPr>
      </w:pPr>
      <w:r w:rsidRPr="001A0C89">
        <w:rPr>
          <w:rFonts w:cs="Arial"/>
          <w:szCs w:val="20"/>
        </w:rPr>
        <w:t>After exploring a number of options, it was agreed that the qualitative research phase would focus on seeking to explain/contextualise particularly striking findings in 3 Member S</w:t>
      </w:r>
      <w:r>
        <w:rPr>
          <w:rFonts w:cs="Arial"/>
          <w:szCs w:val="20"/>
        </w:rPr>
        <w:t>tates. The proposed selection was</w:t>
      </w:r>
      <w:r w:rsidRPr="001A0C89">
        <w:rPr>
          <w:rFonts w:cs="Arial"/>
          <w:szCs w:val="20"/>
        </w:rPr>
        <w:t xml:space="preserve"> based both on the patterns observed regarding the link between educational attainment and competences and the relative performance of the country with regar</w:t>
      </w:r>
      <w:r>
        <w:rPr>
          <w:rFonts w:cs="Arial"/>
          <w:szCs w:val="20"/>
        </w:rPr>
        <w:t>ds to average competence levels:</w:t>
      </w:r>
      <w:r w:rsidRPr="001A0C89">
        <w:rPr>
          <w:rFonts w:cs="Arial"/>
          <w:szCs w:val="20"/>
        </w:rPr>
        <w:t xml:space="preserve"> </w:t>
      </w:r>
    </w:p>
    <w:p w:rsidR="00211990" w:rsidRPr="001A0C89" w:rsidRDefault="00211990" w:rsidP="00F90C88">
      <w:pPr>
        <w:pStyle w:val="ListParagraph"/>
        <w:numPr>
          <w:ilvl w:val="0"/>
          <w:numId w:val="50"/>
        </w:numPr>
        <w:spacing w:after="120" w:line="288" w:lineRule="auto"/>
        <w:rPr>
          <w:rFonts w:eastAsiaTheme="minorHAnsi" w:cs="Arial"/>
          <w:color w:val="auto"/>
          <w:szCs w:val="20"/>
          <w:lang w:eastAsia="en-US"/>
        </w:rPr>
      </w:pPr>
      <w:r w:rsidRPr="001A0C89">
        <w:rPr>
          <w:rFonts w:eastAsiaTheme="minorHAnsi" w:cs="Arial"/>
          <w:color w:val="auto"/>
          <w:szCs w:val="20"/>
          <w:lang w:eastAsia="en-US"/>
        </w:rPr>
        <w:t>France: large competence gain at tertiary education, small competence gain at upper secondary level, below average performance</w:t>
      </w:r>
    </w:p>
    <w:p w:rsidR="00211990" w:rsidRPr="001A0C89" w:rsidRDefault="00211990" w:rsidP="00F90C88">
      <w:pPr>
        <w:pStyle w:val="ListParagraph"/>
        <w:numPr>
          <w:ilvl w:val="0"/>
          <w:numId w:val="50"/>
        </w:numPr>
        <w:spacing w:after="120" w:line="288" w:lineRule="auto"/>
        <w:rPr>
          <w:rFonts w:eastAsiaTheme="minorHAnsi" w:cs="Arial"/>
          <w:color w:val="auto"/>
          <w:szCs w:val="20"/>
          <w:lang w:eastAsia="en-US"/>
        </w:rPr>
      </w:pPr>
      <w:r w:rsidRPr="001A0C89">
        <w:rPr>
          <w:rFonts w:eastAsiaTheme="minorHAnsi" w:cs="Arial"/>
          <w:color w:val="auto"/>
          <w:szCs w:val="20"/>
          <w:lang w:eastAsia="en-US"/>
        </w:rPr>
        <w:t>Denmark: large competence gains at upper secondary level, small competence gain at tertiary level, above average performance</w:t>
      </w:r>
    </w:p>
    <w:p w:rsidR="00211990" w:rsidRPr="001A0C89" w:rsidRDefault="00211990" w:rsidP="00F90C88">
      <w:pPr>
        <w:pStyle w:val="ListParagraph"/>
        <w:numPr>
          <w:ilvl w:val="0"/>
          <w:numId w:val="50"/>
        </w:numPr>
        <w:spacing w:after="120" w:line="288" w:lineRule="auto"/>
        <w:rPr>
          <w:rFonts w:eastAsiaTheme="minorHAnsi" w:cs="Arial"/>
          <w:color w:val="auto"/>
          <w:szCs w:val="20"/>
          <w:lang w:eastAsia="en-US"/>
        </w:rPr>
      </w:pPr>
      <w:r w:rsidRPr="001A0C89">
        <w:rPr>
          <w:rFonts w:eastAsiaTheme="minorHAnsi" w:cs="Arial"/>
          <w:color w:val="auto"/>
          <w:szCs w:val="20"/>
          <w:lang w:eastAsia="en-US"/>
        </w:rPr>
        <w:t>Spain: large competence gain at upper secondary level, small competence gain at tertiary level, below average performance</w:t>
      </w:r>
    </w:p>
    <w:p w:rsidR="00211990" w:rsidRPr="003C1E6D" w:rsidRDefault="00211990" w:rsidP="00211990">
      <w:pPr>
        <w:pStyle w:val="Heading2"/>
        <w:spacing w:before="0" w:after="120" w:line="288" w:lineRule="auto"/>
        <w:ind w:left="1134" w:hanging="1134"/>
        <w:jc w:val="left"/>
        <w:rPr>
          <w:i/>
          <w:sz w:val="20"/>
          <w:szCs w:val="20"/>
        </w:rPr>
      </w:pPr>
      <w:bookmarkStart w:id="343" w:name="_Toc396404788"/>
      <w:bookmarkStart w:id="344" w:name="_Toc396405021"/>
      <w:bookmarkStart w:id="345" w:name="_Toc410125760"/>
      <w:bookmarkStart w:id="346" w:name="_Toc415752900"/>
      <w:bookmarkStart w:id="347" w:name="_Toc415753052"/>
      <w:bookmarkStart w:id="348" w:name="_Toc416182700"/>
      <w:bookmarkStart w:id="349" w:name="_Toc426718828"/>
      <w:bookmarkStart w:id="350" w:name="_Toc426719024"/>
      <w:bookmarkStart w:id="351" w:name="_Toc427069094"/>
      <w:bookmarkStart w:id="352" w:name="_Toc427154730"/>
      <w:bookmarkStart w:id="353" w:name="_Toc427232457"/>
      <w:bookmarkStart w:id="354" w:name="_Toc435802127"/>
      <w:r w:rsidRPr="003C1E6D">
        <w:rPr>
          <w:i/>
          <w:sz w:val="20"/>
          <w:szCs w:val="20"/>
        </w:rPr>
        <w:t xml:space="preserve">Task 5.1 </w:t>
      </w:r>
      <w:bookmarkEnd w:id="343"/>
      <w:bookmarkEnd w:id="344"/>
      <w:r w:rsidRPr="003C1E6D">
        <w:rPr>
          <w:i/>
          <w:sz w:val="20"/>
          <w:szCs w:val="20"/>
        </w:rPr>
        <w:t>Development of research tools</w:t>
      </w:r>
      <w:bookmarkEnd w:id="345"/>
      <w:bookmarkEnd w:id="346"/>
      <w:bookmarkEnd w:id="347"/>
      <w:bookmarkEnd w:id="348"/>
      <w:bookmarkEnd w:id="349"/>
      <w:bookmarkEnd w:id="350"/>
      <w:bookmarkEnd w:id="351"/>
      <w:bookmarkEnd w:id="352"/>
      <w:bookmarkEnd w:id="353"/>
      <w:bookmarkEnd w:id="354"/>
    </w:p>
    <w:p w:rsidR="00211990" w:rsidRDefault="00211990" w:rsidP="00211990">
      <w:pPr>
        <w:pStyle w:val="BodyText"/>
        <w:spacing w:line="288" w:lineRule="auto"/>
        <w:rPr>
          <w:rFonts w:cs="Arial"/>
          <w:szCs w:val="20"/>
        </w:rPr>
      </w:pPr>
      <w:r w:rsidRPr="003C1E6D">
        <w:rPr>
          <w:rFonts w:cs="Arial"/>
          <w:szCs w:val="20"/>
          <w:lang w:eastAsia="en-US"/>
        </w:rPr>
        <w:t xml:space="preserve">Following the interim validation workshop and the agreement on </w:t>
      </w:r>
      <w:r>
        <w:rPr>
          <w:rFonts w:cs="Arial"/>
          <w:szCs w:val="20"/>
          <w:lang w:eastAsia="en-US"/>
        </w:rPr>
        <w:t>case studies to be conducted</w:t>
      </w:r>
      <w:r w:rsidRPr="003C1E6D">
        <w:rPr>
          <w:rFonts w:cs="Arial"/>
          <w:szCs w:val="20"/>
          <w:lang w:eastAsia="en-US"/>
        </w:rPr>
        <w:t xml:space="preserve"> during the contextualisation phase, t</w:t>
      </w:r>
      <w:r w:rsidRPr="003C1E6D">
        <w:rPr>
          <w:rFonts w:cs="Arial"/>
          <w:szCs w:val="20"/>
        </w:rPr>
        <w:t xml:space="preserve">he core team </w:t>
      </w:r>
      <w:r>
        <w:rPr>
          <w:rFonts w:cs="Arial"/>
          <w:szCs w:val="20"/>
        </w:rPr>
        <w:t>developed</w:t>
      </w:r>
      <w:r w:rsidRPr="003C1E6D">
        <w:rPr>
          <w:rFonts w:cs="Arial"/>
          <w:szCs w:val="20"/>
        </w:rPr>
        <w:t xml:space="preserve"> research tools and templates to guide the qualitative analysis, incorporating the learning from the literature review and statistical analysis</w:t>
      </w:r>
      <w:r>
        <w:rPr>
          <w:rFonts w:cs="Arial"/>
          <w:szCs w:val="20"/>
        </w:rPr>
        <w:t>. This included a</w:t>
      </w:r>
      <w:r w:rsidRPr="003C1E6D">
        <w:rPr>
          <w:rFonts w:cs="Arial"/>
          <w:szCs w:val="20"/>
        </w:rPr>
        <w:t xml:space="preserve"> template and guidance note for the thematic research, including details for the desk research methodology for this task, selection of interviewees and implementation of qualitative interview</w:t>
      </w:r>
      <w:r>
        <w:rPr>
          <w:rFonts w:cs="Arial"/>
          <w:szCs w:val="20"/>
        </w:rPr>
        <w:t>s.</w:t>
      </w:r>
    </w:p>
    <w:p w:rsidR="00211990" w:rsidRPr="003C1E6D" w:rsidRDefault="00211990" w:rsidP="00211990">
      <w:pPr>
        <w:pStyle w:val="BodyText"/>
        <w:spacing w:line="288" w:lineRule="auto"/>
        <w:rPr>
          <w:rFonts w:cs="Arial"/>
          <w:szCs w:val="20"/>
        </w:rPr>
      </w:pPr>
      <w:r>
        <w:rPr>
          <w:rFonts w:cs="Arial"/>
          <w:szCs w:val="20"/>
        </w:rPr>
        <w:t>All qualitative researchers were briefed by the Project Manager.</w:t>
      </w:r>
    </w:p>
    <w:p w:rsidR="00211990" w:rsidRPr="003C1E6D" w:rsidRDefault="00211990" w:rsidP="00211990">
      <w:pPr>
        <w:pStyle w:val="Heading2"/>
        <w:spacing w:before="0" w:after="120" w:line="288" w:lineRule="auto"/>
        <w:jc w:val="left"/>
        <w:rPr>
          <w:i/>
          <w:sz w:val="20"/>
          <w:szCs w:val="20"/>
        </w:rPr>
      </w:pPr>
      <w:bookmarkStart w:id="355" w:name="_Toc410125761"/>
      <w:bookmarkStart w:id="356" w:name="_Toc415752901"/>
      <w:bookmarkStart w:id="357" w:name="_Toc415753053"/>
      <w:bookmarkStart w:id="358" w:name="_Toc416182701"/>
      <w:bookmarkStart w:id="359" w:name="_Toc426718829"/>
      <w:bookmarkStart w:id="360" w:name="_Toc426719025"/>
      <w:bookmarkStart w:id="361" w:name="_Toc427069095"/>
      <w:bookmarkStart w:id="362" w:name="_Toc427154731"/>
      <w:bookmarkStart w:id="363" w:name="_Toc427232458"/>
      <w:bookmarkStart w:id="364" w:name="_Toc435802128"/>
      <w:r w:rsidRPr="003C1E6D">
        <w:rPr>
          <w:i/>
          <w:sz w:val="20"/>
          <w:szCs w:val="20"/>
        </w:rPr>
        <w:t>Task 5.2 Data co</w:t>
      </w:r>
      <w:r>
        <w:rPr>
          <w:i/>
          <w:sz w:val="20"/>
          <w:szCs w:val="20"/>
        </w:rPr>
        <w:t>llection and implementation of E</w:t>
      </w:r>
      <w:r w:rsidRPr="003C1E6D">
        <w:rPr>
          <w:i/>
          <w:sz w:val="20"/>
          <w:szCs w:val="20"/>
        </w:rPr>
        <w:t>xpert Interviews</w:t>
      </w:r>
      <w:bookmarkEnd w:id="355"/>
      <w:bookmarkEnd w:id="356"/>
      <w:bookmarkEnd w:id="357"/>
      <w:bookmarkEnd w:id="358"/>
      <w:bookmarkEnd w:id="359"/>
      <w:bookmarkEnd w:id="360"/>
      <w:bookmarkEnd w:id="361"/>
      <w:bookmarkEnd w:id="362"/>
      <w:bookmarkEnd w:id="363"/>
      <w:bookmarkEnd w:id="364"/>
      <w:r w:rsidRPr="003C1E6D">
        <w:rPr>
          <w:i/>
          <w:sz w:val="20"/>
          <w:szCs w:val="20"/>
        </w:rPr>
        <w:t xml:space="preserve"> </w:t>
      </w:r>
    </w:p>
    <w:p w:rsidR="00211990" w:rsidRDefault="00211990" w:rsidP="00211990">
      <w:pPr>
        <w:pStyle w:val="BodyText"/>
        <w:spacing w:line="288" w:lineRule="auto"/>
        <w:rPr>
          <w:rFonts w:cs="Arial"/>
          <w:szCs w:val="20"/>
        </w:rPr>
      </w:pPr>
      <w:r w:rsidRPr="003C1E6D">
        <w:rPr>
          <w:rFonts w:cs="Arial"/>
          <w:szCs w:val="20"/>
        </w:rPr>
        <w:t>Researchers</w:t>
      </w:r>
      <w:r>
        <w:rPr>
          <w:rFonts w:cs="Arial"/>
          <w:szCs w:val="20"/>
        </w:rPr>
        <w:t xml:space="preserve"> conducted desk research on relevant national level literature and</w:t>
      </w:r>
      <w:r w:rsidRPr="003C1E6D">
        <w:rPr>
          <w:rFonts w:cs="Arial"/>
          <w:szCs w:val="20"/>
        </w:rPr>
        <w:t xml:space="preserve"> </w:t>
      </w:r>
      <w:r>
        <w:rPr>
          <w:rFonts w:cs="Arial"/>
          <w:szCs w:val="20"/>
        </w:rPr>
        <w:t>interviewed key informants during the case study phase.</w:t>
      </w:r>
      <w:r w:rsidRPr="003C1E6D">
        <w:rPr>
          <w:rFonts w:cs="Arial"/>
          <w:szCs w:val="20"/>
        </w:rPr>
        <w:t xml:space="preserve"> </w:t>
      </w:r>
      <w:r>
        <w:rPr>
          <w:rFonts w:cs="Arial"/>
          <w:szCs w:val="20"/>
        </w:rPr>
        <w:t xml:space="preserve">This </w:t>
      </w:r>
      <w:r w:rsidRPr="003C1E6D">
        <w:rPr>
          <w:rFonts w:cs="Arial"/>
          <w:szCs w:val="20"/>
        </w:rPr>
        <w:t>include</w:t>
      </w:r>
      <w:r>
        <w:rPr>
          <w:rFonts w:cs="Arial"/>
          <w:szCs w:val="20"/>
        </w:rPr>
        <w:t>d</w:t>
      </w:r>
      <w:r w:rsidRPr="003C1E6D">
        <w:rPr>
          <w:rFonts w:cs="Arial"/>
          <w:szCs w:val="20"/>
        </w:rPr>
        <w:t xml:space="preserve"> policy makers at national </w:t>
      </w:r>
      <w:r>
        <w:rPr>
          <w:rFonts w:cs="Arial"/>
          <w:szCs w:val="20"/>
        </w:rPr>
        <w:t>l</w:t>
      </w:r>
      <w:r w:rsidRPr="003C1E6D">
        <w:rPr>
          <w:rFonts w:cs="Arial"/>
          <w:szCs w:val="20"/>
        </w:rPr>
        <w:t xml:space="preserve">evel, </w:t>
      </w:r>
      <w:r>
        <w:rPr>
          <w:rFonts w:cs="Arial"/>
          <w:szCs w:val="20"/>
        </w:rPr>
        <w:t>academics involved in the PIAAC implementation and academic researchers focused on competence assessment and development more widely. Table A1 below lists the experts consulted during this phase.</w:t>
      </w:r>
    </w:p>
    <w:p w:rsidR="00211990" w:rsidRDefault="00211990" w:rsidP="00211990">
      <w:pPr>
        <w:rPr>
          <w:rFonts w:cs="Arial"/>
          <w:szCs w:val="20"/>
        </w:rPr>
      </w:pPr>
      <w:r>
        <w:rPr>
          <w:rFonts w:cs="Arial"/>
          <w:szCs w:val="20"/>
        </w:rPr>
        <w:br w:type="page"/>
      </w:r>
    </w:p>
    <w:p w:rsidR="00211990" w:rsidRPr="0055300F" w:rsidRDefault="00211990" w:rsidP="00211990">
      <w:pPr>
        <w:pStyle w:val="Caption"/>
        <w:rPr>
          <w:rFonts w:ascii="Verdana" w:hAnsi="Verdana"/>
          <w:b w:val="0"/>
          <w:color w:val="1F497D" w:themeColor="text2"/>
          <w:sz w:val="20"/>
        </w:rPr>
      </w:pPr>
      <w:r w:rsidRPr="0055300F">
        <w:rPr>
          <w:rFonts w:ascii="Verdana" w:hAnsi="Verdana"/>
          <w:b w:val="0"/>
          <w:color w:val="1F497D" w:themeColor="text2"/>
          <w:sz w:val="20"/>
        </w:rPr>
        <w:t xml:space="preserve">Table A1 </w:t>
      </w:r>
      <w:r>
        <w:rPr>
          <w:rFonts w:ascii="Verdana" w:hAnsi="Verdana"/>
          <w:b w:val="0"/>
          <w:color w:val="1F497D" w:themeColor="text2"/>
          <w:sz w:val="20"/>
        </w:rPr>
        <w:t>– List of interviewees consulted during the case study phase</w:t>
      </w:r>
    </w:p>
    <w:tbl>
      <w:tblPr>
        <w:tblStyle w:val="TableGrid"/>
        <w:tblW w:w="4908" w:type="pct"/>
        <w:tblInd w:w="108" w:type="dxa"/>
        <w:tblLayout w:type="fixed"/>
        <w:tblLook w:val="04A0" w:firstRow="1" w:lastRow="0" w:firstColumn="1" w:lastColumn="0" w:noHBand="0" w:noVBand="1"/>
      </w:tblPr>
      <w:tblGrid>
        <w:gridCol w:w="1482"/>
        <w:gridCol w:w="1480"/>
        <w:gridCol w:w="1751"/>
        <w:gridCol w:w="2557"/>
        <w:gridCol w:w="1346"/>
      </w:tblGrid>
      <w:tr w:rsidR="00211990" w:rsidRPr="0055300F" w:rsidTr="001E31D3">
        <w:tc>
          <w:tcPr>
            <w:tcW w:w="860" w:type="pct"/>
            <w:shd w:val="clear" w:color="auto" w:fill="C6D9F1" w:themeFill="text2" w:themeFillTint="33"/>
            <w:vAlign w:val="center"/>
          </w:tcPr>
          <w:p w:rsidR="00211990" w:rsidRPr="0055300F" w:rsidRDefault="00211990" w:rsidP="001E31D3">
            <w:pPr>
              <w:pStyle w:val="BodyText"/>
              <w:spacing w:after="0"/>
              <w:jc w:val="center"/>
              <w:rPr>
                <w:rFonts w:cs="Arial"/>
                <w:b/>
                <w:szCs w:val="20"/>
              </w:rPr>
            </w:pPr>
            <w:r w:rsidRPr="0055300F">
              <w:rPr>
                <w:rFonts w:cs="Arial"/>
                <w:b/>
                <w:szCs w:val="20"/>
              </w:rPr>
              <w:t>Type of interviewee</w:t>
            </w:r>
          </w:p>
        </w:tc>
        <w:tc>
          <w:tcPr>
            <w:tcW w:w="859" w:type="pct"/>
            <w:shd w:val="clear" w:color="auto" w:fill="C6D9F1" w:themeFill="text2" w:themeFillTint="33"/>
            <w:vAlign w:val="center"/>
          </w:tcPr>
          <w:p w:rsidR="00211990" w:rsidRPr="0055300F" w:rsidRDefault="00211990" w:rsidP="001E31D3">
            <w:pPr>
              <w:pStyle w:val="BodyText"/>
              <w:spacing w:after="0"/>
              <w:jc w:val="center"/>
              <w:rPr>
                <w:rFonts w:cs="Arial"/>
                <w:b/>
                <w:szCs w:val="20"/>
              </w:rPr>
            </w:pPr>
            <w:r w:rsidRPr="0055300F">
              <w:rPr>
                <w:rFonts w:cs="Arial"/>
                <w:b/>
                <w:szCs w:val="20"/>
              </w:rPr>
              <w:t>Name</w:t>
            </w:r>
          </w:p>
        </w:tc>
        <w:tc>
          <w:tcPr>
            <w:tcW w:w="1016" w:type="pct"/>
            <w:shd w:val="clear" w:color="auto" w:fill="C6D9F1" w:themeFill="text2" w:themeFillTint="33"/>
            <w:vAlign w:val="center"/>
          </w:tcPr>
          <w:p w:rsidR="00211990" w:rsidRPr="0055300F" w:rsidRDefault="00211990" w:rsidP="001E31D3">
            <w:pPr>
              <w:pStyle w:val="BodyText"/>
              <w:spacing w:after="0"/>
              <w:jc w:val="center"/>
              <w:rPr>
                <w:rFonts w:cs="Arial"/>
                <w:b/>
                <w:szCs w:val="20"/>
              </w:rPr>
            </w:pPr>
            <w:r w:rsidRPr="0055300F">
              <w:rPr>
                <w:rFonts w:cs="Arial"/>
                <w:b/>
                <w:szCs w:val="20"/>
              </w:rPr>
              <w:t>Position</w:t>
            </w:r>
          </w:p>
        </w:tc>
        <w:tc>
          <w:tcPr>
            <w:tcW w:w="1484" w:type="pct"/>
            <w:shd w:val="clear" w:color="auto" w:fill="C6D9F1" w:themeFill="text2" w:themeFillTint="33"/>
            <w:vAlign w:val="center"/>
          </w:tcPr>
          <w:p w:rsidR="00211990" w:rsidRPr="0055300F" w:rsidRDefault="00211990" w:rsidP="001E31D3">
            <w:pPr>
              <w:pStyle w:val="BodyText"/>
              <w:spacing w:after="0"/>
              <w:jc w:val="center"/>
              <w:rPr>
                <w:rFonts w:cs="Arial"/>
                <w:b/>
                <w:szCs w:val="20"/>
              </w:rPr>
            </w:pPr>
            <w:r w:rsidRPr="0055300F">
              <w:rPr>
                <w:rFonts w:cs="Arial"/>
                <w:b/>
                <w:szCs w:val="20"/>
              </w:rPr>
              <w:t>Organisation</w:t>
            </w:r>
          </w:p>
        </w:tc>
        <w:tc>
          <w:tcPr>
            <w:tcW w:w="781" w:type="pct"/>
            <w:shd w:val="clear" w:color="auto" w:fill="C6D9F1" w:themeFill="text2" w:themeFillTint="33"/>
            <w:vAlign w:val="center"/>
          </w:tcPr>
          <w:p w:rsidR="00211990" w:rsidRPr="0055300F" w:rsidRDefault="00211990" w:rsidP="001E31D3">
            <w:pPr>
              <w:pStyle w:val="BodyText"/>
              <w:spacing w:after="0"/>
              <w:jc w:val="center"/>
              <w:rPr>
                <w:rFonts w:cs="Arial"/>
                <w:b/>
                <w:szCs w:val="20"/>
              </w:rPr>
            </w:pPr>
            <w:r w:rsidRPr="0055300F">
              <w:rPr>
                <w:rFonts w:cs="Arial"/>
                <w:b/>
                <w:szCs w:val="20"/>
              </w:rPr>
              <w:t>Date of interview</w:t>
            </w:r>
          </w:p>
        </w:tc>
      </w:tr>
      <w:tr w:rsidR="00211990" w:rsidRPr="0055300F" w:rsidTr="001E31D3">
        <w:tc>
          <w:tcPr>
            <w:tcW w:w="5000" w:type="pct"/>
            <w:gridSpan w:val="5"/>
            <w:vAlign w:val="center"/>
          </w:tcPr>
          <w:p w:rsidR="00211990" w:rsidRPr="0055300F" w:rsidRDefault="00211990" w:rsidP="001E31D3">
            <w:pPr>
              <w:pStyle w:val="BodyText"/>
              <w:spacing w:after="0"/>
              <w:jc w:val="center"/>
              <w:rPr>
                <w:rFonts w:cs="Arial"/>
                <w:b/>
                <w:color w:val="auto"/>
                <w:szCs w:val="20"/>
              </w:rPr>
            </w:pPr>
            <w:r w:rsidRPr="0055300F">
              <w:rPr>
                <w:rFonts w:cs="Arial"/>
                <w:b/>
                <w:color w:val="auto"/>
                <w:szCs w:val="20"/>
              </w:rPr>
              <w:t>Denmark</w:t>
            </w:r>
          </w:p>
        </w:tc>
      </w:tr>
      <w:tr w:rsidR="00211990" w:rsidRPr="0055300F" w:rsidTr="001E31D3">
        <w:tc>
          <w:tcPr>
            <w:tcW w:w="860" w:type="pct"/>
            <w:vAlign w:val="center"/>
          </w:tcPr>
          <w:p w:rsidR="00211990" w:rsidRPr="0055300F" w:rsidRDefault="00211990" w:rsidP="001E31D3">
            <w:pPr>
              <w:pStyle w:val="BodyText"/>
              <w:spacing w:after="0"/>
              <w:jc w:val="left"/>
              <w:rPr>
                <w:rFonts w:cs="Arial"/>
                <w:color w:val="auto"/>
                <w:szCs w:val="20"/>
              </w:rPr>
            </w:pPr>
            <w:r w:rsidRPr="0055300F">
              <w:rPr>
                <w:rFonts w:cs="Arial"/>
                <w:color w:val="auto"/>
                <w:szCs w:val="20"/>
              </w:rPr>
              <w:t>Policymaker</w:t>
            </w:r>
          </w:p>
        </w:tc>
        <w:tc>
          <w:tcPr>
            <w:tcW w:w="859" w:type="pct"/>
            <w:vAlign w:val="center"/>
          </w:tcPr>
          <w:p w:rsidR="00211990" w:rsidRPr="0055300F" w:rsidRDefault="00211990" w:rsidP="001E31D3">
            <w:pPr>
              <w:pStyle w:val="BodyText"/>
              <w:spacing w:after="0"/>
              <w:jc w:val="left"/>
              <w:rPr>
                <w:rFonts w:cs="Arial"/>
                <w:color w:val="auto"/>
                <w:szCs w:val="20"/>
              </w:rPr>
            </w:pPr>
            <w:r w:rsidRPr="0055300F">
              <w:rPr>
                <w:rFonts w:cs="Arial"/>
                <w:color w:val="auto"/>
                <w:szCs w:val="20"/>
              </w:rPr>
              <w:t>Lars Lindhal</w:t>
            </w:r>
          </w:p>
        </w:tc>
        <w:tc>
          <w:tcPr>
            <w:tcW w:w="1016" w:type="pct"/>
          </w:tcPr>
          <w:p w:rsidR="00211990" w:rsidRPr="0055300F" w:rsidRDefault="00211990" w:rsidP="001E31D3">
            <w:pPr>
              <w:pStyle w:val="BodyText"/>
              <w:spacing w:after="0"/>
              <w:jc w:val="left"/>
              <w:rPr>
                <w:rFonts w:cs="Arial"/>
                <w:color w:val="auto"/>
                <w:szCs w:val="20"/>
              </w:rPr>
            </w:pPr>
            <w:r w:rsidRPr="0055300F">
              <w:rPr>
                <w:rFonts w:cs="Arial"/>
                <w:color w:val="auto"/>
                <w:szCs w:val="20"/>
              </w:rPr>
              <w:t>Pedagogical Consultant</w:t>
            </w:r>
          </w:p>
        </w:tc>
        <w:tc>
          <w:tcPr>
            <w:tcW w:w="1484" w:type="pct"/>
            <w:vAlign w:val="center"/>
          </w:tcPr>
          <w:p w:rsidR="00211990" w:rsidRPr="0055300F" w:rsidRDefault="00211990" w:rsidP="001E31D3">
            <w:pPr>
              <w:pStyle w:val="BodyText"/>
              <w:spacing w:after="0"/>
              <w:jc w:val="left"/>
              <w:rPr>
                <w:rFonts w:cs="Arial"/>
                <w:color w:val="auto"/>
                <w:szCs w:val="20"/>
              </w:rPr>
            </w:pPr>
            <w:r w:rsidRPr="0055300F">
              <w:rPr>
                <w:rFonts w:cs="Arial"/>
                <w:color w:val="auto"/>
                <w:szCs w:val="20"/>
              </w:rPr>
              <w:t>Ministry of Education</w:t>
            </w:r>
          </w:p>
        </w:tc>
        <w:tc>
          <w:tcPr>
            <w:tcW w:w="781" w:type="pct"/>
            <w:vAlign w:val="center"/>
          </w:tcPr>
          <w:p w:rsidR="00211990" w:rsidRPr="0055300F" w:rsidRDefault="00211990" w:rsidP="001E31D3">
            <w:pPr>
              <w:pStyle w:val="BodyText"/>
              <w:spacing w:after="0"/>
              <w:rPr>
                <w:rFonts w:cs="Arial"/>
                <w:color w:val="auto"/>
                <w:szCs w:val="20"/>
              </w:rPr>
            </w:pPr>
            <w:r w:rsidRPr="0055300F">
              <w:rPr>
                <w:rFonts w:cs="Arial"/>
                <w:color w:val="auto"/>
                <w:szCs w:val="20"/>
              </w:rPr>
              <w:t>26.10.2015</w:t>
            </w:r>
          </w:p>
        </w:tc>
      </w:tr>
      <w:tr w:rsidR="00211990" w:rsidRPr="0055300F" w:rsidTr="001E31D3">
        <w:trPr>
          <w:trHeight w:val="683"/>
        </w:trPr>
        <w:tc>
          <w:tcPr>
            <w:tcW w:w="860" w:type="pct"/>
            <w:vAlign w:val="center"/>
          </w:tcPr>
          <w:p w:rsidR="00211990" w:rsidRPr="0055300F" w:rsidRDefault="00211990" w:rsidP="001E31D3">
            <w:pPr>
              <w:pStyle w:val="BodyText"/>
              <w:spacing w:after="0"/>
              <w:jc w:val="left"/>
              <w:rPr>
                <w:rFonts w:cs="Arial"/>
                <w:color w:val="auto"/>
                <w:szCs w:val="20"/>
              </w:rPr>
            </w:pPr>
            <w:r w:rsidRPr="0055300F">
              <w:rPr>
                <w:rFonts w:cs="Arial"/>
                <w:color w:val="auto"/>
                <w:szCs w:val="20"/>
              </w:rPr>
              <w:t>Policymaker</w:t>
            </w:r>
          </w:p>
        </w:tc>
        <w:tc>
          <w:tcPr>
            <w:tcW w:w="859" w:type="pct"/>
            <w:vAlign w:val="center"/>
          </w:tcPr>
          <w:p w:rsidR="00211990" w:rsidRPr="0055300F" w:rsidRDefault="00211990" w:rsidP="001E31D3">
            <w:pPr>
              <w:rPr>
                <w:rFonts w:cs="Arial"/>
              </w:rPr>
            </w:pPr>
            <w:r w:rsidRPr="0055300F">
              <w:rPr>
                <w:rFonts w:cs="Arial"/>
              </w:rPr>
              <w:t>Jan Reitz Jørgensen</w:t>
            </w:r>
          </w:p>
        </w:tc>
        <w:tc>
          <w:tcPr>
            <w:tcW w:w="1016" w:type="pct"/>
          </w:tcPr>
          <w:p w:rsidR="00211990" w:rsidRPr="0055300F" w:rsidRDefault="00211990" w:rsidP="001E31D3">
            <w:pPr>
              <w:pStyle w:val="BodyText"/>
              <w:spacing w:after="0"/>
              <w:jc w:val="left"/>
              <w:rPr>
                <w:rFonts w:cs="Arial"/>
                <w:color w:val="auto"/>
                <w:szCs w:val="20"/>
              </w:rPr>
            </w:pPr>
            <w:r w:rsidRPr="0055300F">
              <w:rPr>
                <w:rFonts w:cs="Arial"/>
                <w:color w:val="auto"/>
                <w:szCs w:val="20"/>
              </w:rPr>
              <w:t>Senior Advisor</w:t>
            </w:r>
          </w:p>
        </w:tc>
        <w:tc>
          <w:tcPr>
            <w:tcW w:w="1484" w:type="pct"/>
            <w:vAlign w:val="center"/>
          </w:tcPr>
          <w:p w:rsidR="00211990" w:rsidRPr="0055300F" w:rsidRDefault="00211990" w:rsidP="001E31D3">
            <w:pPr>
              <w:pStyle w:val="BodyText"/>
              <w:spacing w:after="0"/>
              <w:jc w:val="left"/>
              <w:rPr>
                <w:rFonts w:cs="Arial"/>
                <w:color w:val="auto"/>
                <w:szCs w:val="20"/>
              </w:rPr>
            </w:pPr>
            <w:r w:rsidRPr="0055300F">
              <w:rPr>
                <w:rFonts w:cs="Arial"/>
                <w:color w:val="auto"/>
                <w:szCs w:val="20"/>
              </w:rPr>
              <w:t>Ministry for Children, Education and Gender Equality</w:t>
            </w:r>
          </w:p>
        </w:tc>
        <w:tc>
          <w:tcPr>
            <w:tcW w:w="781" w:type="pct"/>
            <w:vAlign w:val="center"/>
          </w:tcPr>
          <w:p w:rsidR="00211990" w:rsidRPr="0055300F" w:rsidRDefault="00211990" w:rsidP="001E31D3">
            <w:pPr>
              <w:pStyle w:val="BodyText"/>
              <w:spacing w:after="0"/>
              <w:rPr>
                <w:rFonts w:cs="Arial"/>
                <w:color w:val="auto"/>
                <w:szCs w:val="20"/>
              </w:rPr>
            </w:pPr>
            <w:r w:rsidRPr="0055300F">
              <w:rPr>
                <w:rFonts w:cs="Arial"/>
                <w:color w:val="auto"/>
                <w:szCs w:val="20"/>
              </w:rPr>
              <w:t>10.11.2015</w:t>
            </w:r>
          </w:p>
        </w:tc>
      </w:tr>
      <w:tr w:rsidR="00211990" w:rsidRPr="0055300F" w:rsidTr="001E31D3">
        <w:tc>
          <w:tcPr>
            <w:tcW w:w="860" w:type="pct"/>
            <w:vAlign w:val="center"/>
          </w:tcPr>
          <w:p w:rsidR="00211990" w:rsidRPr="0055300F" w:rsidRDefault="00211990" w:rsidP="001E31D3">
            <w:pPr>
              <w:pStyle w:val="BodyText"/>
              <w:spacing w:after="0"/>
              <w:jc w:val="left"/>
              <w:rPr>
                <w:rFonts w:cs="Arial"/>
                <w:color w:val="auto"/>
                <w:szCs w:val="20"/>
              </w:rPr>
            </w:pPr>
            <w:r w:rsidRPr="0055300F">
              <w:rPr>
                <w:rFonts w:cs="Arial"/>
                <w:color w:val="auto"/>
                <w:szCs w:val="20"/>
              </w:rPr>
              <w:t>Researcher</w:t>
            </w:r>
          </w:p>
        </w:tc>
        <w:tc>
          <w:tcPr>
            <w:tcW w:w="859" w:type="pct"/>
            <w:vAlign w:val="center"/>
          </w:tcPr>
          <w:p w:rsidR="00211990" w:rsidRPr="0055300F" w:rsidRDefault="00211990" w:rsidP="001E31D3">
            <w:pPr>
              <w:pStyle w:val="BodyText"/>
              <w:spacing w:after="0"/>
              <w:jc w:val="left"/>
              <w:rPr>
                <w:rFonts w:cs="Arial"/>
                <w:color w:val="auto"/>
                <w:szCs w:val="20"/>
              </w:rPr>
            </w:pPr>
            <w:r w:rsidRPr="0055300F">
              <w:rPr>
                <w:rFonts w:cs="Arial"/>
                <w:color w:val="auto"/>
                <w:szCs w:val="20"/>
              </w:rPr>
              <w:t>Anders Rosdhal</w:t>
            </w:r>
          </w:p>
        </w:tc>
        <w:tc>
          <w:tcPr>
            <w:tcW w:w="1016" w:type="pct"/>
          </w:tcPr>
          <w:p w:rsidR="00211990" w:rsidRPr="0055300F" w:rsidRDefault="00211990" w:rsidP="001E31D3">
            <w:pPr>
              <w:pStyle w:val="BodyText"/>
              <w:spacing w:after="0"/>
              <w:jc w:val="left"/>
              <w:rPr>
                <w:rFonts w:cs="Arial"/>
                <w:color w:val="auto"/>
                <w:szCs w:val="20"/>
              </w:rPr>
            </w:pPr>
            <w:r w:rsidRPr="0055300F">
              <w:rPr>
                <w:rFonts w:cs="Arial"/>
                <w:color w:val="auto"/>
                <w:szCs w:val="20"/>
              </w:rPr>
              <w:t>PIAAC Project Manager</w:t>
            </w:r>
          </w:p>
        </w:tc>
        <w:tc>
          <w:tcPr>
            <w:tcW w:w="1484" w:type="pct"/>
            <w:vAlign w:val="center"/>
          </w:tcPr>
          <w:p w:rsidR="00211990" w:rsidRPr="0055300F" w:rsidRDefault="00211990" w:rsidP="001E31D3">
            <w:pPr>
              <w:rPr>
                <w:rFonts w:cs="Arial"/>
              </w:rPr>
            </w:pPr>
            <w:r w:rsidRPr="0055300F">
              <w:rPr>
                <w:rFonts w:cs="Arial"/>
              </w:rPr>
              <w:t>The Danish National Centre for Social Research</w:t>
            </w:r>
          </w:p>
        </w:tc>
        <w:tc>
          <w:tcPr>
            <w:tcW w:w="781" w:type="pct"/>
            <w:vAlign w:val="center"/>
          </w:tcPr>
          <w:p w:rsidR="00211990" w:rsidRPr="0055300F" w:rsidRDefault="00211990" w:rsidP="001E31D3">
            <w:pPr>
              <w:pStyle w:val="BodyText"/>
              <w:spacing w:after="0"/>
              <w:rPr>
                <w:rFonts w:cs="Arial"/>
                <w:color w:val="auto"/>
                <w:szCs w:val="20"/>
              </w:rPr>
            </w:pPr>
            <w:r w:rsidRPr="0055300F">
              <w:rPr>
                <w:rFonts w:cs="Arial"/>
                <w:color w:val="auto"/>
                <w:szCs w:val="20"/>
              </w:rPr>
              <w:t>30.10.2015</w:t>
            </w:r>
          </w:p>
        </w:tc>
      </w:tr>
      <w:tr w:rsidR="00211990" w:rsidRPr="0055300F" w:rsidTr="001E31D3">
        <w:tc>
          <w:tcPr>
            <w:tcW w:w="860" w:type="pct"/>
            <w:vAlign w:val="center"/>
          </w:tcPr>
          <w:p w:rsidR="00211990" w:rsidRPr="0055300F" w:rsidRDefault="00211990" w:rsidP="001E31D3">
            <w:pPr>
              <w:pStyle w:val="BodyText"/>
              <w:spacing w:after="0"/>
              <w:jc w:val="left"/>
              <w:rPr>
                <w:rFonts w:cs="Arial"/>
                <w:color w:val="auto"/>
                <w:szCs w:val="20"/>
              </w:rPr>
            </w:pPr>
            <w:r w:rsidRPr="0055300F">
              <w:rPr>
                <w:rFonts w:cs="Arial"/>
                <w:color w:val="auto"/>
                <w:szCs w:val="20"/>
              </w:rPr>
              <w:t>Researcher</w:t>
            </w:r>
          </w:p>
        </w:tc>
        <w:tc>
          <w:tcPr>
            <w:tcW w:w="859" w:type="pct"/>
            <w:vAlign w:val="center"/>
          </w:tcPr>
          <w:p w:rsidR="00211990" w:rsidRPr="0055300F" w:rsidRDefault="00211990" w:rsidP="001E31D3">
            <w:pPr>
              <w:pStyle w:val="BodyText"/>
              <w:spacing w:after="0"/>
              <w:jc w:val="left"/>
              <w:rPr>
                <w:rFonts w:cs="Arial"/>
                <w:color w:val="auto"/>
                <w:szCs w:val="20"/>
              </w:rPr>
            </w:pPr>
            <w:r w:rsidRPr="0055300F">
              <w:rPr>
                <w:rFonts w:cs="Arial"/>
                <w:color w:val="auto"/>
                <w:szCs w:val="20"/>
              </w:rPr>
              <w:t>Torben Friedberg</w:t>
            </w:r>
          </w:p>
        </w:tc>
        <w:tc>
          <w:tcPr>
            <w:tcW w:w="1016" w:type="pct"/>
          </w:tcPr>
          <w:p w:rsidR="00211990" w:rsidRPr="0055300F" w:rsidRDefault="00211990" w:rsidP="001E31D3">
            <w:pPr>
              <w:pStyle w:val="BodyText"/>
              <w:spacing w:after="0"/>
              <w:jc w:val="left"/>
              <w:rPr>
                <w:rFonts w:cs="Arial"/>
                <w:color w:val="auto"/>
                <w:szCs w:val="20"/>
              </w:rPr>
            </w:pPr>
            <w:r w:rsidRPr="0055300F">
              <w:rPr>
                <w:rFonts w:cs="Arial"/>
                <w:color w:val="auto"/>
                <w:szCs w:val="20"/>
              </w:rPr>
              <w:t>Senior Researcher</w:t>
            </w:r>
          </w:p>
        </w:tc>
        <w:tc>
          <w:tcPr>
            <w:tcW w:w="1484" w:type="pct"/>
            <w:vAlign w:val="center"/>
          </w:tcPr>
          <w:p w:rsidR="00211990" w:rsidRPr="0055300F" w:rsidRDefault="00211990" w:rsidP="001E31D3">
            <w:pPr>
              <w:rPr>
                <w:rFonts w:cs="Arial"/>
              </w:rPr>
            </w:pPr>
            <w:r w:rsidRPr="0055300F">
              <w:rPr>
                <w:rFonts w:cs="Arial"/>
              </w:rPr>
              <w:t>The Danish National Centre for Social Research</w:t>
            </w:r>
          </w:p>
        </w:tc>
        <w:tc>
          <w:tcPr>
            <w:tcW w:w="781" w:type="pct"/>
            <w:vAlign w:val="center"/>
          </w:tcPr>
          <w:p w:rsidR="00211990" w:rsidRPr="0055300F" w:rsidRDefault="00211990" w:rsidP="001E31D3">
            <w:pPr>
              <w:pStyle w:val="BodyText"/>
              <w:spacing w:after="0"/>
              <w:rPr>
                <w:rFonts w:cs="Arial"/>
                <w:color w:val="auto"/>
                <w:szCs w:val="20"/>
              </w:rPr>
            </w:pPr>
            <w:r w:rsidRPr="0055300F">
              <w:rPr>
                <w:rFonts w:cs="Arial"/>
                <w:color w:val="auto"/>
                <w:szCs w:val="20"/>
              </w:rPr>
              <w:t>30.10.2015</w:t>
            </w:r>
          </w:p>
        </w:tc>
      </w:tr>
      <w:tr w:rsidR="00211990" w:rsidRPr="0055300F" w:rsidTr="001E31D3">
        <w:tc>
          <w:tcPr>
            <w:tcW w:w="5000" w:type="pct"/>
            <w:gridSpan w:val="5"/>
            <w:vAlign w:val="center"/>
          </w:tcPr>
          <w:p w:rsidR="00211990" w:rsidRPr="0055300F" w:rsidRDefault="00211990" w:rsidP="001E31D3">
            <w:pPr>
              <w:pStyle w:val="BodyText"/>
              <w:spacing w:after="0"/>
              <w:jc w:val="center"/>
              <w:rPr>
                <w:rFonts w:cs="Arial"/>
                <w:b/>
                <w:szCs w:val="20"/>
              </w:rPr>
            </w:pPr>
            <w:r w:rsidRPr="0055300F">
              <w:rPr>
                <w:rFonts w:cs="Arial"/>
                <w:b/>
                <w:szCs w:val="20"/>
              </w:rPr>
              <w:t>France</w:t>
            </w:r>
          </w:p>
        </w:tc>
      </w:tr>
      <w:tr w:rsidR="00211990" w:rsidRPr="0055300F" w:rsidTr="001E31D3">
        <w:tc>
          <w:tcPr>
            <w:tcW w:w="860" w:type="pct"/>
            <w:vAlign w:val="center"/>
          </w:tcPr>
          <w:p w:rsidR="00211990" w:rsidRPr="0055300F" w:rsidRDefault="00211990" w:rsidP="001E31D3">
            <w:pPr>
              <w:pStyle w:val="BodyText"/>
              <w:spacing w:after="0"/>
              <w:jc w:val="center"/>
              <w:rPr>
                <w:rFonts w:cs="Arial"/>
                <w:szCs w:val="20"/>
              </w:rPr>
            </w:pPr>
            <w:r w:rsidRPr="0055300F">
              <w:rPr>
                <w:rFonts w:cs="Arial"/>
                <w:szCs w:val="20"/>
              </w:rPr>
              <w:t>Researcher</w:t>
            </w:r>
          </w:p>
        </w:tc>
        <w:tc>
          <w:tcPr>
            <w:tcW w:w="859" w:type="pct"/>
            <w:vAlign w:val="center"/>
          </w:tcPr>
          <w:p w:rsidR="00211990" w:rsidRPr="0055300F" w:rsidRDefault="00211990" w:rsidP="001E31D3">
            <w:pPr>
              <w:pStyle w:val="BodyText"/>
              <w:spacing w:after="0"/>
              <w:jc w:val="center"/>
              <w:rPr>
                <w:rFonts w:cs="Arial"/>
                <w:szCs w:val="20"/>
              </w:rPr>
            </w:pPr>
            <w:r w:rsidRPr="0055300F">
              <w:rPr>
                <w:rFonts w:cs="Arial"/>
                <w:szCs w:val="20"/>
              </w:rPr>
              <w:t>Nicolas Jonas</w:t>
            </w:r>
          </w:p>
        </w:tc>
        <w:tc>
          <w:tcPr>
            <w:tcW w:w="1016" w:type="pct"/>
            <w:vAlign w:val="center"/>
          </w:tcPr>
          <w:p w:rsidR="00211990" w:rsidRPr="0055300F" w:rsidRDefault="00211990" w:rsidP="001E31D3">
            <w:pPr>
              <w:jc w:val="center"/>
              <w:rPr>
                <w:rFonts w:cs="Arial"/>
                <w:color w:val="1F1A17"/>
              </w:rPr>
            </w:pPr>
            <w:r w:rsidRPr="0055300F">
              <w:rPr>
                <w:rFonts w:cs="Arial"/>
                <w:color w:val="1F1A17"/>
              </w:rPr>
              <w:t>Analyst, Center for Educational Research and Innovation (CERI), Directorate for Education and Skills</w:t>
            </w:r>
          </w:p>
          <w:p w:rsidR="00211990" w:rsidRPr="0055300F" w:rsidRDefault="00211990" w:rsidP="001E31D3">
            <w:pPr>
              <w:jc w:val="center"/>
              <w:rPr>
                <w:rFonts w:cs="Arial"/>
              </w:rPr>
            </w:pPr>
          </w:p>
          <w:p w:rsidR="00211990" w:rsidRPr="0055300F" w:rsidRDefault="00211990" w:rsidP="001E31D3">
            <w:pPr>
              <w:jc w:val="center"/>
              <w:rPr>
                <w:rFonts w:cs="Arial"/>
              </w:rPr>
            </w:pPr>
            <w:r w:rsidRPr="0055300F">
              <w:rPr>
                <w:rFonts w:cs="Arial"/>
              </w:rPr>
              <w:t>Former PIAAC National Project Manager France</w:t>
            </w:r>
          </w:p>
        </w:tc>
        <w:tc>
          <w:tcPr>
            <w:tcW w:w="1484" w:type="pct"/>
            <w:vAlign w:val="center"/>
          </w:tcPr>
          <w:p w:rsidR="00211990" w:rsidRPr="0055300F" w:rsidRDefault="00211990" w:rsidP="001E31D3">
            <w:pPr>
              <w:pStyle w:val="BodyText"/>
              <w:spacing w:after="0"/>
              <w:jc w:val="center"/>
              <w:rPr>
                <w:rFonts w:cs="Arial"/>
                <w:szCs w:val="20"/>
              </w:rPr>
            </w:pPr>
            <w:r w:rsidRPr="0055300F">
              <w:rPr>
                <w:rFonts w:cs="Arial"/>
                <w:szCs w:val="20"/>
              </w:rPr>
              <w:t>OECD (Organisation for Economic Cooperation and Development)</w:t>
            </w:r>
          </w:p>
        </w:tc>
        <w:tc>
          <w:tcPr>
            <w:tcW w:w="781" w:type="pct"/>
            <w:vAlign w:val="center"/>
          </w:tcPr>
          <w:p w:rsidR="00211990" w:rsidRPr="0055300F" w:rsidRDefault="00211990" w:rsidP="001E31D3">
            <w:pPr>
              <w:pStyle w:val="BodyText"/>
              <w:spacing w:after="0"/>
              <w:jc w:val="center"/>
              <w:rPr>
                <w:rFonts w:cs="Arial"/>
                <w:szCs w:val="20"/>
              </w:rPr>
            </w:pPr>
            <w:r w:rsidRPr="0055300F">
              <w:rPr>
                <w:rFonts w:cs="Arial"/>
                <w:szCs w:val="20"/>
              </w:rPr>
              <w:t>09.11.2015</w:t>
            </w:r>
          </w:p>
        </w:tc>
      </w:tr>
      <w:tr w:rsidR="00211990" w:rsidRPr="0055300F" w:rsidTr="001E31D3">
        <w:tc>
          <w:tcPr>
            <w:tcW w:w="860" w:type="pct"/>
            <w:vAlign w:val="center"/>
          </w:tcPr>
          <w:p w:rsidR="00211990" w:rsidRPr="0055300F" w:rsidRDefault="00211990" w:rsidP="001E31D3">
            <w:pPr>
              <w:pStyle w:val="BodyText"/>
              <w:spacing w:after="0"/>
              <w:jc w:val="center"/>
              <w:rPr>
                <w:rFonts w:cs="Arial"/>
                <w:szCs w:val="20"/>
              </w:rPr>
            </w:pPr>
            <w:r w:rsidRPr="0055300F">
              <w:rPr>
                <w:rFonts w:cs="Arial"/>
                <w:szCs w:val="20"/>
              </w:rPr>
              <w:t>Researcher</w:t>
            </w:r>
          </w:p>
        </w:tc>
        <w:tc>
          <w:tcPr>
            <w:tcW w:w="859" w:type="pct"/>
            <w:vAlign w:val="center"/>
          </w:tcPr>
          <w:p w:rsidR="00211990" w:rsidRPr="0055300F" w:rsidRDefault="00211990" w:rsidP="001E31D3">
            <w:pPr>
              <w:pStyle w:val="BodyText"/>
              <w:spacing w:after="0"/>
              <w:jc w:val="center"/>
              <w:rPr>
                <w:rFonts w:cs="Arial"/>
                <w:szCs w:val="20"/>
              </w:rPr>
            </w:pPr>
            <w:r w:rsidRPr="0055300F">
              <w:rPr>
                <w:rFonts w:cs="Arial"/>
                <w:szCs w:val="20"/>
              </w:rPr>
              <w:t>Patrick Werquin</w:t>
            </w:r>
          </w:p>
        </w:tc>
        <w:tc>
          <w:tcPr>
            <w:tcW w:w="1016" w:type="pct"/>
            <w:vAlign w:val="center"/>
          </w:tcPr>
          <w:p w:rsidR="00211990" w:rsidRPr="0055300F" w:rsidRDefault="00211990" w:rsidP="001E31D3">
            <w:pPr>
              <w:pStyle w:val="BodyText"/>
              <w:spacing w:after="0"/>
              <w:jc w:val="center"/>
              <w:rPr>
                <w:rFonts w:cs="Arial"/>
                <w:szCs w:val="20"/>
              </w:rPr>
            </w:pPr>
            <w:r w:rsidRPr="0055300F">
              <w:rPr>
                <w:rFonts w:cs="Arial"/>
                <w:szCs w:val="20"/>
              </w:rPr>
              <w:t>Professor at CNAM &amp; international education consultant</w:t>
            </w:r>
          </w:p>
          <w:p w:rsidR="00211990" w:rsidRPr="0055300F" w:rsidRDefault="00211990" w:rsidP="001E31D3">
            <w:pPr>
              <w:pStyle w:val="BodyText"/>
              <w:spacing w:after="0"/>
              <w:jc w:val="center"/>
              <w:rPr>
                <w:rFonts w:cs="Arial"/>
                <w:szCs w:val="20"/>
              </w:rPr>
            </w:pPr>
            <w:r w:rsidRPr="0055300F">
              <w:rPr>
                <w:rFonts w:cs="Arial"/>
                <w:szCs w:val="20"/>
              </w:rPr>
              <w:t>Former Senior Economist with the OECD (Directorate for Education)</w:t>
            </w:r>
          </w:p>
        </w:tc>
        <w:tc>
          <w:tcPr>
            <w:tcW w:w="1484" w:type="pct"/>
            <w:vAlign w:val="center"/>
          </w:tcPr>
          <w:p w:rsidR="00211990" w:rsidRPr="0055300F" w:rsidRDefault="00211990" w:rsidP="001E31D3">
            <w:pPr>
              <w:pStyle w:val="BodyText"/>
              <w:spacing w:after="0"/>
              <w:jc w:val="center"/>
              <w:rPr>
                <w:rFonts w:cs="Arial"/>
                <w:szCs w:val="20"/>
              </w:rPr>
            </w:pPr>
            <w:r w:rsidRPr="0055300F">
              <w:rPr>
                <w:rFonts w:cs="Arial"/>
                <w:szCs w:val="20"/>
              </w:rPr>
              <w:t>CNAM (</w:t>
            </w:r>
            <w:r w:rsidRPr="0055300F">
              <w:rPr>
                <w:rFonts w:cs="Arial"/>
                <w:i/>
                <w:szCs w:val="20"/>
              </w:rPr>
              <w:t xml:space="preserve">Conservatoire </w:t>
            </w:r>
            <w:r w:rsidRPr="0055300F">
              <w:rPr>
                <w:rFonts w:cs="Arial"/>
                <w:szCs w:val="20"/>
              </w:rPr>
              <w:t>national des arts et métiers – French Tertiary Education and Research Institution)</w:t>
            </w:r>
          </w:p>
        </w:tc>
        <w:tc>
          <w:tcPr>
            <w:tcW w:w="781" w:type="pct"/>
            <w:vAlign w:val="center"/>
          </w:tcPr>
          <w:p w:rsidR="00211990" w:rsidRPr="0055300F" w:rsidRDefault="00211990" w:rsidP="001E31D3">
            <w:pPr>
              <w:pStyle w:val="BodyText"/>
              <w:spacing w:after="0"/>
              <w:jc w:val="center"/>
              <w:rPr>
                <w:rFonts w:cs="Arial"/>
                <w:szCs w:val="20"/>
              </w:rPr>
            </w:pPr>
            <w:r w:rsidRPr="0055300F">
              <w:rPr>
                <w:rFonts w:cs="Arial"/>
                <w:szCs w:val="20"/>
              </w:rPr>
              <w:t>13.11.2015</w:t>
            </w:r>
          </w:p>
        </w:tc>
      </w:tr>
      <w:tr w:rsidR="00211990" w:rsidRPr="0055300F" w:rsidTr="001E31D3">
        <w:trPr>
          <w:trHeight w:val="456"/>
        </w:trPr>
        <w:tc>
          <w:tcPr>
            <w:tcW w:w="5000" w:type="pct"/>
            <w:gridSpan w:val="5"/>
            <w:vAlign w:val="center"/>
          </w:tcPr>
          <w:p w:rsidR="00211990" w:rsidRPr="0055300F" w:rsidRDefault="00211990" w:rsidP="001E31D3">
            <w:pPr>
              <w:pStyle w:val="BodyText"/>
              <w:spacing w:after="0"/>
              <w:jc w:val="center"/>
              <w:rPr>
                <w:rFonts w:cs="Arial"/>
                <w:b/>
                <w:szCs w:val="20"/>
              </w:rPr>
            </w:pPr>
            <w:r w:rsidRPr="0055300F">
              <w:rPr>
                <w:rFonts w:cs="Arial"/>
                <w:b/>
                <w:szCs w:val="20"/>
              </w:rPr>
              <w:t>Spain</w:t>
            </w:r>
          </w:p>
        </w:tc>
      </w:tr>
      <w:tr w:rsidR="00211990" w:rsidRPr="0055300F" w:rsidTr="001E31D3">
        <w:trPr>
          <w:trHeight w:val="691"/>
        </w:trPr>
        <w:tc>
          <w:tcPr>
            <w:tcW w:w="860" w:type="pct"/>
            <w:vAlign w:val="center"/>
          </w:tcPr>
          <w:p w:rsidR="00211990" w:rsidRPr="0055300F" w:rsidRDefault="00211990" w:rsidP="001E31D3">
            <w:pPr>
              <w:pStyle w:val="BodyText"/>
              <w:spacing w:after="0"/>
              <w:jc w:val="center"/>
              <w:rPr>
                <w:rFonts w:cs="Arial"/>
                <w:szCs w:val="20"/>
              </w:rPr>
            </w:pPr>
            <w:r w:rsidRPr="0055300F">
              <w:rPr>
                <w:rFonts w:cs="Arial"/>
                <w:szCs w:val="20"/>
              </w:rPr>
              <w:t>Policy-maker</w:t>
            </w:r>
          </w:p>
        </w:tc>
        <w:tc>
          <w:tcPr>
            <w:tcW w:w="859" w:type="pct"/>
            <w:vAlign w:val="center"/>
          </w:tcPr>
          <w:p w:rsidR="00211990" w:rsidRPr="0055300F" w:rsidRDefault="00211990" w:rsidP="001E31D3">
            <w:pPr>
              <w:pStyle w:val="BodyText"/>
              <w:spacing w:after="0"/>
              <w:jc w:val="center"/>
              <w:rPr>
                <w:rFonts w:cs="Arial"/>
                <w:szCs w:val="20"/>
              </w:rPr>
            </w:pPr>
            <w:r w:rsidRPr="0055300F">
              <w:rPr>
                <w:rFonts w:cs="Arial"/>
                <w:szCs w:val="20"/>
                <w:lang w:val="es-ES"/>
              </w:rPr>
              <w:t xml:space="preserve">Luis Sanz San Miguel </w:t>
            </w:r>
          </w:p>
        </w:tc>
        <w:tc>
          <w:tcPr>
            <w:tcW w:w="1016" w:type="pct"/>
          </w:tcPr>
          <w:p w:rsidR="00211990" w:rsidRPr="0055300F" w:rsidRDefault="00211990" w:rsidP="001E31D3">
            <w:pPr>
              <w:pStyle w:val="BodyText"/>
              <w:spacing w:after="0"/>
              <w:jc w:val="center"/>
              <w:rPr>
                <w:rFonts w:cs="Arial"/>
                <w:szCs w:val="20"/>
              </w:rPr>
            </w:pPr>
            <w:r w:rsidRPr="0055300F">
              <w:rPr>
                <w:rFonts w:cs="Arial"/>
                <w:szCs w:val="20"/>
              </w:rPr>
              <w:t xml:space="preserve">PIAAC National Expert and member of the INEE (National Institute of Evaluation on Education) </w:t>
            </w:r>
          </w:p>
        </w:tc>
        <w:tc>
          <w:tcPr>
            <w:tcW w:w="1484" w:type="pct"/>
            <w:vAlign w:val="center"/>
          </w:tcPr>
          <w:p w:rsidR="00211990" w:rsidRPr="0055300F" w:rsidRDefault="00211990" w:rsidP="001E31D3">
            <w:pPr>
              <w:pStyle w:val="BodyText"/>
              <w:spacing w:after="0"/>
              <w:jc w:val="center"/>
              <w:rPr>
                <w:rFonts w:cs="Arial"/>
                <w:szCs w:val="20"/>
              </w:rPr>
            </w:pPr>
            <w:r w:rsidRPr="0055300F">
              <w:rPr>
                <w:rFonts w:cs="Arial"/>
                <w:szCs w:val="20"/>
              </w:rPr>
              <w:t>Ministry of Education, Culture and Sport of Spain</w:t>
            </w:r>
          </w:p>
        </w:tc>
        <w:tc>
          <w:tcPr>
            <w:tcW w:w="781" w:type="pct"/>
            <w:vAlign w:val="center"/>
          </w:tcPr>
          <w:p w:rsidR="00211990" w:rsidRPr="0055300F" w:rsidRDefault="00211990" w:rsidP="001E31D3">
            <w:pPr>
              <w:pStyle w:val="BodyText"/>
              <w:spacing w:after="0"/>
              <w:jc w:val="center"/>
              <w:rPr>
                <w:rFonts w:cs="Arial"/>
                <w:szCs w:val="20"/>
              </w:rPr>
            </w:pPr>
            <w:r w:rsidRPr="0055300F">
              <w:rPr>
                <w:rFonts w:cs="Arial"/>
                <w:szCs w:val="20"/>
              </w:rPr>
              <w:t>29.10.2015</w:t>
            </w:r>
          </w:p>
        </w:tc>
      </w:tr>
      <w:tr w:rsidR="00211990" w:rsidRPr="0055300F" w:rsidTr="001E31D3">
        <w:tc>
          <w:tcPr>
            <w:tcW w:w="860" w:type="pct"/>
            <w:vAlign w:val="center"/>
          </w:tcPr>
          <w:p w:rsidR="00211990" w:rsidRPr="0055300F" w:rsidRDefault="00211990" w:rsidP="001E31D3">
            <w:pPr>
              <w:pStyle w:val="BodyText"/>
              <w:spacing w:after="0"/>
              <w:jc w:val="left"/>
              <w:rPr>
                <w:rFonts w:cs="Arial"/>
                <w:szCs w:val="20"/>
              </w:rPr>
            </w:pPr>
            <w:r w:rsidRPr="0055300F">
              <w:rPr>
                <w:rFonts w:cs="Arial"/>
                <w:szCs w:val="20"/>
              </w:rPr>
              <w:t>Policy-maker</w:t>
            </w:r>
          </w:p>
        </w:tc>
        <w:tc>
          <w:tcPr>
            <w:tcW w:w="859" w:type="pct"/>
            <w:vAlign w:val="center"/>
          </w:tcPr>
          <w:p w:rsidR="00211990" w:rsidRPr="0055300F" w:rsidRDefault="00211990" w:rsidP="001E31D3">
            <w:pPr>
              <w:pStyle w:val="BodyText"/>
              <w:spacing w:after="0"/>
              <w:jc w:val="left"/>
              <w:rPr>
                <w:rFonts w:cs="Arial"/>
                <w:szCs w:val="20"/>
                <w:lang w:val="es-ES"/>
              </w:rPr>
            </w:pPr>
            <w:r w:rsidRPr="0055300F">
              <w:rPr>
                <w:rFonts w:cs="Arial"/>
                <w:szCs w:val="20"/>
                <w:lang w:val="es-ES"/>
              </w:rPr>
              <w:t>Francisco Javier García Crespo</w:t>
            </w:r>
          </w:p>
        </w:tc>
        <w:tc>
          <w:tcPr>
            <w:tcW w:w="1016" w:type="pct"/>
          </w:tcPr>
          <w:p w:rsidR="00211990" w:rsidRPr="0055300F" w:rsidRDefault="00211990" w:rsidP="001E31D3">
            <w:pPr>
              <w:pStyle w:val="BodyText"/>
              <w:spacing w:after="0"/>
              <w:jc w:val="left"/>
              <w:rPr>
                <w:rFonts w:cs="Arial"/>
                <w:szCs w:val="20"/>
              </w:rPr>
            </w:pPr>
            <w:r w:rsidRPr="0055300F">
              <w:rPr>
                <w:rFonts w:cs="Arial"/>
                <w:szCs w:val="20"/>
              </w:rPr>
              <w:t>Head of Data Management and General Affaires Department and involved in the PIAAC implementation for Spain</w:t>
            </w:r>
          </w:p>
        </w:tc>
        <w:tc>
          <w:tcPr>
            <w:tcW w:w="1484" w:type="pct"/>
            <w:vAlign w:val="center"/>
          </w:tcPr>
          <w:p w:rsidR="00211990" w:rsidRPr="0055300F" w:rsidRDefault="00211990" w:rsidP="001E31D3">
            <w:pPr>
              <w:pStyle w:val="BodyText"/>
              <w:spacing w:after="0"/>
              <w:jc w:val="left"/>
              <w:rPr>
                <w:rFonts w:cs="Arial"/>
                <w:szCs w:val="20"/>
              </w:rPr>
            </w:pPr>
            <w:r w:rsidRPr="0055300F">
              <w:rPr>
                <w:rFonts w:cs="Arial"/>
                <w:szCs w:val="20"/>
              </w:rPr>
              <w:t>Ministry of Education, Culture and Sport of Spain</w:t>
            </w:r>
          </w:p>
        </w:tc>
        <w:tc>
          <w:tcPr>
            <w:tcW w:w="781" w:type="pct"/>
            <w:vAlign w:val="center"/>
          </w:tcPr>
          <w:p w:rsidR="00211990" w:rsidRPr="0055300F" w:rsidRDefault="00211990" w:rsidP="001E31D3">
            <w:pPr>
              <w:pStyle w:val="BodyText"/>
              <w:spacing w:after="0"/>
              <w:jc w:val="center"/>
              <w:rPr>
                <w:rFonts w:cs="Arial"/>
                <w:szCs w:val="20"/>
              </w:rPr>
            </w:pPr>
            <w:r w:rsidRPr="0055300F">
              <w:rPr>
                <w:rFonts w:cs="Arial"/>
                <w:szCs w:val="20"/>
              </w:rPr>
              <w:t>29.10.2015</w:t>
            </w:r>
          </w:p>
        </w:tc>
      </w:tr>
      <w:tr w:rsidR="00211990" w:rsidRPr="0055300F" w:rsidTr="001E31D3">
        <w:tc>
          <w:tcPr>
            <w:tcW w:w="860" w:type="pct"/>
            <w:vAlign w:val="center"/>
          </w:tcPr>
          <w:p w:rsidR="00211990" w:rsidRPr="0055300F" w:rsidRDefault="00211990" w:rsidP="001E31D3">
            <w:pPr>
              <w:pStyle w:val="BodyText"/>
              <w:spacing w:after="0"/>
              <w:jc w:val="left"/>
              <w:rPr>
                <w:rFonts w:cs="Arial"/>
                <w:szCs w:val="20"/>
              </w:rPr>
            </w:pPr>
            <w:r w:rsidRPr="0055300F">
              <w:rPr>
                <w:rFonts w:cs="Arial"/>
                <w:szCs w:val="20"/>
              </w:rPr>
              <w:t>Researcher</w:t>
            </w:r>
          </w:p>
        </w:tc>
        <w:tc>
          <w:tcPr>
            <w:tcW w:w="859" w:type="pct"/>
            <w:vAlign w:val="center"/>
          </w:tcPr>
          <w:p w:rsidR="00211990" w:rsidRPr="0055300F" w:rsidRDefault="00211990" w:rsidP="001E31D3">
            <w:pPr>
              <w:pStyle w:val="BodyText"/>
              <w:spacing w:after="0"/>
              <w:jc w:val="left"/>
              <w:rPr>
                <w:rFonts w:cs="Arial"/>
                <w:szCs w:val="20"/>
                <w:lang w:val="es-ES"/>
              </w:rPr>
            </w:pPr>
            <w:r w:rsidRPr="0055300F">
              <w:rPr>
                <w:rFonts w:cs="Arial"/>
                <w:szCs w:val="20"/>
              </w:rPr>
              <w:t>Maria Ines Sancha Gonzalo</w:t>
            </w:r>
          </w:p>
        </w:tc>
        <w:tc>
          <w:tcPr>
            <w:tcW w:w="1016" w:type="pct"/>
          </w:tcPr>
          <w:p w:rsidR="00211990" w:rsidRPr="0055300F" w:rsidRDefault="00211990" w:rsidP="001E31D3">
            <w:pPr>
              <w:pStyle w:val="BodyText"/>
              <w:spacing w:after="0"/>
              <w:jc w:val="left"/>
              <w:rPr>
                <w:rFonts w:cs="Arial"/>
                <w:szCs w:val="20"/>
              </w:rPr>
            </w:pPr>
            <w:r w:rsidRPr="0055300F">
              <w:rPr>
                <w:rFonts w:cs="Arial"/>
                <w:szCs w:val="20"/>
              </w:rPr>
              <w:t>Co-National project Manager PIAAC Spain</w:t>
            </w:r>
          </w:p>
        </w:tc>
        <w:tc>
          <w:tcPr>
            <w:tcW w:w="1484" w:type="pct"/>
            <w:vAlign w:val="center"/>
          </w:tcPr>
          <w:p w:rsidR="00211990" w:rsidRPr="0055300F" w:rsidRDefault="00211990" w:rsidP="001E31D3">
            <w:pPr>
              <w:pStyle w:val="BodyText"/>
              <w:spacing w:after="0"/>
              <w:jc w:val="left"/>
              <w:rPr>
                <w:rFonts w:cs="Arial"/>
                <w:szCs w:val="20"/>
              </w:rPr>
            </w:pPr>
            <w:r w:rsidRPr="0055300F">
              <w:rPr>
                <w:rFonts w:cs="Arial"/>
                <w:szCs w:val="20"/>
                <w:lang w:val="es-ES"/>
              </w:rPr>
              <w:t>Fundación Tripartita para la Formación en el Empleo</w:t>
            </w:r>
          </w:p>
        </w:tc>
        <w:tc>
          <w:tcPr>
            <w:tcW w:w="781" w:type="pct"/>
            <w:vAlign w:val="center"/>
          </w:tcPr>
          <w:p w:rsidR="00211990" w:rsidRPr="0055300F" w:rsidRDefault="00211990" w:rsidP="001E31D3">
            <w:pPr>
              <w:pStyle w:val="BodyText"/>
              <w:spacing w:after="0"/>
              <w:rPr>
                <w:rFonts w:cs="Arial"/>
                <w:szCs w:val="20"/>
              </w:rPr>
            </w:pPr>
            <w:r w:rsidRPr="0055300F">
              <w:rPr>
                <w:rFonts w:cs="Arial"/>
                <w:szCs w:val="20"/>
              </w:rPr>
              <w:t>03.11.2015</w:t>
            </w:r>
          </w:p>
        </w:tc>
      </w:tr>
      <w:tr w:rsidR="00211990" w:rsidRPr="0055300F" w:rsidTr="001E31D3">
        <w:tc>
          <w:tcPr>
            <w:tcW w:w="860" w:type="pct"/>
            <w:vAlign w:val="center"/>
          </w:tcPr>
          <w:p w:rsidR="00211990" w:rsidRPr="0055300F" w:rsidRDefault="00211990" w:rsidP="001E31D3">
            <w:pPr>
              <w:pStyle w:val="BodyText"/>
              <w:spacing w:after="0"/>
              <w:jc w:val="left"/>
              <w:rPr>
                <w:rFonts w:cs="Arial"/>
                <w:szCs w:val="20"/>
              </w:rPr>
            </w:pPr>
            <w:r w:rsidRPr="0055300F">
              <w:rPr>
                <w:rFonts w:cs="Arial"/>
                <w:szCs w:val="20"/>
              </w:rPr>
              <w:t>Researcher</w:t>
            </w:r>
          </w:p>
        </w:tc>
        <w:tc>
          <w:tcPr>
            <w:tcW w:w="859" w:type="pct"/>
            <w:vAlign w:val="center"/>
          </w:tcPr>
          <w:p w:rsidR="00211990" w:rsidRPr="0055300F" w:rsidRDefault="00211990" w:rsidP="001E31D3">
            <w:pPr>
              <w:pStyle w:val="BodyText"/>
              <w:spacing w:after="0"/>
              <w:jc w:val="left"/>
              <w:rPr>
                <w:rFonts w:cs="Arial"/>
                <w:szCs w:val="20"/>
              </w:rPr>
            </w:pPr>
            <w:r w:rsidRPr="0055300F">
              <w:rPr>
                <w:rFonts w:cs="Arial"/>
                <w:szCs w:val="20"/>
              </w:rPr>
              <w:t>Francisco Sánchez Osorio</w:t>
            </w:r>
          </w:p>
        </w:tc>
        <w:tc>
          <w:tcPr>
            <w:tcW w:w="1016" w:type="pct"/>
          </w:tcPr>
          <w:p w:rsidR="00211990" w:rsidRPr="0055300F" w:rsidRDefault="00211990" w:rsidP="001E31D3">
            <w:pPr>
              <w:pStyle w:val="BodyText"/>
              <w:spacing w:after="0"/>
              <w:jc w:val="left"/>
              <w:rPr>
                <w:rFonts w:cs="Arial"/>
                <w:szCs w:val="20"/>
              </w:rPr>
            </w:pPr>
            <w:r>
              <w:rPr>
                <w:rFonts w:cs="Arial"/>
                <w:szCs w:val="20"/>
              </w:rPr>
              <w:t xml:space="preserve">Head of </w:t>
            </w:r>
            <w:r w:rsidRPr="0055300F">
              <w:rPr>
                <w:rFonts w:cs="Arial"/>
                <w:szCs w:val="20"/>
              </w:rPr>
              <w:t>Evaluation, S</w:t>
            </w:r>
            <w:r>
              <w:rPr>
                <w:rFonts w:cs="Arial"/>
                <w:szCs w:val="20"/>
              </w:rPr>
              <w:t xml:space="preserve">tudies and Management Training </w:t>
            </w:r>
            <w:r w:rsidRPr="0055300F">
              <w:rPr>
                <w:rFonts w:cs="Arial"/>
                <w:szCs w:val="20"/>
              </w:rPr>
              <w:t>Unit</w:t>
            </w:r>
          </w:p>
        </w:tc>
        <w:tc>
          <w:tcPr>
            <w:tcW w:w="1484" w:type="pct"/>
            <w:vAlign w:val="center"/>
          </w:tcPr>
          <w:p w:rsidR="00211990" w:rsidRPr="0055300F" w:rsidRDefault="00211990" w:rsidP="001E31D3">
            <w:pPr>
              <w:pStyle w:val="BodyText"/>
              <w:spacing w:after="0"/>
              <w:jc w:val="left"/>
              <w:rPr>
                <w:rFonts w:cs="Arial"/>
                <w:szCs w:val="20"/>
                <w:lang w:val="es-ES"/>
              </w:rPr>
            </w:pPr>
            <w:r w:rsidRPr="0055300F">
              <w:rPr>
                <w:rFonts w:cs="Arial"/>
                <w:szCs w:val="20"/>
                <w:lang w:val="es-ES"/>
              </w:rPr>
              <w:t>Fundación Tripartita para la Formación en el Empleo</w:t>
            </w:r>
          </w:p>
        </w:tc>
        <w:tc>
          <w:tcPr>
            <w:tcW w:w="781" w:type="pct"/>
            <w:vAlign w:val="center"/>
          </w:tcPr>
          <w:p w:rsidR="00211990" w:rsidRPr="0055300F" w:rsidRDefault="00211990" w:rsidP="001E31D3">
            <w:pPr>
              <w:pStyle w:val="BodyText"/>
              <w:spacing w:after="0"/>
              <w:rPr>
                <w:rFonts w:cs="Arial"/>
                <w:szCs w:val="20"/>
              </w:rPr>
            </w:pPr>
            <w:r w:rsidRPr="0055300F">
              <w:rPr>
                <w:rFonts w:cs="Arial"/>
                <w:szCs w:val="20"/>
              </w:rPr>
              <w:t>03.11.2015</w:t>
            </w:r>
          </w:p>
        </w:tc>
      </w:tr>
    </w:tbl>
    <w:p w:rsidR="00211990" w:rsidRDefault="00211990" w:rsidP="00211990">
      <w:pPr>
        <w:pStyle w:val="BodyText"/>
        <w:spacing w:line="288" w:lineRule="auto"/>
        <w:rPr>
          <w:rFonts w:cs="Arial"/>
          <w:szCs w:val="20"/>
        </w:rPr>
      </w:pPr>
    </w:p>
    <w:p w:rsidR="00211990" w:rsidRPr="003C1E6D" w:rsidRDefault="00211990" w:rsidP="00211990">
      <w:pPr>
        <w:pStyle w:val="Heading2"/>
        <w:spacing w:before="0" w:after="120" w:line="288" w:lineRule="auto"/>
        <w:ind w:left="1134" w:hanging="1134"/>
        <w:jc w:val="left"/>
        <w:rPr>
          <w:i/>
          <w:sz w:val="20"/>
          <w:szCs w:val="20"/>
        </w:rPr>
      </w:pPr>
      <w:bookmarkStart w:id="365" w:name="_Toc410125762"/>
      <w:bookmarkStart w:id="366" w:name="_Toc415752902"/>
      <w:bookmarkStart w:id="367" w:name="_Toc415753054"/>
      <w:bookmarkStart w:id="368" w:name="_Toc416182702"/>
      <w:bookmarkStart w:id="369" w:name="_Toc426718830"/>
      <w:bookmarkStart w:id="370" w:name="_Toc426719026"/>
      <w:bookmarkStart w:id="371" w:name="_Toc427069096"/>
      <w:bookmarkStart w:id="372" w:name="_Toc427154732"/>
      <w:bookmarkStart w:id="373" w:name="_Toc427232459"/>
      <w:bookmarkStart w:id="374" w:name="_Toc435802129"/>
      <w:r w:rsidRPr="003C1E6D">
        <w:rPr>
          <w:i/>
          <w:sz w:val="20"/>
          <w:szCs w:val="20"/>
        </w:rPr>
        <w:t>Task 5.3 Quality assurance</w:t>
      </w:r>
      <w:bookmarkEnd w:id="365"/>
      <w:r w:rsidRPr="003C1E6D">
        <w:rPr>
          <w:i/>
          <w:sz w:val="20"/>
          <w:szCs w:val="20"/>
        </w:rPr>
        <w:t xml:space="preserve"> of thematic research</w:t>
      </w:r>
      <w:bookmarkEnd w:id="366"/>
      <w:bookmarkEnd w:id="367"/>
      <w:bookmarkEnd w:id="368"/>
      <w:bookmarkEnd w:id="369"/>
      <w:bookmarkEnd w:id="370"/>
      <w:bookmarkEnd w:id="371"/>
      <w:bookmarkEnd w:id="372"/>
      <w:bookmarkEnd w:id="373"/>
      <w:bookmarkEnd w:id="374"/>
    </w:p>
    <w:p w:rsidR="00211990" w:rsidRPr="0055300F" w:rsidRDefault="00211990" w:rsidP="00211990">
      <w:pPr>
        <w:spacing w:after="120" w:line="288" w:lineRule="auto"/>
        <w:rPr>
          <w:rFonts w:cs="Arial"/>
          <w:szCs w:val="20"/>
        </w:rPr>
      </w:pPr>
      <w:r w:rsidRPr="003C1E6D">
        <w:rPr>
          <w:rFonts w:cs="Arial"/>
          <w:szCs w:val="20"/>
        </w:rPr>
        <w:t>The</w:t>
      </w:r>
      <w:r>
        <w:rPr>
          <w:rFonts w:cs="Arial"/>
          <w:szCs w:val="20"/>
        </w:rPr>
        <w:t xml:space="preserve"> quality of the thematic research was assured </w:t>
      </w:r>
      <w:r w:rsidRPr="003C1E6D">
        <w:rPr>
          <w:rFonts w:cs="Arial"/>
          <w:szCs w:val="20"/>
        </w:rPr>
        <w:t xml:space="preserve">by the Project Director </w:t>
      </w:r>
      <w:r>
        <w:rPr>
          <w:rFonts w:cs="Arial"/>
          <w:szCs w:val="20"/>
        </w:rPr>
        <w:t>taking into account the</w:t>
      </w:r>
      <w:r w:rsidRPr="003C1E6D">
        <w:rPr>
          <w:rFonts w:cs="Arial"/>
          <w:szCs w:val="20"/>
        </w:rPr>
        <w:t xml:space="preserve"> robustness and completeness of the outputs </w:t>
      </w:r>
      <w:bookmarkStart w:id="375" w:name="_Toc410125763"/>
      <w:bookmarkStart w:id="376" w:name="_Toc415752903"/>
      <w:bookmarkStart w:id="377" w:name="_Toc415753055"/>
      <w:bookmarkStart w:id="378" w:name="_Toc416182703"/>
      <w:r>
        <w:rPr>
          <w:rFonts w:cs="Arial"/>
          <w:szCs w:val="20"/>
        </w:rPr>
        <w:t xml:space="preserve">of the contextualisation phase. </w:t>
      </w:r>
      <w:r>
        <w:rPr>
          <w:szCs w:val="20"/>
        </w:rPr>
        <w:t>Outputs</w:t>
      </w:r>
      <w:r w:rsidRPr="003C1E6D">
        <w:rPr>
          <w:szCs w:val="20"/>
        </w:rPr>
        <w:t xml:space="preserve"> of the qualitative research f</w:t>
      </w:r>
      <w:r>
        <w:rPr>
          <w:szCs w:val="20"/>
        </w:rPr>
        <w:t>ed into relevant sections of this</w:t>
      </w:r>
      <w:r w:rsidRPr="003C1E6D">
        <w:rPr>
          <w:szCs w:val="20"/>
        </w:rPr>
        <w:t xml:space="preserve"> Draft Final Report to provide context, explanation and examples of key trends and issues emerging.</w:t>
      </w:r>
    </w:p>
    <w:p w:rsidR="00211990" w:rsidRPr="003C1E6D" w:rsidRDefault="00211990" w:rsidP="002B0882">
      <w:pPr>
        <w:pStyle w:val="Heading2"/>
        <w:spacing w:before="0" w:after="120" w:line="288" w:lineRule="auto"/>
        <w:jc w:val="left"/>
        <w:rPr>
          <w:sz w:val="20"/>
          <w:szCs w:val="20"/>
        </w:rPr>
      </w:pPr>
      <w:bookmarkStart w:id="379" w:name="_Toc426718831"/>
      <w:bookmarkStart w:id="380" w:name="_Toc426719027"/>
      <w:bookmarkStart w:id="381" w:name="_Toc427069097"/>
      <w:bookmarkStart w:id="382" w:name="_Toc427154733"/>
      <w:bookmarkStart w:id="383" w:name="_Toc427232460"/>
      <w:bookmarkStart w:id="384" w:name="_Toc435802130"/>
      <w:r w:rsidRPr="003C1E6D">
        <w:rPr>
          <w:sz w:val="20"/>
          <w:szCs w:val="20"/>
        </w:rPr>
        <w:t>Work Package 6: Validation and development of key findings and recommendations</w:t>
      </w:r>
      <w:bookmarkEnd w:id="375"/>
      <w:bookmarkEnd w:id="376"/>
      <w:bookmarkEnd w:id="377"/>
      <w:bookmarkEnd w:id="378"/>
      <w:bookmarkEnd w:id="379"/>
      <w:bookmarkEnd w:id="380"/>
      <w:bookmarkEnd w:id="381"/>
      <w:bookmarkEnd w:id="382"/>
      <w:bookmarkEnd w:id="383"/>
      <w:bookmarkEnd w:id="384"/>
    </w:p>
    <w:p w:rsidR="00211990" w:rsidRPr="003C1E6D" w:rsidRDefault="00211990" w:rsidP="00211990">
      <w:pPr>
        <w:pStyle w:val="BodyText"/>
        <w:spacing w:line="288" w:lineRule="auto"/>
        <w:rPr>
          <w:rFonts w:cs="Arial"/>
          <w:szCs w:val="20"/>
        </w:rPr>
      </w:pPr>
      <w:r w:rsidRPr="003C1E6D">
        <w:rPr>
          <w:rFonts w:cs="Arial"/>
          <w:szCs w:val="20"/>
        </w:rPr>
        <w:t xml:space="preserve">Following the finalisation of the different research tasks, we </w:t>
      </w:r>
      <w:r>
        <w:rPr>
          <w:rFonts w:cs="Arial"/>
          <w:szCs w:val="20"/>
        </w:rPr>
        <w:t>synthesised and validated</w:t>
      </w:r>
      <w:r w:rsidRPr="003C1E6D">
        <w:rPr>
          <w:rFonts w:cs="Arial"/>
          <w:szCs w:val="20"/>
        </w:rPr>
        <w:t xml:space="preserve"> our findings with a view to formulating conclusions and recommendations for the study. The following diagram provides an overview of how the different strands of the research </w:t>
      </w:r>
      <w:r>
        <w:rPr>
          <w:rFonts w:cs="Arial"/>
          <w:szCs w:val="20"/>
        </w:rPr>
        <w:t>fed</w:t>
      </w:r>
      <w:r w:rsidRPr="003C1E6D">
        <w:rPr>
          <w:rFonts w:cs="Arial"/>
          <w:szCs w:val="20"/>
        </w:rPr>
        <w:t xml:space="preserve"> into each other and inform</w:t>
      </w:r>
      <w:r>
        <w:rPr>
          <w:rFonts w:cs="Arial"/>
          <w:szCs w:val="20"/>
        </w:rPr>
        <w:t>ed</w:t>
      </w:r>
      <w:r w:rsidRPr="003C1E6D">
        <w:rPr>
          <w:rFonts w:cs="Arial"/>
          <w:szCs w:val="20"/>
        </w:rPr>
        <w:t xml:space="preserve"> the development of key findings and recommendations.</w:t>
      </w:r>
    </w:p>
    <w:p w:rsidR="00211990" w:rsidRPr="0055300F" w:rsidRDefault="00211990" w:rsidP="00211990">
      <w:pPr>
        <w:pStyle w:val="Caption"/>
        <w:spacing w:before="0" w:after="120" w:line="288" w:lineRule="auto"/>
        <w:rPr>
          <w:rFonts w:ascii="Verdana" w:hAnsi="Verdana"/>
          <w:b w:val="0"/>
          <w:color w:val="1F497D" w:themeColor="text2"/>
          <w:sz w:val="20"/>
        </w:rPr>
      </w:pPr>
      <w:r w:rsidRPr="0055300F">
        <w:rPr>
          <w:rFonts w:ascii="Verdana" w:hAnsi="Verdana"/>
          <w:b w:val="0"/>
          <w:color w:val="1F497D" w:themeColor="text2"/>
          <w:sz w:val="20"/>
        </w:rPr>
        <w:t xml:space="preserve">Figure A2 – Synthesis of the different research strands  </w:t>
      </w:r>
    </w:p>
    <w:p w:rsidR="00211990" w:rsidRPr="003C1E6D" w:rsidRDefault="00211990" w:rsidP="00211990">
      <w:pPr>
        <w:spacing w:after="120" w:line="288" w:lineRule="auto"/>
        <w:jc w:val="center"/>
        <w:rPr>
          <w:rFonts w:cs="Arial"/>
          <w:szCs w:val="20"/>
        </w:rPr>
      </w:pPr>
      <w:r w:rsidRPr="003C1E6D">
        <w:rPr>
          <w:rFonts w:cs="Arial"/>
          <w:szCs w:val="20"/>
        </w:rPr>
        <w:object w:dxaOrig="9325" w:dyaOrig="8588">
          <v:shape id="_x0000_i1031" type="#_x0000_t75" style="width:350.15pt;height:323.35pt" o:ole="">
            <v:imagedata r:id="rId109" o:title=""/>
          </v:shape>
          <o:OLEObject Type="Embed" ProgID="Visio.Drawing.11" ShapeID="_x0000_i1031" DrawAspect="Content" ObjectID="_1802864918" r:id="rId110"/>
        </w:object>
      </w:r>
    </w:p>
    <w:p w:rsidR="00211990" w:rsidRPr="003C1E6D" w:rsidRDefault="00211990" w:rsidP="00211990">
      <w:pPr>
        <w:pStyle w:val="Heading2"/>
        <w:spacing w:before="0" w:after="120" w:line="288" w:lineRule="auto"/>
        <w:ind w:left="1134" w:hanging="1134"/>
        <w:jc w:val="left"/>
        <w:rPr>
          <w:i/>
          <w:sz w:val="20"/>
          <w:szCs w:val="20"/>
        </w:rPr>
      </w:pPr>
      <w:bookmarkStart w:id="385" w:name="_Toc396404792"/>
      <w:bookmarkStart w:id="386" w:name="_Toc396405025"/>
      <w:bookmarkStart w:id="387" w:name="_Toc410125764"/>
      <w:bookmarkStart w:id="388" w:name="_Toc415752904"/>
      <w:bookmarkStart w:id="389" w:name="_Toc415753056"/>
      <w:bookmarkStart w:id="390" w:name="_Toc416182704"/>
      <w:bookmarkStart w:id="391" w:name="_Toc426718832"/>
      <w:bookmarkStart w:id="392" w:name="_Toc426719028"/>
      <w:bookmarkStart w:id="393" w:name="_Toc427069098"/>
      <w:bookmarkStart w:id="394" w:name="_Toc427154734"/>
      <w:bookmarkStart w:id="395" w:name="_Toc427232461"/>
      <w:bookmarkStart w:id="396" w:name="_Toc435802131"/>
      <w:r w:rsidRPr="003C1E6D">
        <w:rPr>
          <w:i/>
          <w:sz w:val="20"/>
          <w:szCs w:val="20"/>
        </w:rPr>
        <w:t xml:space="preserve">Task 6.1 </w:t>
      </w:r>
      <w:bookmarkEnd w:id="385"/>
      <w:bookmarkEnd w:id="386"/>
      <w:r w:rsidRPr="003C1E6D">
        <w:rPr>
          <w:i/>
          <w:sz w:val="20"/>
          <w:szCs w:val="20"/>
        </w:rPr>
        <w:t>Workshop of the Scientific Committee</w:t>
      </w:r>
      <w:bookmarkEnd w:id="387"/>
      <w:bookmarkEnd w:id="388"/>
      <w:bookmarkEnd w:id="389"/>
      <w:bookmarkEnd w:id="390"/>
      <w:bookmarkEnd w:id="391"/>
      <w:bookmarkEnd w:id="392"/>
      <w:bookmarkEnd w:id="393"/>
      <w:bookmarkEnd w:id="394"/>
      <w:bookmarkEnd w:id="395"/>
      <w:bookmarkEnd w:id="396"/>
    </w:p>
    <w:p w:rsidR="00211990" w:rsidRPr="003C1E6D" w:rsidRDefault="00211990" w:rsidP="00211990">
      <w:pPr>
        <w:pStyle w:val="BodyText"/>
        <w:spacing w:line="288" w:lineRule="auto"/>
        <w:rPr>
          <w:rFonts w:cs="Arial"/>
          <w:szCs w:val="20"/>
        </w:rPr>
      </w:pPr>
      <w:bookmarkStart w:id="397" w:name="_Toc396404793"/>
      <w:bookmarkStart w:id="398" w:name="_Toc396405026"/>
      <w:r w:rsidRPr="003C1E6D">
        <w:rPr>
          <w:szCs w:val="20"/>
        </w:rPr>
        <w:t xml:space="preserve">In order to bring together all the strands of the study and discuss the emerging final conclusions and recommendations, we </w:t>
      </w:r>
      <w:r>
        <w:rPr>
          <w:szCs w:val="20"/>
        </w:rPr>
        <w:t>held</w:t>
      </w:r>
      <w:r w:rsidRPr="003C1E6D">
        <w:rPr>
          <w:szCs w:val="20"/>
        </w:rPr>
        <w:t xml:space="preserve"> </w:t>
      </w:r>
      <w:r>
        <w:rPr>
          <w:szCs w:val="20"/>
        </w:rPr>
        <w:t xml:space="preserve">a final workshop with the Scientific Committee </w:t>
      </w:r>
      <w:r w:rsidRPr="003C1E6D">
        <w:rPr>
          <w:szCs w:val="20"/>
        </w:rPr>
        <w:t>on 23 October 2015</w:t>
      </w:r>
      <w:r>
        <w:rPr>
          <w:szCs w:val="20"/>
        </w:rPr>
        <w:t xml:space="preserve"> in London</w:t>
      </w:r>
      <w:r w:rsidRPr="003C1E6D">
        <w:rPr>
          <w:szCs w:val="20"/>
        </w:rPr>
        <w:t xml:space="preserve">. The goal of the workshop </w:t>
      </w:r>
      <w:r>
        <w:rPr>
          <w:szCs w:val="20"/>
        </w:rPr>
        <w:t>was</w:t>
      </w:r>
      <w:r w:rsidRPr="003C1E6D">
        <w:rPr>
          <w:szCs w:val="20"/>
        </w:rPr>
        <w:t xml:space="preserve"> to review the collective evidence base generated in the frame of this study. The workshop </w:t>
      </w:r>
      <w:r>
        <w:rPr>
          <w:szCs w:val="20"/>
        </w:rPr>
        <w:t>brought</w:t>
      </w:r>
      <w:r w:rsidRPr="003C1E6D">
        <w:rPr>
          <w:szCs w:val="20"/>
        </w:rPr>
        <w:t xml:space="preserve"> together the core research team, as well as the three High Level Experts: Professors Richard Desjardin, </w:t>
      </w:r>
      <w:r>
        <w:rPr>
          <w:szCs w:val="20"/>
        </w:rPr>
        <w:t xml:space="preserve">Silke Schneider (standing in for Beatrice Rammsted) </w:t>
      </w:r>
      <w:r w:rsidRPr="003C1E6D">
        <w:rPr>
          <w:szCs w:val="20"/>
        </w:rPr>
        <w:t>and Patrick Werquin</w:t>
      </w:r>
      <w:r w:rsidRPr="003C1E6D">
        <w:rPr>
          <w:rFonts w:cs="Arial"/>
          <w:szCs w:val="20"/>
        </w:rPr>
        <w:t xml:space="preserve">. </w:t>
      </w:r>
      <w:r>
        <w:rPr>
          <w:rFonts w:cs="Arial"/>
          <w:szCs w:val="20"/>
        </w:rPr>
        <w:t>Andrew McCoshan was also present at the meeting in his role as Quality Assurance Expert.</w:t>
      </w:r>
    </w:p>
    <w:p w:rsidR="00211990" w:rsidRPr="003C1E6D" w:rsidRDefault="00211990" w:rsidP="00211990">
      <w:pPr>
        <w:pStyle w:val="BodyText"/>
        <w:spacing w:line="288" w:lineRule="auto"/>
        <w:rPr>
          <w:rFonts w:cs="Arial"/>
          <w:szCs w:val="20"/>
        </w:rPr>
      </w:pPr>
      <w:r w:rsidRPr="003C1E6D">
        <w:rPr>
          <w:rFonts w:cs="Arial"/>
          <w:szCs w:val="20"/>
        </w:rPr>
        <w:t xml:space="preserve">As an input to the meeting, the experts </w:t>
      </w:r>
      <w:r>
        <w:rPr>
          <w:rFonts w:cs="Arial"/>
          <w:szCs w:val="20"/>
        </w:rPr>
        <w:t>were provided with all</w:t>
      </w:r>
      <w:r w:rsidRPr="003C1E6D">
        <w:rPr>
          <w:rFonts w:cs="Arial"/>
          <w:szCs w:val="20"/>
        </w:rPr>
        <w:t xml:space="preserve"> research findings</w:t>
      </w:r>
      <w:r>
        <w:rPr>
          <w:rFonts w:cs="Arial"/>
          <w:szCs w:val="20"/>
        </w:rPr>
        <w:t xml:space="preserve"> and a list of emerging questions</w:t>
      </w:r>
      <w:r w:rsidRPr="003C1E6D">
        <w:rPr>
          <w:rFonts w:cs="Arial"/>
          <w:szCs w:val="20"/>
        </w:rPr>
        <w:t xml:space="preserve">, which </w:t>
      </w:r>
      <w:r>
        <w:rPr>
          <w:rFonts w:cs="Arial"/>
          <w:szCs w:val="20"/>
        </w:rPr>
        <w:t>w</w:t>
      </w:r>
      <w:r w:rsidRPr="003C1E6D">
        <w:rPr>
          <w:rFonts w:cs="Arial"/>
          <w:szCs w:val="20"/>
        </w:rPr>
        <w:t>e</w:t>
      </w:r>
      <w:r>
        <w:rPr>
          <w:rFonts w:cs="Arial"/>
          <w:szCs w:val="20"/>
        </w:rPr>
        <w:t>re</w:t>
      </w:r>
      <w:r w:rsidRPr="003C1E6D">
        <w:rPr>
          <w:rFonts w:cs="Arial"/>
          <w:szCs w:val="20"/>
        </w:rPr>
        <w:t xml:space="preserve"> presented and discussed at the meeting. </w:t>
      </w:r>
      <w:r>
        <w:rPr>
          <w:rFonts w:cs="Arial"/>
          <w:szCs w:val="20"/>
        </w:rPr>
        <w:t xml:space="preserve">Further </w:t>
      </w:r>
      <w:r w:rsidRPr="003C1E6D">
        <w:rPr>
          <w:rFonts w:cs="Arial"/>
          <w:szCs w:val="20"/>
        </w:rPr>
        <w:t xml:space="preserve">key conclusions and recommendations emerging from the research findings </w:t>
      </w:r>
      <w:r>
        <w:rPr>
          <w:rFonts w:cs="Arial"/>
          <w:szCs w:val="20"/>
        </w:rPr>
        <w:t>were discussed. Outputs of the meetin</w:t>
      </w:r>
      <w:r w:rsidR="00E010B3">
        <w:rPr>
          <w:rFonts w:cs="Arial"/>
          <w:szCs w:val="20"/>
        </w:rPr>
        <w:t>g fed into this D</w:t>
      </w:r>
      <w:r>
        <w:rPr>
          <w:rFonts w:cs="Arial"/>
          <w:szCs w:val="20"/>
        </w:rPr>
        <w:t xml:space="preserve">raft </w:t>
      </w:r>
      <w:r w:rsidR="00E010B3">
        <w:rPr>
          <w:rFonts w:cs="Arial"/>
          <w:szCs w:val="20"/>
        </w:rPr>
        <w:t>Final R</w:t>
      </w:r>
      <w:r>
        <w:rPr>
          <w:rFonts w:cs="Arial"/>
          <w:szCs w:val="20"/>
        </w:rPr>
        <w:t>eport.</w:t>
      </w:r>
    </w:p>
    <w:p w:rsidR="00211990" w:rsidRPr="003C1E6D" w:rsidRDefault="00211990" w:rsidP="00211990">
      <w:pPr>
        <w:pStyle w:val="Heading2"/>
        <w:spacing w:before="0" w:after="120" w:line="288" w:lineRule="auto"/>
        <w:ind w:left="1134" w:hanging="1134"/>
        <w:jc w:val="left"/>
        <w:rPr>
          <w:i/>
          <w:sz w:val="20"/>
          <w:szCs w:val="20"/>
        </w:rPr>
      </w:pPr>
      <w:bookmarkStart w:id="399" w:name="_Toc410125765"/>
      <w:bookmarkStart w:id="400" w:name="_Toc415752905"/>
      <w:bookmarkStart w:id="401" w:name="_Toc415753057"/>
      <w:bookmarkStart w:id="402" w:name="_Toc416182705"/>
      <w:bookmarkStart w:id="403" w:name="_Toc426718833"/>
      <w:bookmarkStart w:id="404" w:name="_Toc426719029"/>
      <w:bookmarkStart w:id="405" w:name="_Toc427069099"/>
      <w:bookmarkStart w:id="406" w:name="_Toc427154735"/>
      <w:bookmarkStart w:id="407" w:name="_Toc427232462"/>
      <w:bookmarkStart w:id="408" w:name="_Toc435802132"/>
      <w:r w:rsidRPr="003C1E6D">
        <w:rPr>
          <w:i/>
          <w:sz w:val="20"/>
          <w:szCs w:val="20"/>
        </w:rPr>
        <w:t>Task</w:t>
      </w:r>
      <w:bookmarkEnd w:id="397"/>
      <w:bookmarkEnd w:id="398"/>
      <w:r w:rsidRPr="003C1E6D">
        <w:rPr>
          <w:i/>
          <w:sz w:val="20"/>
          <w:szCs w:val="20"/>
        </w:rPr>
        <w:t xml:space="preserve"> 6.2 Formulation of conclusions and recommendations</w:t>
      </w:r>
      <w:bookmarkEnd w:id="399"/>
      <w:bookmarkEnd w:id="400"/>
      <w:bookmarkEnd w:id="401"/>
      <w:bookmarkEnd w:id="402"/>
      <w:bookmarkEnd w:id="403"/>
      <w:bookmarkEnd w:id="404"/>
      <w:bookmarkEnd w:id="405"/>
      <w:bookmarkEnd w:id="406"/>
      <w:bookmarkEnd w:id="407"/>
      <w:bookmarkEnd w:id="408"/>
      <w:r w:rsidRPr="003C1E6D">
        <w:rPr>
          <w:i/>
          <w:sz w:val="20"/>
          <w:szCs w:val="20"/>
        </w:rPr>
        <w:t xml:space="preserve"> </w:t>
      </w:r>
    </w:p>
    <w:p w:rsidR="00211990" w:rsidRPr="003C1E6D" w:rsidRDefault="00211990" w:rsidP="00211990">
      <w:pPr>
        <w:pStyle w:val="BodyText"/>
        <w:spacing w:line="288" w:lineRule="auto"/>
        <w:rPr>
          <w:rFonts w:cs="Arial"/>
          <w:szCs w:val="20"/>
        </w:rPr>
      </w:pPr>
      <w:bookmarkStart w:id="409" w:name="_Toc396295174"/>
      <w:bookmarkStart w:id="410" w:name="_Toc396404795"/>
      <w:bookmarkStart w:id="411" w:name="_Toc396405028"/>
      <w:r w:rsidRPr="003C1E6D">
        <w:rPr>
          <w:rFonts w:cs="Arial"/>
          <w:szCs w:val="20"/>
        </w:rPr>
        <w:t xml:space="preserve">Following the workshop, the core team </w:t>
      </w:r>
      <w:r>
        <w:rPr>
          <w:rFonts w:cs="Arial"/>
          <w:szCs w:val="20"/>
        </w:rPr>
        <w:t>consolidated</w:t>
      </w:r>
      <w:r w:rsidRPr="003C1E6D">
        <w:rPr>
          <w:rFonts w:cs="Arial"/>
          <w:szCs w:val="20"/>
        </w:rPr>
        <w:t xml:space="preserve"> the evidence base to develop conclusions with a view to formulating policy recommendations. As specified in the ToR (p.3), </w:t>
      </w:r>
      <w:bookmarkEnd w:id="409"/>
      <w:bookmarkEnd w:id="410"/>
      <w:bookmarkEnd w:id="411"/>
      <w:r w:rsidRPr="003C1E6D">
        <w:rPr>
          <w:rFonts w:cs="Arial"/>
          <w:szCs w:val="20"/>
        </w:rPr>
        <w:t xml:space="preserve">these </w:t>
      </w:r>
      <w:r>
        <w:rPr>
          <w:rFonts w:cs="Arial"/>
          <w:szCs w:val="20"/>
        </w:rPr>
        <w:t>related to:</w:t>
      </w:r>
      <w:r w:rsidRPr="003C1E6D">
        <w:rPr>
          <w:rFonts w:cs="Arial"/>
          <w:szCs w:val="20"/>
        </w:rPr>
        <w:t xml:space="preserve"> </w:t>
      </w:r>
    </w:p>
    <w:p w:rsidR="00211990" w:rsidRPr="003C1E6D" w:rsidRDefault="00211990" w:rsidP="00F90C88">
      <w:pPr>
        <w:pStyle w:val="BodyText"/>
        <w:numPr>
          <w:ilvl w:val="0"/>
          <w:numId w:val="47"/>
        </w:numPr>
        <w:spacing w:line="288" w:lineRule="auto"/>
        <w:ind w:left="426" w:right="170" w:hanging="426"/>
        <w:rPr>
          <w:rFonts w:cs="Arial"/>
          <w:szCs w:val="20"/>
        </w:rPr>
      </w:pPr>
      <w:r w:rsidRPr="003C1E6D">
        <w:rPr>
          <w:rFonts w:cs="Arial"/>
          <w:szCs w:val="20"/>
        </w:rPr>
        <w:t xml:space="preserve">The quality and effectiveness of formal education based on the study findings; </w:t>
      </w:r>
    </w:p>
    <w:p w:rsidR="00211990" w:rsidRPr="003C1E6D" w:rsidRDefault="00211990" w:rsidP="00F90C88">
      <w:pPr>
        <w:pStyle w:val="BodyText"/>
        <w:numPr>
          <w:ilvl w:val="0"/>
          <w:numId w:val="47"/>
        </w:numPr>
        <w:spacing w:line="288" w:lineRule="auto"/>
        <w:ind w:left="426" w:right="170" w:hanging="426"/>
        <w:rPr>
          <w:rFonts w:cs="Arial"/>
          <w:szCs w:val="20"/>
        </w:rPr>
      </w:pPr>
      <w:r w:rsidRPr="003C1E6D">
        <w:rPr>
          <w:rFonts w:cs="Arial"/>
          <w:szCs w:val="20"/>
        </w:rPr>
        <w:t xml:space="preserve">Any adjustments or improvements related to the comparability of formal educational qualifications across Europe; </w:t>
      </w:r>
    </w:p>
    <w:p w:rsidR="00211990" w:rsidRPr="003C1E6D" w:rsidRDefault="00211990" w:rsidP="00F90C88">
      <w:pPr>
        <w:pStyle w:val="BodyText"/>
        <w:numPr>
          <w:ilvl w:val="0"/>
          <w:numId w:val="47"/>
        </w:numPr>
        <w:spacing w:line="288" w:lineRule="auto"/>
        <w:ind w:left="426" w:right="170" w:hanging="426"/>
        <w:rPr>
          <w:rFonts w:cs="Arial"/>
          <w:szCs w:val="20"/>
        </w:rPr>
      </w:pPr>
      <w:r w:rsidRPr="003C1E6D">
        <w:rPr>
          <w:rFonts w:cs="Arial"/>
          <w:szCs w:val="20"/>
        </w:rPr>
        <w:t xml:space="preserve">Any insights generated for the further development of international competence assessment tests. </w:t>
      </w:r>
    </w:p>
    <w:p w:rsidR="00211990" w:rsidRPr="003C1E6D" w:rsidRDefault="00211990" w:rsidP="00211990">
      <w:pPr>
        <w:pStyle w:val="Heading2"/>
        <w:spacing w:before="0" w:after="120" w:line="288" w:lineRule="auto"/>
        <w:ind w:left="1134" w:hanging="1134"/>
        <w:jc w:val="left"/>
        <w:rPr>
          <w:sz w:val="20"/>
          <w:szCs w:val="20"/>
        </w:rPr>
      </w:pPr>
      <w:bookmarkStart w:id="412" w:name="_Toc410125766"/>
      <w:bookmarkStart w:id="413" w:name="_Toc415752906"/>
      <w:bookmarkStart w:id="414" w:name="_Toc415753058"/>
      <w:bookmarkStart w:id="415" w:name="_Toc416182706"/>
      <w:bookmarkStart w:id="416" w:name="_Toc426718834"/>
      <w:bookmarkStart w:id="417" w:name="_Toc426719030"/>
      <w:bookmarkStart w:id="418" w:name="_Toc427069100"/>
      <w:bookmarkStart w:id="419" w:name="_Toc427154736"/>
      <w:bookmarkStart w:id="420" w:name="_Toc427232463"/>
      <w:bookmarkStart w:id="421" w:name="_Toc435802133"/>
      <w:r w:rsidRPr="003C1E6D">
        <w:rPr>
          <w:sz w:val="20"/>
          <w:szCs w:val="20"/>
        </w:rPr>
        <w:t>Work Package 7: Final reporting and presentation</w:t>
      </w:r>
      <w:bookmarkEnd w:id="412"/>
      <w:bookmarkEnd w:id="413"/>
      <w:bookmarkEnd w:id="414"/>
      <w:bookmarkEnd w:id="415"/>
      <w:bookmarkEnd w:id="416"/>
      <w:bookmarkEnd w:id="417"/>
      <w:bookmarkEnd w:id="418"/>
      <w:bookmarkEnd w:id="419"/>
      <w:bookmarkEnd w:id="420"/>
      <w:bookmarkEnd w:id="421"/>
    </w:p>
    <w:p w:rsidR="00211990" w:rsidRDefault="00211990" w:rsidP="00211990">
      <w:pPr>
        <w:pStyle w:val="BodyText"/>
        <w:spacing w:line="288" w:lineRule="auto"/>
        <w:rPr>
          <w:rFonts w:cs="Arial"/>
          <w:szCs w:val="20"/>
        </w:rPr>
      </w:pPr>
      <w:r w:rsidRPr="003C1E6D">
        <w:rPr>
          <w:rFonts w:cs="Arial"/>
          <w:szCs w:val="20"/>
        </w:rPr>
        <w:t xml:space="preserve">This final work package </w:t>
      </w:r>
      <w:r>
        <w:rPr>
          <w:rFonts w:cs="Arial"/>
          <w:szCs w:val="20"/>
        </w:rPr>
        <w:t>brings</w:t>
      </w:r>
      <w:r w:rsidRPr="003C1E6D">
        <w:rPr>
          <w:rFonts w:cs="Arial"/>
          <w:szCs w:val="20"/>
        </w:rPr>
        <w:t xml:space="preserve"> together the analyses undertaken under the different study tasks. </w:t>
      </w:r>
      <w:r w:rsidR="00E010B3">
        <w:rPr>
          <w:rFonts w:cs="Arial"/>
          <w:szCs w:val="20"/>
        </w:rPr>
        <w:t>As agreed, this D</w:t>
      </w:r>
      <w:r>
        <w:rPr>
          <w:rFonts w:cs="Arial"/>
          <w:szCs w:val="20"/>
        </w:rPr>
        <w:t xml:space="preserve">raft </w:t>
      </w:r>
      <w:r w:rsidR="00E010B3">
        <w:rPr>
          <w:rFonts w:cs="Arial"/>
          <w:szCs w:val="20"/>
        </w:rPr>
        <w:t>F</w:t>
      </w:r>
      <w:r>
        <w:rPr>
          <w:rFonts w:cs="Arial"/>
          <w:szCs w:val="20"/>
        </w:rPr>
        <w:t xml:space="preserve">inal </w:t>
      </w:r>
      <w:r w:rsidR="00E010B3">
        <w:rPr>
          <w:rFonts w:cs="Arial"/>
          <w:szCs w:val="20"/>
        </w:rPr>
        <w:t>R</w:t>
      </w:r>
      <w:r>
        <w:rPr>
          <w:rFonts w:cs="Arial"/>
          <w:szCs w:val="20"/>
        </w:rPr>
        <w:t>eport is submitted on the 20</w:t>
      </w:r>
      <w:r w:rsidRPr="0055300F">
        <w:rPr>
          <w:rFonts w:cs="Arial"/>
          <w:szCs w:val="20"/>
          <w:vertAlign w:val="superscript"/>
        </w:rPr>
        <w:t>th</w:t>
      </w:r>
      <w:r>
        <w:rPr>
          <w:rFonts w:cs="Arial"/>
          <w:szCs w:val="20"/>
        </w:rPr>
        <w:t xml:space="preserve"> of November 2015. A final meeting with the Steering Committee will take place on the 30</w:t>
      </w:r>
      <w:r w:rsidRPr="0032050F">
        <w:rPr>
          <w:rFonts w:cs="Arial"/>
          <w:szCs w:val="20"/>
          <w:vertAlign w:val="superscript"/>
        </w:rPr>
        <w:t>th</w:t>
      </w:r>
      <w:r>
        <w:rPr>
          <w:rFonts w:cs="Arial"/>
          <w:szCs w:val="20"/>
        </w:rPr>
        <w:t xml:space="preserve"> of November 2015 in Brussels. Taking on board any feedback</w:t>
      </w:r>
      <w:r w:rsidR="00E010B3">
        <w:rPr>
          <w:rFonts w:cs="Arial"/>
          <w:szCs w:val="20"/>
        </w:rPr>
        <w:t xml:space="preserve"> from the Steering Committee a Final R</w:t>
      </w:r>
      <w:r>
        <w:rPr>
          <w:rFonts w:cs="Arial"/>
          <w:szCs w:val="20"/>
        </w:rPr>
        <w:t>eport will be submitted by the 11</w:t>
      </w:r>
      <w:r w:rsidRPr="0032050F">
        <w:rPr>
          <w:rFonts w:cs="Arial"/>
          <w:szCs w:val="20"/>
          <w:vertAlign w:val="superscript"/>
        </w:rPr>
        <w:t>th</w:t>
      </w:r>
      <w:r>
        <w:rPr>
          <w:rFonts w:cs="Arial"/>
          <w:szCs w:val="20"/>
        </w:rPr>
        <w:t xml:space="preserve"> of December 2015.</w:t>
      </w:r>
    </w:p>
    <w:bookmarkEnd w:id="256"/>
    <w:p w:rsidR="00211990" w:rsidRPr="003C1E6D" w:rsidRDefault="00211990" w:rsidP="00211990">
      <w:pPr>
        <w:pStyle w:val="ListBullet"/>
        <w:tabs>
          <w:tab w:val="clear" w:pos="1418"/>
        </w:tabs>
        <w:spacing w:after="120"/>
        <w:ind w:left="0" w:firstLine="0"/>
        <w:rPr>
          <w:rFonts w:ascii="Verdana" w:hAnsi="Verdana" w:cs="Arial"/>
          <w:szCs w:val="20"/>
        </w:rPr>
      </w:pPr>
      <w:r w:rsidRPr="003C1E6D">
        <w:rPr>
          <w:rFonts w:ascii="Verdana" w:hAnsi="Verdana"/>
          <w:szCs w:val="20"/>
        </w:rPr>
        <w:t>A five-page executive summary in English will be submitted with the Final Report, as well as an abstract of the report in English, French and German</w:t>
      </w:r>
      <w:r w:rsidRPr="003C1E6D">
        <w:rPr>
          <w:rFonts w:ascii="Verdana" w:hAnsi="Verdana" w:cs="Arial"/>
          <w:szCs w:val="20"/>
        </w:rPr>
        <w:t xml:space="preserve">. </w:t>
      </w:r>
    </w:p>
    <w:p w:rsidR="00211990" w:rsidRPr="003C1E6D" w:rsidRDefault="00211990" w:rsidP="00211990">
      <w:pPr>
        <w:pStyle w:val="Subtitle"/>
        <w:rPr>
          <w:rFonts w:ascii="Verdana" w:hAnsi="Verdana" w:cs="Times New Roman"/>
          <w:sz w:val="20"/>
          <w:szCs w:val="20"/>
        </w:rPr>
      </w:pPr>
    </w:p>
    <w:p w:rsidR="00211990" w:rsidRDefault="00211990" w:rsidP="00211990">
      <w:pPr>
        <w:rPr>
          <w:color w:val="003C64"/>
          <w:szCs w:val="20"/>
        </w:rPr>
      </w:pPr>
      <w:r>
        <w:rPr>
          <w:b/>
          <w:szCs w:val="20"/>
        </w:rPr>
        <w:br w:type="page"/>
      </w:r>
    </w:p>
    <w:p w:rsidR="00211990" w:rsidRPr="0032050F" w:rsidRDefault="00211990" w:rsidP="00211990">
      <w:pPr>
        <w:pStyle w:val="Annexheading2"/>
        <w:rPr>
          <w:rFonts w:ascii="Verdana" w:hAnsi="Verdana"/>
          <w:b w:val="0"/>
        </w:rPr>
      </w:pPr>
      <w:r>
        <w:rPr>
          <w:rFonts w:ascii="Verdana" w:hAnsi="Verdana"/>
          <w:b w:val="0"/>
        </w:rPr>
        <w:t xml:space="preserve">Annex III – Features of the PIAAC sample  </w:t>
      </w:r>
    </w:p>
    <w:p w:rsidR="00211990" w:rsidRDefault="00211990" w:rsidP="00211990">
      <w:pPr>
        <w:pStyle w:val="BodyText"/>
        <w:spacing w:line="288" w:lineRule="auto"/>
        <w:rPr>
          <w:szCs w:val="20"/>
          <w:lang w:eastAsia="en-US"/>
        </w:rPr>
      </w:pPr>
      <w:r>
        <w:rPr>
          <w:szCs w:val="20"/>
          <w:lang w:eastAsia="en-US"/>
        </w:rPr>
        <w:t>Throughout this report, we use</w:t>
      </w:r>
      <w:r w:rsidRPr="00376A75">
        <w:rPr>
          <w:szCs w:val="20"/>
          <w:lang w:eastAsia="en-US"/>
        </w:rPr>
        <w:t xml:space="preserve"> the revised Public Use Files (PUF) of PIAAC, which were released on 10 March 2015, for 16 European countries</w:t>
      </w:r>
      <w:r>
        <w:rPr>
          <w:szCs w:val="20"/>
          <w:lang w:eastAsia="en-US"/>
        </w:rPr>
        <w:t xml:space="preserve"> (or sub regions, i.e. Flanders in the case of Belgium and England and Northern Ireland in the case of the United Kingdom)</w:t>
      </w:r>
      <w:r w:rsidRPr="00376A75">
        <w:rPr>
          <w:szCs w:val="20"/>
          <w:lang w:eastAsia="en-US"/>
        </w:rPr>
        <w:t>. This excludes Cyprus, for which public use files are not available</w:t>
      </w:r>
      <w:r>
        <w:rPr>
          <w:szCs w:val="20"/>
          <w:lang w:eastAsia="en-US"/>
        </w:rPr>
        <w:t xml:space="preserve"> and data quality is questionable (see e.g. Heisig/Solga 2015)</w:t>
      </w:r>
      <w:r w:rsidRPr="00376A75">
        <w:rPr>
          <w:szCs w:val="20"/>
          <w:lang w:eastAsia="en-US"/>
        </w:rPr>
        <w:t xml:space="preserve">. Further, the PIAAC sample in this report is restricted to young adults aged 20-34 years old. This is based on the assumption that the relationship between qualification levels and skill proficiency is more direct for this age group, while it weakens for older age groups due to non-formal learning (with a positive effect) and skill deterioration (with a negative effect) (see Desjardins/Warnke 2012). To account for varying patterns of graduation age from tertiary education in some countries, the upper age limit was chosen to be 34. </w:t>
      </w:r>
    </w:p>
    <w:p w:rsidR="00211990" w:rsidRDefault="00810364" w:rsidP="00211990">
      <w:pPr>
        <w:pStyle w:val="BodyText"/>
        <w:spacing w:line="288" w:lineRule="auto"/>
        <w:rPr>
          <w:szCs w:val="20"/>
          <w:lang w:eastAsia="en-US"/>
        </w:rPr>
      </w:pPr>
      <w:r>
        <w:rPr>
          <w:szCs w:val="20"/>
          <w:lang w:eastAsia="en-US"/>
        </w:rPr>
        <w:t>Table A2</w:t>
      </w:r>
      <w:r w:rsidR="00211990">
        <w:rPr>
          <w:szCs w:val="20"/>
          <w:lang w:eastAsia="en-US"/>
        </w:rPr>
        <w:t xml:space="preserve"> provides an overview of the sample sizes per country, as well as the share of literacy-related non-response and young people whose highest level of educational attainment is a foreign degree, by country.</w:t>
      </w:r>
    </w:p>
    <w:p w:rsidR="00211990" w:rsidRPr="00B3549B" w:rsidRDefault="00211990" w:rsidP="00211990">
      <w:pPr>
        <w:pStyle w:val="Caption"/>
        <w:rPr>
          <w:rFonts w:ascii="Verdana" w:hAnsi="Verdana"/>
          <w:b w:val="0"/>
          <w:color w:val="1F497D" w:themeColor="text2"/>
          <w:sz w:val="20"/>
        </w:rPr>
      </w:pPr>
      <w:r>
        <w:rPr>
          <w:rFonts w:ascii="Verdana" w:hAnsi="Verdana"/>
          <w:b w:val="0"/>
          <w:color w:val="1F497D" w:themeColor="text2"/>
          <w:sz w:val="20"/>
        </w:rPr>
        <w:t xml:space="preserve">Table </w:t>
      </w:r>
      <w:r w:rsidR="00810364">
        <w:rPr>
          <w:rFonts w:ascii="Verdana" w:hAnsi="Verdana"/>
          <w:b w:val="0"/>
          <w:color w:val="1F497D" w:themeColor="text2"/>
          <w:sz w:val="20"/>
        </w:rPr>
        <w:t>A</w:t>
      </w:r>
      <w:r w:rsidR="008E4735">
        <w:rPr>
          <w:rFonts w:ascii="Verdana" w:hAnsi="Verdana"/>
          <w:b w:val="0"/>
          <w:color w:val="1F497D" w:themeColor="text2"/>
          <w:sz w:val="20"/>
        </w:rPr>
        <w:t>2</w:t>
      </w:r>
      <w:r w:rsidRPr="00B3549B">
        <w:rPr>
          <w:rFonts w:ascii="Verdana" w:hAnsi="Verdana"/>
          <w:b w:val="0"/>
          <w:color w:val="1F497D" w:themeColor="text2"/>
          <w:sz w:val="20"/>
        </w:rPr>
        <w:t xml:space="preserve"> – Sample characteristics by country</w:t>
      </w:r>
    </w:p>
    <w:tbl>
      <w:tblPr>
        <w:tblStyle w:val="LightList-Accent1"/>
        <w:tblW w:w="506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
        <w:gridCol w:w="1000"/>
        <w:gridCol w:w="1113"/>
        <w:gridCol w:w="1408"/>
      </w:tblGrid>
      <w:tr w:rsidR="00211990" w:rsidRPr="00B3549B" w:rsidTr="001E31D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1" w:type="dxa"/>
            <w:shd w:val="clear" w:color="auto" w:fill="1F497D" w:themeFill="text2"/>
            <w:noWrap/>
            <w:hideMark/>
          </w:tcPr>
          <w:p w:rsidR="00211990" w:rsidRPr="008E4735" w:rsidRDefault="00211990" w:rsidP="001E31D3">
            <w:pPr>
              <w:rPr>
                <w:color w:val="FFFFFF" w:themeColor="background1"/>
                <w:sz w:val="20"/>
                <w:szCs w:val="20"/>
              </w:rPr>
            </w:pPr>
            <w:r w:rsidRPr="008E4735">
              <w:rPr>
                <w:bCs w:val="0"/>
                <w:color w:val="FFFFFF" w:themeColor="background1"/>
                <w:sz w:val="20"/>
                <w:szCs w:val="20"/>
              </w:rPr>
              <w:t>country</w:t>
            </w:r>
          </w:p>
        </w:tc>
        <w:tc>
          <w:tcPr>
            <w:tcW w:w="1000" w:type="dxa"/>
            <w:shd w:val="clear" w:color="auto" w:fill="1F497D" w:themeFill="text2"/>
          </w:tcPr>
          <w:p w:rsidR="00211990" w:rsidRPr="008E4735" w:rsidRDefault="00211990" w:rsidP="001E31D3">
            <w:pPr>
              <w:cnfStyle w:val="100000000000" w:firstRow="1" w:lastRow="0" w:firstColumn="0" w:lastColumn="0" w:oddVBand="0" w:evenVBand="0" w:oddHBand="0" w:evenHBand="0" w:firstRowFirstColumn="0" w:firstRowLastColumn="0" w:lastRowFirstColumn="0" w:lastRowLastColumn="0"/>
              <w:rPr>
                <w:color w:val="FFFFFF" w:themeColor="background1"/>
                <w:sz w:val="20"/>
                <w:szCs w:val="20"/>
              </w:rPr>
            </w:pPr>
            <w:r w:rsidRPr="008E4735">
              <w:rPr>
                <w:bCs w:val="0"/>
                <w:color w:val="FFFFFF" w:themeColor="background1"/>
                <w:sz w:val="20"/>
                <w:szCs w:val="20"/>
              </w:rPr>
              <w:t>Total</w:t>
            </w:r>
          </w:p>
        </w:tc>
        <w:tc>
          <w:tcPr>
            <w:tcW w:w="1113" w:type="dxa"/>
            <w:shd w:val="clear" w:color="auto" w:fill="1F497D" w:themeFill="text2"/>
            <w:noWrap/>
            <w:hideMark/>
          </w:tcPr>
          <w:p w:rsidR="00211990" w:rsidRPr="008E4735" w:rsidRDefault="00211990" w:rsidP="001E31D3">
            <w:pPr>
              <w:cnfStyle w:val="100000000000" w:firstRow="1" w:lastRow="0" w:firstColumn="0" w:lastColumn="0" w:oddVBand="0" w:evenVBand="0" w:oddHBand="0" w:evenHBand="0" w:firstRowFirstColumn="0" w:firstRowLastColumn="0" w:lastRowFirstColumn="0" w:lastRowLastColumn="0"/>
              <w:rPr>
                <w:color w:val="FFFFFF" w:themeColor="background1"/>
                <w:sz w:val="20"/>
                <w:szCs w:val="20"/>
              </w:rPr>
            </w:pPr>
            <w:r w:rsidRPr="008E4735">
              <w:rPr>
                <w:bCs w:val="0"/>
                <w:color w:val="FFFFFF" w:themeColor="background1"/>
                <w:sz w:val="20"/>
                <w:szCs w:val="20"/>
              </w:rPr>
              <w:t>% with foreign degrees</w:t>
            </w:r>
          </w:p>
        </w:tc>
        <w:tc>
          <w:tcPr>
            <w:tcW w:w="1408" w:type="dxa"/>
            <w:shd w:val="clear" w:color="auto" w:fill="1F497D" w:themeFill="text2"/>
            <w:vAlign w:val="bottom"/>
          </w:tcPr>
          <w:p w:rsidR="00211990" w:rsidRPr="008E4735" w:rsidRDefault="00211990" w:rsidP="001E31D3">
            <w:pPr>
              <w:cnfStyle w:val="100000000000" w:firstRow="1" w:lastRow="0" w:firstColumn="0" w:lastColumn="0" w:oddVBand="0" w:evenVBand="0" w:oddHBand="0" w:evenHBand="0" w:firstRowFirstColumn="0" w:firstRowLastColumn="0" w:lastRowFirstColumn="0" w:lastRowLastColumn="0"/>
              <w:rPr>
                <w:color w:val="FFFFFF" w:themeColor="background1"/>
                <w:sz w:val="20"/>
                <w:szCs w:val="20"/>
              </w:rPr>
            </w:pPr>
            <w:r w:rsidRPr="008E4735">
              <w:rPr>
                <w:color w:val="FFFFFF" w:themeColor="background1"/>
                <w:sz w:val="20"/>
                <w:szCs w:val="20"/>
              </w:rPr>
              <w:t>%literacy-related non-response</w:t>
            </w:r>
          </w:p>
        </w:tc>
      </w:tr>
      <w:tr w:rsidR="00211990" w:rsidRPr="001D78E1" w:rsidTr="001E31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AT</w:t>
            </w:r>
          </w:p>
        </w:tc>
        <w:tc>
          <w:tcPr>
            <w:tcW w:w="0" w:type="auto"/>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1,310</w:t>
            </w:r>
          </w:p>
        </w:tc>
        <w:tc>
          <w:tcPr>
            <w:tcW w:w="0" w:type="auto"/>
            <w:noWrap/>
            <w:hideMark/>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9%</w:t>
            </w:r>
          </w:p>
        </w:tc>
        <w:tc>
          <w:tcPr>
            <w:tcW w:w="0" w:type="auto"/>
            <w:vAlign w:val="bottom"/>
          </w:tcPr>
          <w:p w:rsidR="00211990" w:rsidRDefault="00211990" w:rsidP="001E31D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w:t>
            </w:r>
          </w:p>
        </w:tc>
      </w:tr>
      <w:tr w:rsidR="00211990" w:rsidRPr="001D78E1" w:rsidTr="001E31D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BE</w:t>
            </w:r>
            <w:r>
              <w:rPr>
                <w:color w:val="000000"/>
                <w:sz w:val="20"/>
                <w:szCs w:val="20"/>
              </w:rPr>
              <w:t xml:space="preserve"> (FL)</w:t>
            </w:r>
          </w:p>
        </w:tc>
        <w:tc>
          <w:tcPr>
            <w:tcW w:w="0" w:type="auto"/>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1,162</w:t>
            </w:r>
          </w:p>
        </w:tc>
        <w:tc>
          <w:tcPr>
            <w:tcW w:w="0" w:type="auto"/>
            <w:noWrap/>
            <w:hideMark/>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2%</w:t>
            </w:r>
          </w:p>
        </w:tc>
        <w:tc>
          <w:tcPr>
            <w:tcW w:w="0" w:type="auto"/>
            <w:vAlign w:val="bottom"/>
          </w:tcPr>
          <w:p w:rsidR="00211990" w:rsidRDefault="00211990" w:rsidP="001E31D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9%</w:t>
            </w:r>
          </w:p>
        </w:tc>
      </w:tr>
      <w:tr w:rsidR="00211990" w:rsidRPr="001D78E1" w:rsidTr="001E31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CZ</w:t>
            </w:r>
          </w:p>
        </w:tc>
        <w:tc>
          <w:tcPr>
            <w:tcW w:w="0" w:type="auto"/>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1,826</w:t>
            </w:r>
          </w:p>
        </w:tc>
        <w:tc>
          <w:tcPr>
            <w:tcW w:w="0" w:type="auto"/>
            <w:noWrap/>
            <w:hideMark/>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0%</w:t>
            </w:r>
          </w:p>
        </w:tc>
        <w:tc>
          <w:tcPr>
            <w:tcW w:w="0" w:type="auto"/>
            <w:vAlign w:val="bottom"/>
          </w:tcPr>
          <w:p w:rsidR="00211990" w:rsidRDefault="00211990" w:rsidP="001E31D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w:t>
            </w:r>
          </w:p>
        </w:tc>
      </w:tr>
      <w:tr w:rsidR="00211990" w:rsidRPr="001D78E1" w:rsidTr="001E31D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DE</w:t>
            </w:r>
          </w:p>
        </w:tc>
        <w:tc>
          <w:tcPr>
            <w:tcW w:w="0" w:type="auto"/>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1,431</w:t>
            </w:r>
          </w:p>
        </w:tc>
        <w:tc>
          <w:tcPr>
            <w:tcW w:w="0" w:type="auto"/>
            <w:noWrap/>
            <w:hideMark/>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1%</w:t>
            </w:r>
          </w:p>
        </w:tc>
        <w:tc>
          <w:tcPr>
            <w:tcW w:w="0" w:type="auto"/>
            <w:vAlign w:val="bottom"/>
          </w:tcPr>
          <w:p w:rsidR="00211990" w:rsidRDefault="00211990" w:rsidP="001E31D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w:t>
            </w:r>
          </w:p>
        </w:tc>
      </w:tr>
      <w:tr w:rsidR="00211990" w:rsidRPr="001D78E1" w:rsidTr="001E31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DK</w:t>
            </w:r>
          </w:p>
        </w:tc>
        <w:tc>
          <w:tcPr>
            <w:tcW w:w="0" w:type="auto"/>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1,492</w:t>
            </w:r>
          </w:p>
        </w:tc>
        <w:tc>
          <w:tcPr>
            <w:tcW w:w="0" w:type="auto"/>
            <w:noWrap/>
            <w:hideMark/>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3%</w:t>
            </w:r>
          </w:p>
        </w:tc>
        <w:tc>
          <w:tcPr>
            <w:tcW w:w="0" w:type="auto"/>
            <w:vAlign w:val="bottom"/>
          </w:tcPr>
          <w:p w:rsidR="00211990" w:rsidRDefault="00211990" w:rsidP="001E31D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w:t>
            </w:r>
          </w:p>
        </w:tc>
      </w:tr>
      <w:tr w:rsidR="00211990" w:rsidRPr="001D78E1" w:rsidTr="001E31D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EE</w:t>
            </w:r>
          </w:p>
        </w:tc>
        <w:tc>
          <w:tcPr>
            <w:tcW w:w="0" w:type="auto"/>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2,073</w:t>
            </w:r>
          </w:p>
        </w:tc>
        <w:tc>
          <w:tcPr>
            <w:tcW w:w="0" w:type="auto"/>
            <w:noWrap/>
            <w:hideMark/>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0%</w:t>
            </w:r>
          </w:p>
        </w:tc>
        <w:tc>
          <w:tcPr>
            <w:tcW w:w="0" w:type="auto"/>
            <w:vAlign w:val="bottom"/>
          </w:tcPr>
          <w:p w:rsidR="00211990" w:rsidRDefault="00211990" w:rsidP="001E31D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w:t>
            </w:r>
          </w:p>
        </w:tc>
      </w:tr>
      <w:tr w:rsidR="00211990" w:rsidRPr="001D78E1" w:rsidTr="001E31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ES</w:t>
            </w:r>
          </w:p>
        </w:tc>
        <w:tc>
          <w:tcPr>
            <w:tcW w:w="0" w:type="auto"/>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1,472</w:t>
            </w:r>
          </w:p>
        </w:tc>
        <w:tc>
          <w:tcPr>
            <w:tcW w:w="0" w:type="auto"/>
            <w:noWrap/>
            <w:hideMark/>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0%</w:t>
            </w:r>
          </w:p>
        </w:tc>
        <w:tc>
          <w:tcPr>
            <w:tcW w:w="0" w:type="auto"/>
            <w:vAlign w:val="bottom"/>
          </w:tcPr>
          <w:p w:rsidR="00211990" w:rsidRDefault="00211990" w:rsidP="001E31D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w:t>
            </w:r>
          </w:p>
        </w:tc>
      </w:tr>
      <w:tr w:rsidR="00211990" w:rsidRPr="001D78E1" w:rsidTr="001E31D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FI</w:t>
            </w:r>
          </w:p>
        </w:tc>
        <w:tc>
          <w:tcPr>
            <w:tcW w:w="0" w:type="auto"/>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1,459</w:t>
            </w:r>
          </w:p>
        </w:tc>
        <w:tc>
          <w:tcPr>
            <w:tcW w:w="0" w:type="auto"/>
            <w:noWrap/>
            <w:hideMark/>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0%</w:t>
            </w:r>
          </w:p>
        </w:tc>
        <w:tc>
          <w:tcPr>
            <w:tcW w:w="0" w:type="auto"/>
            <w:vAlign w:val="bottom"/>
          </w:tcPr>
          <w:p w:rsidR="00211990" w:rsidRDefault="00211990" w:rsidP="001E31D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w:t>
            </w:r>
          </w:p>
        </w:tc>
      </w:tr>
      <w:tr w:rsidR="00211990" w:rsidRPr="001D78E1" w:rsidTr="001E31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FR</w:t>
            </w:r>
          </w:p>
        </w:tc>
        <w:tc>
          <w:tcPr>
            <w:tcW w:w="0" w:type="auto"/>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1,565</w:t>
            </w:r>
          </w:p>
        </w:tc>
        <w:tc>
          <w:tcPr>
            <w:tcW w:w="0" w:type="auto"/>
            <w:noWrap/>
            <w:hideMark/>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1%</w:t>
            </w:r>
          </w:p>
        </w:tc>
        <w:tc>
          <w:tcPr>
            <w:tcW w:w="0" w:type="auto"/>
            <w:vAlign w:val="bottom"/>
          </w:tcPr>
          <w:p w:rsidR="00211990" w:rsidRDefault="00211990" w:rsidP="001E31D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w:t>
            </w:r>
          </w:p>
        </w:tc>
      </w:tr>
      <w:tr w:rsidR="00211990" w:rsidRPr="001D78E1" w:rsidTr="001E31D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IE</w:t>
            </w:r>
          </w:p>
        </w:tc>
        <w:tc>
          <w:tcPr>
            <w:tcW w:w="0" w:type="auto"/>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1,696</w:t>
            </w:r>
          </w:p>
        </w:tc>
        <w:tc>
          <w:tcPr>
            <w:tcW w:w="0" w:type="auto"/>
            <w:noWrap/>
            <w:hideMark/>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1%</w:t>
            </w:r>
          </w:p>
        </w:tc>
        <w:tc>
          <w:tcPr>
            <w:tcW w:w="0" w:type="auto"/>
            <w:vAlign w:val="bottom"/>
          </w:tcPr>
          <w:p w:rsidR="00211990" w:rsidRDefault="00211990" w:rsidP="001E31D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w:t>
            </w:r>
          </w:p>
        </w:tc>
      </w:tr>
      <w:tr w:rsidR="00211990" w:rsidRPr="001D78E1" w:rsidTr="001E31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IT</w:t>
            </w:r>
          </w:p>
        </w:tc>
        <w:tc>
          <w:tcPr>
            <w:tcW w:w="0" w:type="auto"/>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867</w:t>
            </w:r>
          </w:p>
        </w:tc>
        <w:tc>
          <w:tcPr>
            <w:tcW w:w="0" w:type="auto"/>
            <w:noWrap/>
            <w:hideMark/>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1%</w:t>
            </w:r>
          </w:p>
        </w:tc>
        <w:tc>
          <w:tcPr>
            <w:tcW w:w="0" w:type="auto"/>
            <w:vAlign w:val="bottom"/>
          </w:tcPr>
          <w:p w:rsidR="00211990" w:rsidRDefault="00211990" w:rsidP="001E31D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w:t>
            </w:r>
          </w:p>
        </w:tc>
      </w:tr>
      <w:tr w:rsidR="00211990" w:rsidRPr="001D78E1" w:rsidTr="001E31D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NL</w:t>
            </w:r>
          </w:p>
        </w:tc>
        <w:tc>
          <w:tcPr>
            <w:tcW w:w="0" w:type="auto"/>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1,193</w:t>
            </w:r>
          </w:p>
        </w:tc>
        <w:tc>
          <w:tcPr>
            <w:tcW w:w="0" w:type="auto"/>
            <w:noWrap/>
            <w:hideMark/>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1%</w:t>
            </w:r>
          </w:p>
        </w:tc>
        <w:tc>
          <w:tcPr>
            <w:tcW w:w="0" w:type="auto"/>
            <w:vAlign w:val="bottom"/>
          </w:tcPr>
          <w:p w:rsidR="00211990" w:rsidRDefault="00211990" w:rsidP="001E31D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0%</w:t>
            </w:r>
          </w:p>
        </w:tc>
      </w:tr>
      <w:tr w:rsidR="00211990" w:rsidRPr="001D78E1" w:rsidTr="001E31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PL</w:t>
            </w:r>
          </w:p>
        </w:tc>
        <w:tc>
          <w:tcPr>
            <w:tcW w:w="0" w:type="auto"/>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4,346</w:t>
            </w:r>
          </w:p>
        </w:tc>
        <w:tc>
          <w:tcPr>
            <w:tcW w:w="0" w:type="auto"/>
            <w:noWrap/>
            <w:hideMark/>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0%</w:t>
            </w:r>
          </w:p>
        </w:tc>
        <w:tc>
          <w:tcPr>
            <w:tcW w:w="0" w:type="auto"/>
            <w:vAlign w:val="bottom"/>
          </w:tcPr>
          <w:p w:rsidR="00211990" w:rsidRDefault="00211990" w:rsidP="001E31D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w:t>
            </w:r>
          </w:p>
        </w:tc>
      </w:tr>
      <w:tr w:rsidR="00211990" w:rsidRPr="001D78E1" w:rsidTr="001E31D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SE</w:t>
            </w:r>
          </w:p>
        </w:tc>
        <w:tc>
          <w:tcPr>
            <w:tcW w:w="0" w:type="auto"/>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1,189</w:t>
            </w:r>
          </w:p>
        </w:tc>
        <w:tc>
          <w:tcPr>
            <w:tcW w:w="0" w:type="auto"/>
            <w:noWrap/>
            <w:hideMark/>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2%</w:t>
            </w:r>
          </w:p>
        </w:tc>
        <w:tc>
          <w:tcPr>
            <w:tcW w:w="0" w:type="auto"/>
            <w:vAlign w:val="bottom"/>
          </w:tcPr>
          <w:p w:rsidR="00211990" w:rsidRDefault="00211990" w:rsidP="001E31D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w:t>
            </w:r>
          </w:p>
        </w:tc>
      </w:tr>
      <w:tr w:rsidR="00211990" w:rsidRPr="001D78E1" w:rsidTr="001E31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SK</w:t>
            </w:r>
          </w:p>
        </w:tc>
        <w:tc>
          <w:tcPr>
            <w:tcW w:w="0" w:type="auto"/>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1,468</w:t>
            </w:r>
          </w:p>
        </w:tc>
        <w:tc>
          <w:tcPr>
            <w:tcW w:w="0" w:type="auto"/>
            <w:noWrap/>
            <w:hideMark/>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color w:val="000000"/>
                <w:sz w:val="20"/>
                <w:szCs w:val="20"/>
              </w:rPr>
            </w:pPr>
            <w:r w:rsidRPr="001D78E1">
              <w:rPr>
                <w:color w:val="000000"/>
                <w:sz w:val="20"/>
                <w:szCs w:val="20"/>
              </w:rPr>
              <w:t>0%</w:t>
            </w:r>
          </w:p>
        </w:tc>
        <w:tc>
          <w:tcPr>
            <w:tcW w:w="0" w:type="auto"/>
            <w:vAlign w:val="bottom"/>
          </w:tcPr>
          <w:p w:rsidR="00211990" w:rsidRDefault="00211990" w:rsidP="001E31D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0%</w:t>
            </w:r>
          </w:p>
        </w:tc>
      </w:tr>
      <w:tr w:rsidR="00211990" w:rsidRPr="001D78E1" w:rsidTr="001E31D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color w:val="000000"/>
                <w:sz w:val="20"/>
                <w:szCs w:val="20"/>
              </w:rPr>
              <w:t>UK</w:t>
            </w:r>
            <w:r>
              <w:rPr>
                <w:color w:val="000000"/>
                <w:sz w:val="20"/>
                <w:szCs w:val="20"/>
              </w:rPr>
              <w:t xml:space="preserve"> (EN/NI)</w:t>
            </w:r>
          </w:p>
        </w:tc>
        <w:tc>
          <w:tcPr>
            <w:tcW w:w="0" w:type="auto"/>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2,397</w:t>
            </w:r>
          </w:p>
        </w:tc>
        <w:tc>
          <w:tcPr>
            <w:tcW w:w="0" w:type="auto"/>
            <w:noWrap/>
            <w:hideMark/>
          </w:tcPr>
          <w:p w:rsidR="00211990" w:rsidRPr="001D78E1" w:rsidRDefault="00211990" w:rsidP="001E31D3">
            <w:pPr>
              <w:jc w:val="right"/>
              <w:cnfStyle w:val="000000000000" w:firstRow="0" w:lastRow="0" w:firstColumn="0" w:lastColumn="0" w:oddVBand="0" w:evenVBand="0" w:oddHBand="0" w:evenHBand="0" w:firstRowFirstColumn="0" w:firstRowLastColumn="0" w:lastRowFirstColumn="0" w:lastRowLastColumn="0"/>
              <w:rPr>
                <w:color w:val="000000"/>
                <w:sz w:val="20"/>
                <w:szCs w:val="20"/>
              </w:rPr>
            </w:pPr>
            <w:r w:rsidRPr="001D78E1">
              <w:rPr>
                <w:color w:val="000000"/>
                <w:sz w:val="20"/>
                <w:szCs w:val="20"/>
              </w:rPr>
              <w:t>2%</w:t>
            </w:r>
          </w:p>
        </w:tc>
        <w:tc>
          <w:tcPr>
            <w:tcW w:w="0" w:type="auto"/>
            <w:vAlign w:val="bottom"/>
          </w:tcPr>
          <w:p w:rsidR="00211990" w:rsidRDefault="00211990" w:rsidP="001E31D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w:t>
            </w:r>
          </w:p>
        </w:tc>
      </w:tr>
      <w:tr w:rsidR="00211990" w:rsidRPr="001D78E1" w:rsidTr="001E31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211990" w:rsidRPr="001D78E1" w:rsidRDefault="00211990" w:rsidP="001E31D3">
            <w:pPr>
              <w:rPr>
                <w:color w:val="000000"/>
                <w:sz w:val="20"/>
                <w:szCs w:val="20"/>
              </w:rPr>
            </w:pPr>
            <w:r w:rsidRPr="001D78E1">
              <w:rPr>
                <w:b w:val="0"/>
                <w:bCs w:val="0"/>
                <w:color w:val="000000"/>
                <w:sz w:val="20"/>
                <w:szCs w:val="20"/>
              </w:rPr>
              <w:t>Total</w:t>
            </w:r>
          </w:p>
        </w:tc>
        <w:tc>
          <w:tcPr>
            <w:tcW w:w="0" w:type="auto"/>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1D78E1">
              <w:rPr>
                <w:b/>
                <w:bCs/>
                <w:color w:val="000000"/>
                <w:sz w:val="20"/>
                <w:szCs w:val="20"/>
              </w:rPr>
              <w:t>26,946</w:t>
            </w:r>
          </w:p>
        </w:tc>
        <w:tc>
          <w:tcPr>
            <w:tcW w:w="0" w:type="auto"/>
            <w:noWrap/>
            <w:hideMark/>
          </w:tcPr>
          <w:p w:rsidR="00211990" w:rsidRPr="001D78E1" w:rsidRDefault="00211990" w:rsidP="001E31D3">
            <w:pPr>
              <w:jc w:val="right"/>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1D78E1">
              <w:rPr>
                <w:b/>
                <w:bCs/>
                <w:color w:val="000000"/>
                <w:sz w:val="20"/>
                <w:szCs w:val="20"/>
              </w:rPr>
              <w:t>1%</w:t>
            </w:r>
          </w:p>
        </w:tc>
        <w:tc>
          <w:tcPr>
            <w:tcW w:w="0" w:type="auto"/>
            <w:vAlign w:val="bottom"/>
          </w:tcPr>
          <w:p w:rsidR="00211990" w:rsidRDefault="00211990" w:rsidP="001E31D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w:t>
            </w:r>
          </w:p>
        </w:tc>
      </w:tr>
    </w:tbl>
    <w:p w:rsidR="00211990" w:rsidRDefault="00211990" w:rsidP="00211990">
      <w:pPr>
        <w:pStyle w:val="BodyText"/>
        <w:spacing w:line="288" w:lineRule="auto"/>
        <w:rPr>
          <w:szCs w:val="20"/>
          <w:lang w:eastAsia="en-US"/>
        </w:rPr>
      </w:pPr>
    </w:p>
    <w:p w:rsidR="00211990" w:rsidRDefault="00211990">
      <w:pPr>
        <w:jc w:val="left"/>
        <w:rPr>
          <w:rFonts w:ascii="Arial" w:hAnsi="Arial"/>
          <w:color w:val="003C64"/>
          <w:sz w:val="40"/>
        </w:rPr>
      </w:pPr>
    </w:p>
    <w:p w:rsidR="008E4735" w:rsidRDefault="008E4735">
      <w:pPr>
        <w:jc w:val="left"/>
        <w:rPr>
          <w:rFonts w:ascii="Arial" w:hAnsi="Arial"/>
          <w:color w:val="003C64"/>
          <w:sz w:val="40"/>
        </w:rPr>
      </w:pPr>
      <w:r>
        <w:rPr>
          <w:b/>
        </w:rPr>
        <w:br w:type="page"/>
      </w:r>
    </w:p>
    <w:p w:rsidR="008E4735" w:rsidRPr="0032050F" w:rsidRDefault="008E4735" w:rsidP="008E4735">
      <w:pPr>
        <w:pStyle w:val="Annexheading2"/>
        <w:rPr>
          <w:rFonts w:ascii="Verdana" w:hAnsi="Verdana"/>
          <w:b w:val="0"/>
        </w:rPr>
      </w:pPr>
      <w:r>
        <w:rPr>
          <w:rFonts w:ascii="Verdana" w:hAnsi="Verdana"/>
          <w:b w:val="0"/>
        </w:rPr>
        <w:t xml:space="preserve">Annex IV - </w:t>
      </w:r>
      <w:r w:rsidRPr="0032050F">
        <w:rPr>
          <w:rFonts w:ascii="Verdana" w:hAnsi="Verdana"/>
          <w:b w:val="0"/>
        </w:rPr>
        <w:t>Additional graphs Chapter Four</w:t>
      </w:r>
    </w:p>
    <w:p w:rsidR="008E4735" w:rsidRPr="00B3549B" w:rsidRDefault="008E4735" w:rsidP="008E4735">
      <w:pPr>
        <w:pStyle w:val="Caption"/>
        <w:jc w:val="left"/>
        <w:rPr>
          <w:rFonts w:ascii="Verdana" w:hAnsi="Verdana"/>
          <w:b w:val="0"/>
          <w:color w:val="1F497D" w:themeColor="text2"/>
          <w:sz w:val="20"/>
        </w:rPr>
      </w:pPr>
      <w:r w:rsidRPr="00B3549B">
        <w:rPr>
          <w:rFonts w:ascii="Verdana" w:hAnsi="Verdana"/>
          <w:b w:val="0"/>
          <w:color w:val="1F497D" w:themeColor="text2"/>
          <w:sz w:val="20"/>
        </w:rPr>
        <w:t>Countries for which data is available for 1992-2014</w:t>
      </w:r>
    </w:p>
    <w:p w:rsidR="008E4735" w:rsidRPr="00B3549B" w:rsidRDefault="008E4735" w:rsidP="008E4735">
      <w:pPr>
        <w:pStyle w:val="Caption"/>
        <w:rPr>
          <w:rFonts w:ascii="Verdana" w:hAnsi="Verdana"/>
          <w:b w:val="0"/>
          <w:color w:val="1F497D" w:themeColor="text2"/>
          <w:sz w:val="20"/>
        </w:rPr>
      </w:pPr>
      <w:r w:rsidRPr="00B3549B">
        <w:rPr>
          <w:rFonts w:ascii="Verdana" w:hAnsi="Verdana"/>
          <w:b w:val="0"/>
          <w:color w:val="1F497D" w:themeColor="text2"/>
          <w:sz w:val="20"/>
        </w:rPr>
        <w:t>Figure A</w:t>
      </w:r>
      <w:r>
        <w:rPr>
          <w:rFonts w:ascii="Verdana" w:hAnsi="Verdana"/>
          <w:b w:val="0"/>
          <w:color w:val="1F497D" w:themeColor="text2"/>
          <w:sz w:val="20"/>
        </w:rPr>
        <w:t>2</w:t>
      </w:r>
      <w:r w:rsidRPr="00B3549B">
        <w:rPr>
          <w:rFonts w:ascii="Verdana" w:hAnsi="Verdana"/>
          <w:b w:val="0"/>
          <w:color w:val="1F497D" w:themeColor="text2"/>
          <w:sz w:val="20"/>
        </w:rPr>
        <w:t xml:space="preserve"> Highest levels of educational attainment, 25-34 year olds, Belgium, 1992-2014 (%)</w:t>
      </w:r>
    </w:p>
    <w:p w:rsidR="008E4735" w:rsidRPr="00B3549B" w:rsidRDefault="008E4735" w:rsidP="008E4735">
      <w:pPr>
        <w:spacing w:after="120"/>
        <w:rPr>
          <w:rFonts w:cs="Arial"/>
          <w:i/>
          <w:sz w:val="16"/>
          <w:szCs w:val="16"/>
        </w:rPr>
      </w:pPr>
      <w:r w:rsidRPr="003C1E6D">
        <w:rPr>
          <w:noProof/>
          <w:szCs w:val="20"/>
          <w:lang w:val="en-US" w:eastAsia="en-US"/>
        </w:rPr>
        <w:drawing>
          <wp:inline distT="0" distB="0" distL="0" distR="0" wp14:anchorId="31FD1C74" wp14:editId="563954DF">
            <wp:extent cx="5773420" cy="2349500"/>
            <wp:effectExtent l="0" t="0" r="0" b="0"/>
            <wp:docPr id="315" name="Picture 3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6"/>
                    <pic:cNvPicPr>
                      <a:picLocks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r w:rsidRPr="00B3549B">
        <w:rPr>
          <w:rFonts w:cs="Arial"/>
          <w:i/>
          <w:sz w:val="16"/>
          <w:szCs w:val="16"/>
        </w:rPr>
        <w:t>Notes: European Labour Force Survey, own illustration based on Eurostat data, edat_lfse_05, edat_lfse_06, ed</w:t>
      </w:r>
      <w:r>
        <w:rPr>
          <w:rFonts w:cs="Arial"/>
          <w:i/>
          <w:sz w:val="16"/>
          <w:szCs w:val="16"/>
        </w:rPr>
        <w:t>at_lfse_07, accessed 21.05.2015</w:t>
      </w:r>
    </w:p>
    <w:p w:rsidR="002B0882" w:rsidRDefault="002B0882" w:rsidP="008E4735">
      <w:pPr>
        <w:pStyle w:val="Caption"/>
        <w:rPr>
          <w:rFonts w:ascii="Verdana" w:hAnsi="Verdana"/>
          <w:b w:val="0"/>
          <w:color w:val="1F497D" w:themeColor="text2"/>
          <w:sz w:val="20"/>
        </w:rPr>
      </w:pPr>
    </w:p>
    <w:p w:rsidR="002B0882" w:rsidRPr="002B0882" w:rsidRDefault="002B0882" w:rsidP="002B0882">
      <w:pPr>
        <w:pStyle w:val="BodyText"/>
        <w:rPr>
          <w:lang w:eastAsia="en-US"/>
        </w:rPr>
      </w:pPr>
    </w:p>
    <w:p w:rsidR="008E4735" w:rsidRPr="00B3549B" w:rsidRDefault="008E4735" w:rsidP="008E4735">
      <w:pPr>
        <w:pStyle w:val="Caption"/>
        <w:rPr>
          <w:rFonts w:ascii="Verdana" w:hAnsi="Verdana"/>
          <w:b w:val="0"/>
          <w:color w:val="1F497D" w:themeColor="text2"/>
          <w:sz w:val="20"/>
        </w:rPr>
      </w:pPr>
      <w:r w:rsidRPr="00B3549B">
        <w:rPr>
          <w:rFonts w:ascii="Verdana" w:hAnsi="Verdana"/>
          <w:b w:val="0"/>
          <w:color w:val="1F497D" w:themeColor="text2"/>
          <w:sz w:val="20"/>
        </w:rPr>
        <w:t>Figure A3</w:t>
      </w:r>
      <w:r>
        <w:rPr>
          <w:rFonts w:ascii="Verdana" w:hAnsi="Verdana"/>
          <w:b w:val="0"/>
          <w:color w:val="1F497D" w:themeColor="text2"/>
          <w:sz w:val="20"/>
        </w:rPr>
        <w:t xml:space="preserve"> </w:t>
      </w:r>
      <w:r w:rsidRPr="00B3549B">
        <w:rPr>
          <w:rFonts w:ascii="Verdana" w:hAnsi="Verdana"/>
          <w:b w:val="0"/>
          <w:color w:val="1F497D" w:themeColor="text2"/>
          <w:sz w:val="20"/>
        </w:rPr>
        <w:t>Highest levels of educational attainment, 25-34 year olds, Denmark, 1992-2014 (%)</w:t>
      </w:r>
    </w:p>
    <w:p w:rsidR="008E4735" w:rsidRPr="003C1E6D" w:rsidRDefault="008E4735" w:rsidP="008E4735">
      <w:pPr>
        <w:spacing w:after="120"/>
        <w:rPr>
          <w:szCs w:val="20"/>
        </w:rPr>
      </w:pPr>
      <w:r w:rsidRPr="003C1E6D">
        <w:rPr>
          <w:noProof/>
          <w:szCs w:val="20"/>
          <w:lang w:val="en-US" w:eastAsia="en-US"/>
        </w:rPr>
        <w:drawing>
          <wp:inline distT="0" distB="0" distL="0" distR="0" wp14:anchorId="7079DAD5" wp14:editId="0DCD05D5">
            <wp:extent cx="5773420" cy="2349500"/>
            <wp:effectExtent l="0" t="0" r="0" b="0"/>
            <wp:docPr id="316" name="Picture 3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0"/>
                    <pic:cNvPicPr>
                      <a:picLocks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B3549B" w:rsidRDefault="008E4735" w:rsidP="008E4735">
      <w:pPr>
        <w:spacing w:after="120"/>
        <w:rPr>
          <w:i/>
          <w:sz w:val="16"/>
          <w:szCs w:val="16"/>
        </w:rPr>
      </w:pPr>
      <w:r w:rsidRPr="00B3549B">
        <w:rPr>
          <w:rFonts w:cs="Arial"/>
          <w:i/>
          <w:sz w:val="16"/>
          <w:szCs w:val="16"/>
        </w:rPr>
        <w:t>Notes: European Labour Force Survey, own illustration based on Eurostat data, edat_lfse_05, edat_lfse_06, edat_lfse_07, accessed 21.05.2015</w:t>
      </w:r>
    </w:p>
    <w:p w:rsidR="008E4735" w:rsidRPr="00B3549B" w:rsidRDefault="008E4735" w:rsidP="008E4735">
      <w:pPr>
        <w:pStyle w:val="Caption"/>
        <w:rPr>
          <w:rFonts w:ascii="Verdana" w:hAnsi="Verdana"/>
          <w:b w:val="0"/>
          <w:color w:val="1F497D" w:themeColor="text2"/>
          <w:sz w:val="20"/>
        </w:rPr>
      </w:pPr>
      <w:r w:rsidRPr="00B3549B">
        <w:rPr>
          <w:rFonts w:ascii="Verdana" w:hAnsi="Verdana"/>
          <w:b w:val="0"/>
          <w:color w:val="1F497D" w:themeColor="text2"/>
          <w:sz w:val="20"/>
        </w:rPr>
        <w:t>Figure A</w:t>
      </w:r>
      <w:r>
        <w:rPr>
          <w:rFonts w:ascii="Verdana" w:hAnsi="Verdana"/>
          <w:b w:val="0"/>
          <w:color w:val="1F497D" w:themeColor="text2"/>
          <w:sz w:val="20"/>
        </w:rPr>
        <w:t>4</w:t>
      </w:r>
      <w:r w:rsidRPr="00B3549B">
        <w:rPr>
          <w:rFonts w:ascii="Verdana" w:hAnsi="Verdana"/>
          <w:b w:val="0"/>
          <w:color w:val="1F497D" w:themeColor="text2"/>
          <w:sz w:val="20"/>
        </w:rPr>
        <w:t xml:space="preserve"> Highest levels of educational attainment, 25-34 year olds, France, 1993-2014 (%)</w:t>
      </w:r>
    </w:p>
    <w:p w:rsidR="008E4735" w:rsidRPr="003C1E6D" w:rsidRDefault="008E4735" w:rsidP="008E4735">
      <w:pPr>
        <w:spacing w:after="120"/>
        <w:rPr>
          <w:b/>
          <w:bCs/>
          <w:szCs w:val="20"/>
        </w:rPr>
      </w:pPr>
      <w:r w:rsidRPr="003C1E6D">
        <w:rPr>
          <w:noProof/>
          <w:szCs w:val="20"/>
          <w:lang w:val="en-US" w:eastAsia="en-US"/>
        </w:rPr>
        <w:drawing>
          <wp:inline distT="0" distB="0" distL="0" distR="0" wp14:anchorId="0D6577CD" wp14:editId="08B1A887">
            <wp:extent cx="5773420" cy="2349500"/>
            <wp:effectExtent l="0" t="0" r="0" b="0"/>
            <wp:docPr id="317" name="Picture 3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4"/>
                    <pic:cNvPicPr>
                      <a:picLocks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B3549B" w:rsidRDefault="008E4735" w:rsidP="008E4735">
      <w:pPr>
        <w:spacing w:after="120"/>
        <w:rPr>
          <w:rFonts w:cs="Arial"/>
          <w:i/>
          <w:sz w:val="16"/>
          <w:szCs w:val="16"/>
        </w:rPr>
      </w:pPr>
      <w:r w:rsidRPr="00B3549B">
        <w:rPr>
          <w:rFonts w:cs="Arial"/>
          <w:i/>
          <w:sz w:val="16"/>
          <w:szCs w:val="16"/>
        </w:rPr>
        <w:t>Notes: European Labour Force Survey, own illustration based on Eurostat data, edat_lfse_05, edat_lfse_06, edat_lfse_07, accessed 21.05.2015</w:t>
      </w:r>
    </w:p>
    <w:p w:rsidR="008E4735" w:rsidRPr="003C1E6D" w:rsidRDefault="008E4735" w:rsidP="008E4735">
      <w:pPr>
        <w:pStyle w:val="Caption"/>
        <w:rPr>
          <w:rFonts w:ascii="Verdana" w:hAnsi="Verdana"/>
          <w:sz w:val="20"/>
          <w:highlight w:val="yellow"/>
        </w:rPr>
      </w:pPr>
    </w:p>
    <w:p w:rsidR="002B0882" w:rsidRDefault="002B0882" w:rsidP="008E4735">
      <w:pPr>
        <w:pStyle w:val="Caption"/>
        <w:rPr>
          <w:rFonts w:ascii="Verdana" w:hAnsi="Verdana"/>
          <w:b w:val="0"/>
          <w:color w:val="1F497D" w:themeColor="text2"/>
          <w:sz w:val="20"/>
        </w:rPr>
      </w:pPr>
    </w:p>
    <w:p w:rsidR="008E4735" w:rsidRPr="00B3549B" w:rsidRDefault="008E4735" w:rsidP="008E4735">
      <w:pPr>
        <w:pStyle w:val="Caption"/>
        <w:rPr>
          <w:rFonts w:ascii="Verdana" w:hAnsi="Verdana"/>
          <w:b w:val="0"/>
          <w:color w:val="1F497D" w:themeColor="text2"/>
          <w:sz w:val="20"/>
        </w:rPr>
      </w:pPr>
      <w:r w:rsidRPr="00B3549B">
        <w:rPr>
          <w:rFonts w:ascii="Verdana" w:hAnsi="Verdana"/>
          <w:b w:val="0"/>
          <w:color w:val="1F497D" w:themeColor="text2"/>
          <w:sz w:val="20"/>
        </w:rPr>
        <w:t>Figure A5 Highest levels of educational attainment, 25-34 year olds, Germany, 1992-2014 (%)</w:t>
      </w:r>
    </w:p>
    <w:p w:rsidR="008E4735" w:rsidRPr="003C1E6D" w:rsidRDefault="008E4735" w:rsidP="008E4735">
      <w:pPr>
        <w:spacing w:after="120"/>
        <w:rPr>
          <w:rFonts w:cs="Arial"/>
          <w:szCs w:val="20"/>
        </w:rPr>
      </w:pPr>
      <w:r w:rsidRPr="003C1E6D">
        <w:rPr>
          <w:noProof/>
          <w:szCs w:val="20"/>
          <w:lang w:val="en-US" w:eastAsia="en-US"/>
        </w:rPr>
        <w:drawing>
          <wp:inline distT="0" distB="0" distL="0" distR="0" wp14:anchorId="229AE73C" wp14:editId="2BA5B85F">
            <wp:extent cx="5773420" cy="2349500"/>
            <wp:effectExtent l="0" t="0" r="0" b="0"/>
            <wp:docPr id="318" name="Picture 3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8"/>
                    <pic:cNvPicPr>
                      <a:picLocks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B3549B" w:rsidRDefault="008E4735" w:rsidP="008E4735">
      <w:pPr>
        <w:spacing w:after="120"/>
        <w:rPr>
          <w:i/>
          <w:sz w:val="16"/>
          <w:szCs w:val="16"/>
        </w:rPr>
      </w:pPr>
      <w:r w:rsidRPr="00B3549B">
        <w:rPr>
          <w:rFonts w:cs="Arial"/>
          <w:i/>
          <w:sz w:val="16"/>
          <w:szCs w:val="16"/>
        </w:rPr>
        <w:t>Notes: European Labour Force Survey, own illustration based on Eurostat data, edat_lfse_05, edat_lfse_06, edat_lfse_07, accessed 21.05.2015, data for 1998 missing</w:t>
      </w:r>
    </w:p>
    <w:p w:rsidR="008E4735" w:rsidRPr="00B3549B" w:rsidRDefault="008E4735" w:rsidP="008E4735">
      <w:pPr>
        <w:pStyle w:val="Caption"/>
        <w:rPr>
          <w:rFonts w:ascii="Verdana" w:hAnsi="Verdana"/>
          <w:b w:val="0"/>
          <w:color w:val="1F497D" w:themeColor="text2"/>
          <w:sz w:val="20"/>
        </w:rPr>
      </w:pPr>
      <w:r w:rsidRPr="00B3549B">
        <w:rPr>
          <w:rFonts w:ascii="Verdana" w:hAnsi="Verdana"/>
          <w:b w:val="0"/>
          <w:color w:val="1F497D" w:themeColor="text2"/>
          <w:sz w:val="20"/>
        </w:rPr>
        <w:t>Figure A6 Highest levels of educational attainment, 25-34 year olds, Greece, 1992-2014 (%)</w:t>
      </w:r>
    </w:p>
    <w:p w:rsidR="008E4735" w:rsidRPr="003C1E6D" w:rsidRDefault="008E4735" w:rsidP="008E4735">
      <w:pPr>
        <w:spacing w:after="120"/>
        <w:rPr>
          <w:b/>
          <w:bCs/>
          <w:szCs w:val="20"/>
        </w:rPr>
      </w:pPr>
      <w:r w:rsidRPr="003C1E6D">
        <w:rPr>
          <w:noProof/>
          <w:szCs w:val="20"/>
          <w:lang w:val="en-US" w:eastAsia="en-US"/>
        </w:rPr>
        <w:drawing>
          <wp:inline distT="0" distB="0" distL="0" distR="0" wp14:anchorId="0F9EEA9C" wp14:editId="5E9B0AD5">
            <wp:extent cx="5773420" cy="2349500"/>
            <wp:effectExtent l="0" t="0" r="0" b="0"/>
            <wp:docPr id="319" name="Picture 3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2"/>
                    <pic:cNvPicPr>
                      <a:picLocks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B3549B" w:rsidRDefault="008E4735" w:rsidP="008E4735">
      <w:pPr>
        <w:spacing w:after="120"/>
        <w:rPr>
          <w:rFonts w:cs="Arial"/>
          <w:i/>
          <w:sz w:val="16"/>
          <w:szCs w:val="16"/>
        </w:rPr>
      </w:pPr>
      <w:r w:rsidRPr="00B3549B">
        <w:rPr>
          <w:rFonts w:cs="Arial"/>
          <w:i/>
          <w:sz w:val="16"/>
          <w:szCs w:val="16"/>
        </w:rPr>
        <w:t>Notes: European Labour Force Survey, own illustration based on Eurostat data, edat_lfse_05, edat_lfse_06, edat_lfse_07, accessed 21.05.2015</w:t>
      </w:r>
    </w:p>
    <w:p w:rsidR="008E4735" w:rsidRDefault="008E4735" w:rsidP="008E4735">
      <w:pPr>
        <w:pStyle w:val="Caption"/>
        <w:rPr>
          <w:rFonts w:ascii="Verdana" w:hAnsi="Verdana" w:cs="Arial"/>
          <w:sz w:val="20"/>
        </w:rPr>
      </w:pPr>
    </w:p>
    <w:p w:rsidR="002B0882" w:rsidRDefault="002B0882" w:rsidP="008E4735">
      <w:pPr>
        <w:pStyle w:val="Caption"/>
        <w:rPr>
          <w:rFonts w:ascii="Verdana" w:hAnsi="Verdana" w:cs="Arial"/>
          <w:b w:val="0"/>
          <w:color w:val="1F497D" w:themeColor="text2"/>
          <w:sz w:val="20"/>
        </w:rPr>
      </w:pPr>
    </w:p>
    <w:p w:rsidR="008E4735" w:rsidRPr="00B3549B" w:rsidRDefault="008E4735" w:rsidP="008E4735">
      <w:pPr>
        <w:pStyle w:val="Caption"/>
        <w:rPr>
          <w:rFonts w:ascii="Verdana" w:hAnsi="Verdana" w:cs="Arial"/>
          <w:b w:val="0"/>
          <w:color w:val="1F497D" w:themeColor="text2"/>
          <w:sz w:val="20"/>
        </w:rPr>
      </w:pPr>
      <w:r w:rsidRPr="00B3549B">
        <w:rPr>
          <w:rFonts w:ascii="Verdana" w:hAnsi="Verdana" w:cs="Arial"/>
          <w:b w:val="0"/>
          <w:color w:val="1F497D" w:themeColor="text2"/>
          <w:sz w:val="20"/>
        </w:rPr>
        <w:t xml:space="preserve">Figure A7 </w:t>
      </w:r>
      <w:r w:rsidRPr="00B3549B">
        <w:rPr>
          <w:rFonts w:ascii="Verdana" w:hAnsi="Verdana"/>
          <w:b w:val="0"/>
          <w:color w:val="1F497D" w:themeColor="text2"/>
          <w:sz w:val="20"/>
        </w:rPr>
        <w:t>Highest levels of educational attainment, 25-34 year olds, Italy, 1992-2014 (%)</w:t>
      </w:r>
    </w:p>
    <w:p w:rsidR="008E4735" w:rsidRPr="003C1E6D" w:rsidRDefault="008E4735" w:rsidP="008E4735">
      <w:pPr>
        <w:pStyle w:val="ListParagraph"/>
        <w:numPr>
          <w:ilvl w:val="0"/>
          <w:numId w:val="0"/>
        </w:numPr>
        <w:spacing w:after="120" w:line="288" w:lineRule="auto"/>
        <w:ind w:right="170"/>
        <w:rPr>
          <w:rFonts w:cs="Arial"/>
          <w:szCs w:val="20"/>
        </w:rPr>
      </w:pPr>
      <w:r w:rsidRPr="003C1E6D">
        <w:rPr>
          <w:noProof/>
          <w:szCs w:val="20"/>
          <w:lang w:val="en-US" w:eastAsia="en-US"/>
        </w:rPr>
        <w:drawing>
          <wp:inline distT="0" distB="0" distL="0" distR="0" wp14:anchorId="7CFB7500" wp14:editId="55C48938">
            <wp:extent cx="5773420" cy="2349500"/>
            <wp:effectExtent l="0" t="0" r="0" b="0"/>
            <wp:docPr id="6144" name="Picture 61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5"/>
                    <pic:cNvPicPr>
                      <a:picLocks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B3549B" w:rsidRDefault="008E4735" w:rsidP="008E4735">
      <w:pPr>
        <w:spacing w:after="120"/>
        <w:rPr>
          <w:rFonts w:cs="Arial"/>
          <w:i/>
          <w:sz w:val="16"/>
          <w:szCs w:val="16"/>
        </w:rPr>
      </w:pPr>
      <w:r w:rsidRPr="00B3549B">
        <w:rPr>
          <w:rFonts w:cs="Arial"/>
          <w:i/>
          <w:sz w:val="16"/>
          <w:szCs w:val="16"/>
        </w:rPr>
        <w:t>Notes: European Labour Force Survey, own illustration based on Eurostat data, edat_lfse_05, edat_lfse_06, edat_lfse_07, accessed 21.05.2015</w:t>
      </w: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8</w:t>
      </w:r>
      <w:r w:rsidRPr="002B0882">
        <w:rPr>
          <w:rFonts w:ascii="Verdana" w:hAnsi="Verdana"/>
          <w:b w:val="0"/>
          <w:color w:val="1F497D" w:themeColor="text2"/>
          <w:sz w:val="20"/>
        </w:rPr>
        <w:t xml:space="preserve">  Highest levels of educational attainment, 25-34 year olds, Luxembourg, 1992-2014 (%)</w:t>
      </w:r>
    </w:p>
    <w:p w:rsidR="008E4735" w:rsidRPr="003C1E6D" w:rsidRDefault="008E4735" w:rsidP="008E4735">
      <w:pPr>
        <w:pStyle w:val="ListParagraph"/>
        <w:numPr>
          <w:ilvl w:val="0"/>
          <w:numId w:val="0"/>
        </w:numPr>
        <w:spacing w:after="120" w:line="288" w:lineRule="auto"/>
        <w:ind w:right="170"/>
        <w:rPr>
          <w:rFonts w:cs="Arial"/>
          <w:szCs w:val="20"/>
        </w:rPr>
      </w:pPr>
      <w:r w:rsidRPr="003C1E6D">
        <w:rPr>
          <w:noProof/>
          <w:szCs w:val="20"/>
          <w:lang w:val="en-US" w:eastAsia="en-US"/>
        </w:rPr>
        <w:drawing>
          <wp:inline distT="0" distB="0" distL="0" distR="0" wp14:anchorId="6FD10BB9" wp14:editId="41BBA501">
            <wp:extent cx="5773420" cy="2349500"/>
            <wp:effectExtent l="0" t="0" r="0" b="0"/>
            <wp:docPr id="6145" name="Picture 61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7"/>
                    <pic:cNvPicPr>
                      <a:picLocks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spacing w:after="120"/>
        <w:rPr>
          <w:i/>
          <w:sz w:val="16"/>
          <w:szCs w:val="16"/>
        </w:rPr>
      </w:pPr>
      <w:r w:rsidRPr="002B0882">
        <w:rPr>
          <w:rFonts w:cs="Arial"/>
          <w:i/>
          <w:sz w:val="16"/>
          <w:szCs w:val="16"/>
        </w:rPr>
        <w:t>Notes: European Labour Force Survey, own illustration based on Eurostat data, edat_lfse_05, edat_lfse_06, edat_lfse_07, accessed 21.05.2015, data for 1998 missing</w:t>
      </w:r>
    </w:p>
    <w:p w:rsidR="008E4735" w:rsidRDefault="008E4735" w:rsidP="008E4735">
      <w:pPr>
        <w:spacing w:after="120"/>
        <w:rPr>
          <w:rFonts w:cs="Arial"/>
          <w:szCs w:val="20"/>
        </w:rPr>
      </w:pPr>
    </w:p>
    <w:p w:rsidR="002B0882" w:rsidRPr="003C1E6D" w:rsidRDefault="002B0882" w:rsidP="008E4735">
      <w:pPr>
        <w:spacing w:after="120"/>
        <w:rPr>
          <w:rFonts w:cs="Arial"/>
          <w:szCs w:val="20"/>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Pr>
          <w:rFonts w:ascii="Verdana" w:hAnsi="Verdana"/>
          <w:b w:val="0"/>
          <w:color w:val="1F497D" w:themeColor="text2"/>
          <w:sz w:val="20"/>
        </w:rPr>
        <w:t>9</w:t>
      </w:r>
      <w:r w:rsidRPr="002B0882">
        <w:rPr>
          <w:rFonts w:ascii="Verdana" w:hAnsi="Verdana"/>
          <w:b w:val="0"/>
          <w:color w:val="1F497D" w:themeColor="text2"/>
          <w:sz w:val="20"/>
        </w:rPr>
        <w:t xml:space="preserve"> Highest levels of educational attainment, 25-34 year olds, Spain, 1992-2014 (%)</w:t>
      </w:r>
    </w:p>
    <w:p w:rsidR="008E4735" w:rsidRPr="003C1E6D" w:rsidRDefault="008E4735" w:rsidP="008E4735">
      <w:pPr>
        <w:spacing w:after="120"/>
        <w:rPr>
          <w:b/>
          <w:bCs/>
          <w:szCs w:val="20"/>
        </w:rPr>
      </w:pPr>
      <w:r w:rsidRPr="003C1E6D">
        <w:rPr>
          <w:noProof/>
          <w:szCs w:val="20"/>
          <w:lang w:val="en-US" w:eastAsia="en-US"/>
        </w:rPr>
        <w:drawing>
          <wp:inline distT="0" distB="0" distL="0" distR="0" wp14:anchorId="56B5E750" wp14:editId="1B77BAA3">
            <wp:extent cx="5773420" cy="2349500"/>
            <wp:effectExtent l="0" t="0" r="0" b="0"/>
            <wp:docPr id="6146" name="Picture 6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3"/>
                    <pic:cNvPicPr>
                      <a:picLocks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spacing w:after="120"/>
        <w:rPr>
          <w:i/>
          <w:sz w:val="16"/>
          <w:szCs w:val="16"/>
        </w:rPr>
      </w:pPr>
      <w:r w:rsidRPr="002B0882">
        <w:rPr>
          <w:rFonts w:cs="Arial"/>
          <w:i/>
          <w:sz w:val="16"/>
          <w:szCs w:val="16"/>
        </w:rPr>
        <w:t>Notes: European Labour Force Survey, own illustration based on Eurostat data, edat_lfse_05, edat_lfse_06, edat_lfse_07, accessed 21.05.2015</w:t>
      </w: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10</w:t>
      </w:r>
      <w:r w:rsidRPr="002B0882">
        <w:rPr>
          <w:rFonts w:ascii="Verdana" w:hAnsi="Verdana"/>
          <w:b w:val="0"/>
          <w:color w:val="1F497D" w:themeColor="text2"/>
          <w:sz w:val="20"/>
        </w:rPr>
        <w:t xml:space="preserve">  Highest levels of educational attainment, 25-34 year olds, Portugal, 1992-2014 (%)</w:t>
      </w:r>
    </w:p>
    <w:p w:rsidR="008E4735" w:rsidRPr="003C1E6D" w:rsidRDefault="008E4735" w:rsidP="002B0882">
      <w:pPr>
        <w:pStyle w:val="ListParagraph"/>
        <w:numPr>
          <w:ilvl w:val="0"/>
          <w:numId w:val="0"/>
        </w:numPr>
        <w:spacing w:after="120" w:line="288" w:lineRule="auto"/>
        <w:ind w:right="170"/>
        <w:rPr>
          <w:rFonts w:cs="Arial"/>
          <w:szCs w:val="20"/>
        </w:rPr>
      </w:pPr>
      <w:r w:rsidRPr="003C1E6D">
        <w:rPr>
          <w:noProof/>
          <w:szCs w:val="20"/>
          <w:lang w:val="en-US" w:eastAsia="en-US"/>
        </w:rPr>
        <w:drawing>
          <wp:inline distT="0" distB="0" distL="0" distR="0" wp14:anchorId="5B3FB922" wp14:editId="36AE36DA">
            <wp:extent cx="5773420" cy="2349500"/>
            <wp:effectExtent l="0" t="0" r="0" b="0"/>
            <wp:docPr id="6147" name="Picture 61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54"/>
                    <pic:cNvPicPr>
                      <a:picLocks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spacing w:after="120"/>
        <w:rPr>
          <w:i/>
          <w:sz w:val="16"/>
          <w:szCs w:val="16"/>
        </w:rPr>
      </w:pPr>
      <w:r w:rsidRPr="002B0882">
        <w:rPr>
          <w:rFonts w:cs="Arial"/>
          <w:i/>
          <w:sz w:val="16"/>
          <w:szCs w:val="16"/>
        </w:rPr>
        <w:t>Notes: European Labour Force Survey, own illustration based on Eurostat data, edat_lfse_05, edat_lfse_06, edat_lfse_07, accessed 21.05.2015</w:t>
      </w:r>
    </w:p>
    <w:p w:rsidR="008E4735" w:rsidRDefault="008E4735" w:rsidP="008E4735">
      <w:pPr>
        <w:pStyle w:val="Caption"/>
        <w:rPr>
          <w:rFonts w:ascii="Verdana" w:hAnsi="Verdana"/>
          <w:sz w:val="20"/>
        </w:rPr>
      </w:pPr>
    </w:p>
    <w:p w:rsidR="002B0882" w:rsidRPr="002B0882" w:rsidRDefault="002B0882" w:rsidP="002B0882">
      <w:pPr>
        <w:pStyle w:val="BodyText"/>
        <w:rPr>
          <w:lang w:eastAsia="en-US"/>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11</w:t>
      </w:r>
      <w:r w:rsidR="002B0882">
        <w:rPr>
          <w:rFonts w:ascii="Verdana" w:hAnsi="Verdana"/>
          <w:b w:val="0"/>
          <w:color w:val="1F497D" w:themeColor="text2"/>
          <w:sz w:val="20"/>
        </w:rPr>
        <w:t xml:space="preserve"> </w:t>
      </w:r>
      <w:r w:rsidRPr="002B0882">
        <w:rPr>
          <w:rFonts w:ascii="Verdana" w:hAnsi="Verdana"/>
          <w:b w:val="0"/>
          <w:color w:val="1F497D" w:themeColor="text2"/>
          <w:sz w:val="20"/>
        </w:rPr>
        <w:t>Highest levels of educational attainment, 25-34 year olds, United Kingdom, 1992-2014 (%)</w:t>
      </w:r>
    </w:p>
    <w:p w:rsidR="008E4735" w:rsidRPr="003C1E6D" w:rsidRDefault="008E4735" w:rsidP="002B0882">
      <w:pPr>
        <w:pStyle w:val="ListParagraph"/>
        <w:numPr>
          <w:ilvl w:val="0"/>
          <w:numId w:val="0"/>
        </w:numPr>
        <w:spacing w:after="120" w:line="288" w:lineRule="auto"/>
        <w:ind w:right="170"/>
        <w:rPr>
          <w:rFonts w:cs="Arial"/>
          <w:szCs w:val="20"/>
        </w:rPr>
      </w:pPr>
      <w:r w:rsidRPr="003C1E6D">
        <w:rPr>
          <w:noProof/>
          <w:szCs w:val="20"/>
          <w:lang w:val="en-US" w:eastAsia="en-US"/>
        </w:rPr>
        <w:drawing>
          <wp:inline distT="0" distB="0" distL="0" distR="0" wp14:anchorId="547B1971" wp14:editId="118BF280">
            <wp:extent cx="5773420" cy="2349500"/>
            <wp:effectExtent l="0" t="0" r="0" b="0"/>
            <wp:docPr id="6148" name="Picture 61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59"/>
                    <pic:cNvPicPr>
                      <a:picLocks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spacing w:after="120"/>
        <w:rPr>
          <w:i/>
          <w:sz w:val="16"/>
          <w:szCs w:val="16"/>
        </w:rPr>
      </w:pPr>
      <w:r w:rsidRPr="002B0882">
        <w:rPr>
          <w:rFonts w:cs="Arial"/>
          <w:i/>
          <w:sz w:val="16"/>
          <w:szCs w:val="16"/>
        </w:rPr>
        <w:t>Notes: European Labour Force Survey, own illustration based on Eurostat data, edat_lfse_05, edat_lfse_06, edat_lfse_07, accessed 21.05.2015, data for 1998 missing</w:t>
      </w:r>
    </w:p>
    <w:p w:rsidR="008E4735" w:rsidRPr="003C1E6D" w:rsidRDefault="008E4735" w:rsidP="002B0882">
      <w:pPr>
        <w:pStyle w:val="ListParagraph"/>
        <w:numPr>
          <w:ilvl w:val="0"/>
          <w:numId w:val="0"/>
        </w:numPr>
        <w:spacing w:after="120" w:line="288" w:lineRule="auto"/>
        <w:ind w:right="170"/>
        <w:rPr>
          <w:rFonts w:cs="Arial"/>
          <w:szCs w:val="20"/>
        </w:rPr>
      </w:pPr>
    </w:p>
    <w:p w:rsidR="002B0882" w:rsidRDefault="002B0882" w:rsidP="002B0882">
      <w:pPr>
        <w:pStyle w:val="Caption"/>
        <w:jc w:val="left"/>
        <w:rPr>
          <w:rFonts w:ascii="Verdana" w:hAnsi="Verdana"/>
          <w:b w:val="0"/>
          <w:color w:val="1F497D" w:themeColor="text2"/>
          <w:sz w:val="20"/>
        </w:rPr>
      </w:pPr>
    </w:p>
    <w:p w:rsidR="002B0882" w:rsidRDefault="002B0882" w:rsidP="002B0882">
      <w:pPr>
        <w:pStyle w:val="Caption"/>
        <w:jc w:val="left"/>
        <w:rPr>
          <w:rFonts w:ascii="Verdana" w:hAnsi="Verdana"/>
          <w:b w:val="0"/>
          <w:color w:val="1F497D" w:themeColor="text2"/>
          <w:sz w:val="20"/>
        </w:rPr>
      </w:pPr>
    </w:p>
    <w:p w:rsidR="002B0882" w:rsidRDefault="002B0882" w:rsidP="002B0882">
      <w:pPr>
        <w:pStyle w:val="Caption"/>
        <w:jc w:val="left"/>
        <w:rPr>
          <w:rFonts w:ascii="Verdana" w:hAnsi="Verdana"/>
          <w:b w:val="0"/>
          <w:color w:val="1F497D" w:themeColor="text2"/>
          <w:sz w:val="20"/>
        </w:rPr>
      </w:pPr>
    </w:p>
    <w:p w:rsidR="002B0882" w:rsidRDefault="002B0882" w:rsidP="002B0882">
      <w:pPr>
        <w:pStyle w:val="Caption"/>
        <w:jc w:val="left"/>
        <w:rPr>
          <w:rFonts w:ascii="Verdana" w:hAnsi="Verdana"/>
          <w:b w:val="0"/>
          <w:color w:val="1F497D" w:themeColor="text2"/>
          <w:sz w:val="20"/>
        </w:rPr>
      </w:pPr>
    </w:p>
    <w:p w:rsidR="002B0882" w:rsidRDefault="002B0882" w:rsidP="002B0882">
      <w:pPr>
        <w:pStyle w:val="Caption"/>
        <w:jc w:val="left"/>
        <w:rPr>
          <w:rFonts w:ascii="Verdana" w:hAnsi="Verdana"/>
          <w:b w:val="0"/>
          <w:color w:val="1F497D" w:themeColor="text2"/>
          <w:sz w:val="20"/>
        </w:rPr>
      </w:pPr>
    </w:p>
    <w:p w:rsidR="002B0882" w:rsidRDefault="002B0882" w:rsidP="002B0882">
      <w:pPr>
        <w:pStyle w:val="Caption"/>
        <w:jc w:val="left"/>
        <w:rPr>
          <w:rFonts w:ascii="Verdana" w:hAnsi="Verdana"/>
          <w:b w:val="0"/>
          <w:color w:val="1F497D" w:themeColor="text2"/>
          <w:sz w:val="20"/>
        </w:rPr>
      </w:pPr>
    </w:p>
    <w:p w:rsidR="002B0882" w:rsidRDefault="002B0882">
      <w:pPr>
        <w:jc w:val="left"/>
        <w:rPr>
          <w:bCs/>
          <w:color w:val="1F497D" w:themeColor="text2"/>
          <w:szCs w:val="20"/>
          <w:lang w:eastAsia="en-US"/>
        </w:rPr>
      </w:pPr>
      <w:r>
        <w:rPr>
          <w:b/>
          <w:color w:val="1F497D" w:themeColor="text2"/>
        </w:rPr>
        <w:br w:type="page"/>
      </w:r>
    </w:p>
    <w:p w:rsidR="008E4735" w:rsidRDefault="008E4735" w:rsidP="002B0882">
      <w:pPr>
        <w:pStyle w:val="Caption"/>
        <w:jc w:val="left"/>
        <w:rPr>
          <w:rFonts w:ascii="Verdana" w:hAnsi="Verdana"/>
          <w:b w:val="0"/>
          <w:color w:val="1F497D" w:themeColor="text2"/>
          <w:sz w:val="20"/>
        </w:rPr>
      </w:pPr>
      <w:r w:rsidRPr="002B0882">
        <w:rPr>
          <w:rFonts w:ascii="Verdana" w:hAnsi="Verdana"/>
          <w:b w:val="0"/>
          <w:color w:val="1F497D" w:themeColor="text2"/>
          <w:sz w:val="20"/>
        </w:rPr>
        <w:t>Countries for which data is available for 2004-2014</w:t>
      </w:r>
    </w:p>
    <w:p w:rsidR="002B0882" w:rsidRPr="002B0882" w:rsidRDefault="002B0882" w:rsidP="002B0882">
      <w:pPr>
        <w:pStyle w:val="BodyText"/>
        <w:rPr>
          <w:lang w:eastAsia="en-US"/>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Pr>
          <w:rFonts w:ascii="Verdana" w:hAnsi="Verdana"/>
          <w:b w:val="0"/>
          <w:color w:val="1F497D" w:themeColor="text2"/>
          <w:sz w:val="20"/>
        </w:rPr>
        <w:t>1</w:t>
      </w:r>
      <w:r w:rsidR="002B0882" w:rsidRPr="002B0882">
        <w:rPr>
          <w:rFonts w:ascii="Verdana" w:hAnsi="Verdana"/>
          <w:b w:val="0"/>
          <w:color w:val="1F497D" w:themeColor="text2"/>
          <w:sz w:val="20"/>
        </w:rPr>
        <w:t>2</w:t>
      </w:r>
      <w:r w:rsidRPr="002B0882">
        <w:rPr>
          <w:rFonts w:ascii="Verdana" w:hAnsi="Verdana"/>
          <w:b w:val="0"/>
          <w:color w:val="1F497D" w:themeColor="text2"/>
          <w:sz w:val="20"/>
        </w:rPr>
        <w:t xml:space="preserve"> Highest levels of educational attainment, 25-34 year olds, Austria, 2004-2014 (%)</w:t>
      </w:r>
    </w:p>
    <w:p w:rsidR="002B0882" w:rsidRDefault="008E4735" w:rsidP="002B0882">
      <w:pPr>
        <w:pStyle w:val="ListParagraph"/>
        <w:numPr>
          <w:ilvl w:val="0"/>
          <w:numId w:val="0"/>
        </w:numPr>
        <w:spacing w:after="120" w:line="288" w:lineRule="auto"/>
        <w:ind w:right="170"/>
        <w:rPr>
          <w:rFonts w:cs="Arial"/>
          <w:szCs w:val="20"/>
        </w:rPr>
      </w:pPr>
      <w:r w:rsidRPr="003C1E6D">
        <w:rPr>
          <w:noProof/>
          <w:szCs w:val="20"/>
          <w:lang w:val="en-US" w:eastAsia="en-US"/>
        </w:rPr>
        <w:drawing>
          <wp:inline distT="0" distB="0" distL="0" distR="0" wp14:anchorId="40E2C1F0" wp14:editId="5636D8D2">
            <wp:extent cx="5773420" cy="2349500"/>
            <wp:effectExtent l="0" t="0" r="0" b="0"/>
            <wp:docPr id="6150" name="Picture 6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97"/>
                    <pic:cNvPicPr>
                      <a:picLocks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2B0882">
      <w:pPr>
        <w:pStyle w:val="ListParagraph"/>
        <w:numPr>
          <w:ilvl w:val="0"/>
          <w:numId w:val="0"/>
        </w:numPr>
        <w:spacing w:after="120" w:line="288" w:lineRule="auto"/>
        <w:ind w:right="170"/>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2B0882" w:rsidRDefault="002B0882" w:rsidP="002B0882">
      <w:pPr>
        <w:pStyle w:val="ListParagraph"/>
        <w:numPr>
          <w:ilvl w:val="0"/>
          <w:numId w:val="0"/>
        </w:numPr>
        <w:spacing w:after="120" w:line="288" w:lineRule="auto"/>
        <w:ind w:right="170"/>
        <w:rPr>
          <w:rFonts w:cs="Arial"/>
          <w:szCs w:val="20"/>
        </w:rPr>
      </w:pPr>
    </w:p>
    <w:p w:rsidR="002B0882" w:rsidRPr="003C1E6D" w:rsidRDefault="002B0882" w:rsidP="002B0882">
      <w:pPr>
        <w:pStyle w:val="ListParagraph"/>
        <w:numPr>
          <w:ilvl w:val="0"/>
          <w:numId w:val="0"/>
        </w:numPr>
        <w:spacing w:after="120" w:line="288" w:lineRule="auto"/>
        <w:ind w:right="170"/>
        <w:rPr>
          <w:rFonts w:cs="Arial"/>
          <w:szCs w:val="20"/>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Pr>
          <w:rFonts w:ascii="Verdana" w:hAnsi="Verdana"/>
          <w:b w:val="0"/>
          <w:color w:val="1F497D" w:themeColor="text2"/>
          <w:sz w:val="20"/>
        </w:rPr>
        <w:t>1</w:t>
      </w:r>
      <w:r w:rsidR="002B0882" w:rsidRPr="002B0882">
        <w:rPr>
          <w:rFonts w:ascii="Verdana" w:hAnsi="Verdana"/>
          <w:b w:val="0"/>
          <w:color w:val="1F497D" w:themeColor="text2"/>
          <w:sz w:val="20"/>
        </w:rPr>
        <w:t xml:space="preserve">3 </w:t>
      </w:r>
      <w:r w:rsidRPr="002B0882">
        <w:rPr>
          <w:rFonts w:ascii="Verdana" w:hAnsi="Verdana"/>
          <w:b w:val="0"/>
          <w:color w:val="1F497D" w:themeColor="text2"/>
          <w:sz w:val="20"/>
        </w:rPr>
        <w:t>Highest levels of educational attainment, 25-34 year olds, Bulgaria, 2004-2014 (%)</w:t>
      </w:r>
    </w:p>
    <w:p w:rsidR="008E4735" w:rsidRPr="003C1E6D" w:rsidRDefault="008E4735" w:rsidP="008E4735">
      <w:pPr>
        <w:pStyle w:val="Caption"/>
        <w:jc w:val="left"/>
        <w:rPr>
          <w:rFonts w:ascii="Verdana" w:hAnsi="Verdana"/>
          <w:sz w:val="20"/>
        </w:rPr>
      </w:pPr>
      <w:r w:rsidRPr="003C1E6D">
        <w:rPr>
          <w:rFonts w:ascii="Verdana" w:hAnsi="Verdana"/>
          <w:noProof/>
          <w:sz w:val="20"/>
          <w:lang w:val="en-US"/>
        </w:rPr>
        <w:drawing>
          <wp:inline distT="0" distB="0" distL="0" distR="0" wp14:anchorId="1128D8D1" wp14:editId="67128C4F">
            <wp:extent cx="5773420" cy="2349500"/>
            <wp:effectExtent l="0" t="0" r="0" b="0"/>
            <wp:docPr id="6151" name="Picture 6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62"/>
                    <pic:cNvPicPr>
                      <a:picLocks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pStyle w:val="BodyText"/>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14</w:t>
      </w:r>
      <w:r w:rsidRPr="002B0882">
        <w:rPr>
          <w:rFonts w:ascii="Verdana" w:hAnsi="Verdana"/>
          <w:b w:val="0"/>
          <w:color w:val="1F497D" w:themeColor="text2"/>
          <w:sz w:val="20"/>
        </w:rPr>
        <w:t xml:space="preserve"> Highest levels of educational attainment, 25-34 year olds, Croatia, 2004-2014 (%)</w:t>
      </w:r>
    </w:p>
    <w:p w:rsidR="008E4735" w:rsidRPr="00E13A24" w:rsidRDefault="008E4735" w:rsidP="008E4735">
      <w:pPr>
        <w:pStyle w:val="BodyText"/>
        <w:rPr>
          <w:rFonts w:cs="Arial"/>
          <w:sz w:val="16"/>
          <w:szCs w:val="16"/>
        </w:rPr>
      </w:pPr>
      <w:r w:rsidRPr="00E13A24">
        <w:rPr>
          <w:noProof/>
          <w:lang w:val="en-US" w:eastAsia="en-US"/>
        </w:rPr>
        <w:drawing>
          <wp:inline distT="0" distB="0" distL="0" distR="0" wp14:anchorId="4D9DB05A" wp14:editId="35835DFD">
            <wp:extent cx="5773420" cy="2349500"/>
            <wp:effectExtent l="0" t="0" r="0" b="0"/>
            <wp:docPr id="6152" name="Picture 6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89"/>
                    <pic:cNvPicPr>
                      <a:picLocks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pStyle w:val="BodyText"/>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2B0882" w:rsidRPr="00E13A24" w:rsidRDefault="002B0882" w:rsidP="008E4735">
      <w:pPr>
        <w:pStyle w:val="BodyText"/>
        <w:rPr>
          <w:rFonts w:cs="Arial"/>
          <w:sz w:val="16"/>
          <w:szCs w:val="16"/>
        </w:rPr>
      </w:pPr>
    </w:p>
    <w:p w:rsidR="002B0882" w:rsidRDefault="002B0882" w:rsidP="008E4735">
      <w:pPr>
        <w:pStyle w:val="Caption"/>
        <w:rPr>
          <w:rFonts w:ascii="Verdana" w:hAnsi="Verdana"/>
          <w:b w:val="0"/>
          <w:color w:val="1F497D" w:themeColor="text2"/>
          <w:sz w:val="20"/>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15</w:t>
      </w:r>
      <w:r w:rsidRPr="002B0882">
        <w:rPr>
          <w:rFonts w:ascii="Verdana" w:hAnsi="Verdana"/>
          <w:b w:val="0"/>
          <w:color w:val="1F497D" w:themeColor="text2"/>
          <w:sz w:val="20"/>
        </w:rPr>
        <w:t xml:space="preserve"> Highest levels of educational attainment, 25-34 year olds, Cyprus, 2004-2014 (%)</w:t>
      </w:r>
    </w:p>
    <w:p w:rsidR="008E4735" w:rsidRPr="00E13A24" w:rsidRDefault="008E4735" w:rsidP="008E4735">
      <w:pPr>
        <w:pStyle w:val="BodyText"/>
        <w:rPr>
          <w:rFonts w:cs="Arial"/>
          <w:sz w:val="16"/>
          <w:szCs w:val="16"/>
        </w:rPr>
      </w:pPr>
      <w:r w:rsidRPr="00E13A24">
        <w:rPr>
          <w:noProof/>
          <w:lang w:val="en-US" w:eastAsia="en-US"/>
        </w:rPr>
        <w:drawing>
          <wp:inline distT="0" distB="0" distL="0" distR="0" wp14:anchorId="0BB97EF7" wp14:editId="66488B37">
            <wp:extent cx="5773420" cy="2349500"/>
            <wp:effectExtent l="0" t="0" r="0" b="0"/>
            <wp:docPr id="6153" name="Picture 61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90"/>
                    <pic:cNvPicPr>
                      <a:picLocks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pStyle w:val="BodyText"/>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16</w:t>
      </w:r>
      <w:r w:rsidRPr="002B0882">
        <w:rPr>
          <w:rFonts w:ascii="Verdana" w:hAnsi="Verdana"/>
          <w:b w:val="0"/>
          <w:color w:val="1F497D" w:themeColor="text2"/>
          <w:sz w:val="20"/>
        </w:rPr>
        <w:t xml:space="preserve"> Highest levels of educational attainment, 25-34 year olds, Czech Republic, 2004-2014 (%)</w:t>
      </w:r>
    </w:p>
    <w:p w:rsidR="008E4735" w:rsidRPr="00E13A24" w:rsidRDefault="008E4735" w:rsidP="008E4735">
      <w:pPr>
        <w:pStyle w:val="BodyText"/>
        <w:rPr>
          <w:rFonts w:cs="Arial"/>
          <w:sz w:val="16"/>
          <w:szCs w:val="16"/>
        </w:rPr>
      </w:pPr>
      <w:r w:rsidRPr="00E13A24">
        <w:rPr>
          <w:noProof/>
          <w:lang w:val="en-US" w:eastAsia="en-US"/>
        </w:rPr>
        <w:drawing>
          <wp:inline distT="0" distB="0" distL="0" distR="0" wp14:anchorId="0811B3BF" wp14:editId="2A29560B">
            <wp:extent cx="5773420" cy="2349500"/>
            <wp:effectExtent l="0" t="0" r="0" b="0"/>
            <wp:docPr id="6154" name="Picture 6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63"/>
                    <pic:cNvPicPr>
                      <a:picLocks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pStyle w:val="BodyText"/>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2B0882" w:rsidRDefault="002B0882" w:rsidP="008E4735">
      <w:pPr>
        <w:pStyle w:val="BodyText"/>
        <w:rPr>
          <w:rFonts w:cs="Arial"/>
          <w:color w:val="1F497D" w:themeColor="text2"/>
          <w:sz w:val="16"/>
          <w:szCs w:val="16"/>
        </w:rPr>
      </w:pPr>
    </w:p>
    <w:p w:rsidR="002B0882" w:rsidRPr="002B0882" w:rsidRDefault="002B0882" w:rsidP="008E4735">
      <w:pPr>
        <w:pStyle w:val="BodyText"/>
        <w:rPr>
          <w:rFonts w:cs="Arial"/>
          <w:color w:val="1F497D" w:themeColor="text2"/>
          <w:sz w:val="16"/>
          <w:szCs w:val="16"/>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17</w:t>
      </w:r>
      <w:r w:rsidRPr="002B0882">
        <w:rPr>
          <w:rFonts w:ascii="Verdana" w:hAnsi="Verdana"/>
          <w:b w:val="0"/>
          <w:color w:val="1F497D" w:themeColor="text2"/>
          <w:sz w:val="20"/>
        </w:rPr>
        <w:t xml:space="preserve"> Highest levels of educational attainment, 25-34 year olds, Estonia, 2004-2014 (%)</w:t>
      </w:r>
    </w:p>
    <w:p w:rsidR="008E4735" w:rsidRPr="002B0882" w:rsidRDefault="008E4735" w:rsidP="008E4735">
      <w:pPr>
        <w:pStyle w:val="BodyText"/>
        <w:rPr>
          <w:rFonts w:cs="Arial"/>
          <w:i/>
          <w:sz w:val="16"/>
          <w:szCs w:val="16"/>
        </w:rPr>
      </w:pPr>
      <w:r w:rsidRPr="00E13A24">
        <w:rPr>
          <w:noProof/>
          <w:lang w:val="en-US" w:eastAsia="en-US"/>
        </w:rPr>
        <w:drawing>
          <wp:inline distT="0" distB="0" distL="0" distR="0" wp14:anchorId="0ED6AB8E" wp14:editId="5C802BF8">
            <wp:extent cx="5773420" cy="2349500"/>
            <wp:effectExtent l="0" t="0" r="0" b="0"/>
            <wp:docPr id="6155" name="Picture 61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88"/>
                    <pic:cNvPicPr>
                      <a:picLocks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r w:rsidRPr="002B0882">
        <w:rPr>
          <w:rFonts w:cs="Arial"/>
          <w:i/>
          <w:sz w:val="16"/>
          <w:szCs w:val="16"/>
        </w:rPr>
        <w:t>Notes: European Labour Force Survey, own illustration based on Eurostat data, edat_lfse_05, edat_lfse_06, edat_lfse_07, accessed 21.05.2015</w:t>
      </w: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18</w:t>
      </w:r>
      <w:r w:rsidRPr="002B0882">
        <w:rPr>
          <w:rFonts w:ascii="Verdana" w:hAnsi="Verdana"/>
          <w:b w:val="0"/>
          <w:color w:val="1F497D" w:themeColor="text2"/>
          <w:sz w:val="20"/>
        </w:rPr>
        <w:t xml:space="preserve"> Highest levels of educational attainment, 25-34 year olds, Finland, 2004-2014 (%)</w:t>
      </w:r>
    </w:p>
    <w:p w:rsidR="008E4735" w:rsidRPr="00E13A24" w:rsidRDefault="008E4735" w:rsidP="002B0882">
      <w:pPr>
        <w:pStyle w:val="ListParagraph"/>
        <w:numPr>
          <w:ilvl w:val="0"/>
          <w:numId w:val="0"/>
        </w:numPr>
        <w:spacing w:after="120" w:line="288" w:lineRule="auto"/>
        <w:ind w:right="170"/>
        <w:rPr>
          <w:rFonts w:cs="Arial"/>
          <w:sz w:val="16"/>
          <w:szCs w:val="16"/>
        </w:rPr>
      </w:pPr>
      <w:r w:rsidRPr="00E13A24">
        <w:rPr>
          <w:noProof/>
          <w:lang w:val="en-US" w:eastAsia="en-US"/>
        </w:rPr>
        <w:drawing>
          <wp:inline distT="0" distB="0" distL="0" distR="0" wp14:anchorId="3C23AA93" wp14:editId="3F53AF4E">
            <wp:extent cx="5773420" cy="2349500"/>
            <wp:effectExtent l="0" t="0" r="0" b="0"/>
            <wp:docPr id="6156" name="Picture 61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303"/>
                    <pic:cNvPicPr>
                      <a:picLocks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2B0882">
      <w:pPr>
        <w:pStyle w:val="ListParagraph"/>
        <w:numPr>
          <w:ilvl w:val="0"/>
          <w:numId w:val="0"/>
        </w:numPr>
        <w:spacing w:line="288" w:lineRule="auto"/>
        <w:ind w:right="170"/>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8E4735" w:rsidRDefault="008E4735" w:rsidP="008E4735">
      <w:pPr>
        <w:pStyle w:val="Caption"/>
        <w:rPr>
          <w:rFonts w:ascii="Verdana" w:hAnsi="Verdana"/>
          <w:sz w:val="20"/>
        </w:rPr>
      </w:pPr>
    </w:p>
    <w:p w:rsidR="002B0882" w:rsidRPr="002B0882" w:rsidRDefault="002B0882" w:rsidP="002B0882">
      <w:pPr>
        <w:pStyle w:val="BodyText"/>
        <w:rPr>
          <w:lang w:eastAsia="en-US"/>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19</w:t>
      </w:r>
      <w:r w:rsidRPr="002B0882">
        <w:rPr>
          <w:rFonts w:ascii="Verdana" w:hAnsi="Verdana"/>
          <w:b w:val="0"/>
          <w:color w:val="1F497D" w:themeColor="text2"/>
          <w:sz w:val="20"/>
        </w:rPr>
        <w:t xml:space="preserve"> Highest levels of educational attainment, 25-34 year olds, Hungary, 2004-2014 (%)</w:t>
      </w:r>
    </w:p>
    <w:p w:rsidR="008E4735" w:rsidRPr="00E13A24" w:rsidRDefault="008E4735" w:rsidP="008E4735">
      <w:pPr>
        <w:pStyle w:val="BodyText"/>
        <w:rPr>
          <w:rFonts w:cs="Arial"/>
          <w:sz w:val="16"/>
          <w:szCs w:val="16"/>
        </w:rPr>
      </w:pPr>
      <w:r w:rsidRPr="00E13A24">
        <w:rPr>
          <w:noProof/>
          <w:lang w:val="en-US" w:eastAsia="en-US"/>
        </w:rPr>
        <w:drawing>
          <wp:inline distT="0" distB="0" distL="0" distR="0" wp14:anchorId="08791E61" wp14:editId="298F16F4">
            <wp:extent cx="5773420" cy="2349500"/>
            <wp:effectExtent l="0" t="0" r="0" b="0"/>
            <wp:docPr id="6157" name="Picture 6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94"/>
                    <pic:cNvPicPr>
                      <a:picLocks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2B0882" w:rsidRPr="002B0882" w:rsidRDefault="008E4735" w:rsidP="008E4735">
      <w:pPr>
        <w:pStyle w:val="BodyText"/>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2B0882" w:rsidRPr="002B0882" w:rsidRDefault="002B0882" w:rsidP="002B0882">
      <w:pPr>
        <w:pStyle w:val="BodyText"/>
        <w:rPr>
          <w:i/>
        </w:rPr>
      </w:pPr>
      <w:r w:rsidRPr="002B0882">
        <w:rPr>
          <w:i/>
        </w:rPr>
        <w:br w:type="page"/>
      </w:r>
    </w:p>
    <w:p w:rsidR="008E4735" w:rsidRDefault="008E4735" w:rsidP="008E4735">
      <w:pPr>
        <w:pStyle w:val="Caption"/>
        <w:rPr>
          <w:rFonts w:ascii="Verdana" w:hAnsi="Verdana" w:cs="Arial"/>
          <w:b w:val="0"/>
          <w:sz w:val="16"/>
          <w:szCs w:val="16"/>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20</w:t>
      </w:r>
      <w:r w:rsidRPr="002B0882">
        <w:rPr>
          <w:rFonts w:ascii="Verdana" w:hAnsi="Verdana"/>
          <w:b w:val="0"/>
          <w:color w:val="1F497D" w:themeColor="text2"/>
          <w:sz w:val="20"/>
        </w:rPr>
        <w:t xml:space="preserve"> Highest levels of educational attainment, 25-34 year olds, Ireland, 2004-2014</w:t>
      </w:r>
      <w:r w:rsidRPr="002B0882">
        <w:rPr>
          <w:rFonts w:ascii="Verdana" w:hAnsi="Verdana"/>
          <w:color w:val="1F497D" w:themeColor="text2"/>
          <w:sz w:val="20"/>
        </w:rPr>
        <w:t xml:space="preserve"> </w:t>
      </w:r>
      <w:r w:rsidRPr="00E13A24">
        <w:rPr>
          <w:rFonts w:ascii="Verdana" w:hAnsi="Verdana"/>
          <w:color w:val="1F497D" w:themeColor="text2"/>
          <w:sz w:val="20"/>
        </w:rPr>
        <w:t>(%)</w:t>
      </w:r>
      <w:r w:rsidRPr="00E13A24">
        <w:rPr>
          <w:rFonts w:ascii="Verdana" w:hAnsi="Verdana"/>
          <w:noProof/>
          <w:lang w:val="en-US"/>
        </w:rPr>
        <w:drawing>
          <wp:inline distT="0" distB="0" distL="0" distR="0" wp14:anchorId="71704C74" wp14:editId="7C31F8B8">
            <wp:extent cx="5773420" cy="2349500"/>
            <wp:effectExtent l="0" t="0" r="0" b="0"/>
            <wp:docPr id="6158" name="Picture 6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0"/>
                    <pic:cNvPicPr>
                      <a:picLocks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r w:rsidRPr="002B0882">
        <w:rPr>
          <w:rFonts w:ascii="Verdana" w:hAnsi="Verdana" w:cs="Arial"/>
          <w:b w:val="0"/>
          <w:i/>
          <w:sz w:val="16"/>
          <w:szCs w:val="16"/>
        </w:rPr>
        <w:t>Notes: European Labour Force Survey, own illustration based on Eurostat data, edat_lfse_05, edat_lfse_06, edat_lfse_07, accessed 21.05.2015</w:t>
      </w:r>
    </w:p>
    <w:p w:rsidR="002B0882" w:rsidRDefault="002B0882" w:rsidP="002B0882">
      <w:pPr>
        <w:pStyle w:val="BodyText"/>
        <w:rPr>
          <w:lang w:eastAsia="en-US"/>
        </w:rPr>
      </w:pPr>
    </w:p>
    <w:p w:rsidR="002B0882" w:rsidRPr="002B0882" w:rsidRDefault="002B0882" w:rsidP="002B0882">
      <w:pPr>
        <w:pStyle w:val="BodyText"/>
        <w:rPr>
          <w:lang w:eastAsia="en-US"/>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21</w:t>
      </w:r>
      <w:r w:rsidRPr="002B0882">
        <w:rPr>
          <w:rFonts w:ascii="Verdana" w:hAnsi="Verdana"/>
          <w:b w:val="0"/>
          <w:color w:val="1F497D" w:themeColor="text2"/>
          <w:sz w:val="20"/>
        </w:rPr>
        <w:t xml:space="preserve"> Highest levels of educational attainment, 25-34 year olds, Latvia, 2004-2014 (%)</w:t>
      </w:r>
    </w:p>
    <w:p w:rsidR="008E4735" w:rsidRPr="00E13A24" w:rsidRDefault="008E4735" w:rsidP="008E4735">
      <w:pPr>
        <w:pStyle w:val="BodyText"/>
        <w:rPr>
          <w:rFonts w:cs="Arial"/>
          <w:sz w:val="16"/>
          <w:szCs w:val="16"/>
        </w:rPr>
      </w:pPr>
      <w:r w:rsidRPr="00E13A24">
        <w:rPr>
          <w:noProof/>
          <w:lang w:val="en-US" w:eastAsia="en-US"/>
        </w:rPr>
        <w:drawing>
          <wp:inline distT="0" distB="0" distL="0" distR="0" wp14:anchorId="241FB158" wp14:editId="6EE3323D">
            <wp:extent cx="5773420" cy="2349500"/>
            <wp:effectExtent l="0" t="0" r="0" b="0"/>
            <wp:docPr id="6159" name="Picture 6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92"/>
                    <pic:cNvPicPr>
                      <a:picLocks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pStyle w:val="BodyText"/>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22</w:t>
      </w:r>
      <w:r w:rsidRPr="002B0882">
        <w:rPr>
          <w:rFonts w:ascii="Verdana" w:hAnsi="Verdana"/>
          <w:b w:val="0"/>
          <w:color w:val="1F497D" w:themeColor="text2"/>
          <w:sz w:val="20"/>
        </w:rPr>
        <w:t xml:space="preserve"> Highest levels of educational attainment, 25-34 year olds, Lithuania, 2004-2014 (%)</w:t>
      </w:r>
    </w:p>
    <w:p w:rsidR="008E4735" w:rsidRPr="00E13A24" w:rsidRDefault="008E4735" w:rsidP="008E4735">
      <w:pPr>
        <w:pStyle w:val="BodyText"/>
        <w:rPr>
          <w:rFonts w:cs="Arial"/>
          <w:sz w:val="16"/>
          <w:szCs w:val="16"/>
        </w:rPr>
      </w:pPr>
      <w:r w:rsidRPr="00E13A24">
        <w:rPr>
          <w:noProof/>
          <w:lang w:val="en-US" w:eastAsia="en-US"/>
        </w:rPr>
        <w:drawing>
          <wp:inline distT="0" distB="0" distL="0" distR="0" wp14:anchorId="1D0B53FC" wp14:editId="56A1ADC2">
            <wp:extent cx="5773420" cy="2349500"/>
            <wp:effectExtent l="0" t="0" r="0" b="0"/>
            <wp:docPr id="6160" name="Picture 61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93"/>
                    <pic:cNvPicPr>
                      <a:picLocks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pStyle w:val="BodyText"/>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2B0882" w:rsidRPr="00E13A24" w:rsidRDefault="002B0882" w:rsidP="008E4735">
      <w:pPr>
        <w:pStyle w:val="BodyText"/>
        <w:rPr>
          <w:rFonts w:cs="Arial"/>
          <w:sz w:val="16"/>
          <w:szCs w:val="16"/>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23</w:t>
      </w:r>
      <w:r w:rsidR="002B0882">
        <w:rPr>
          <w:rFonts w:ascii="Verdana" w:hAnsi="Verdana"/>
          <w:b w:val="0"/>
          <w:color w:val="1F497D" w:themeColor="text2"/>
          <w:sz w:val="20"/>
        </w:rPr>
        <w:t xml:space="preserve"> </w:t>
      </w:r>
      <w:r w:rsidRPr="002B0882">
        <w:rPr>
          <w:rFonts w:ascii="Verdana" w:hAnsi="Verdana"/>
          <w:b w:val="0"/>
          <w:color w:val="1F497D" w:themeColor="text2"/>
          <w:sz w:val="20"/>
        </w:rPr>
        <w:t>Highest levels of educational attainment, 25-34 year olds, Malta, 2004-2014 (%)</w:t>
      </w:r>
    </w:p>
    <w:p w:rsidR="008E4735" w:rsidRPr="00E13A24" w:rsidRDefault="008E4735" w:rsidP="008E4735">
      <w:pPr>
        <w:pStyle w:val="BodyText"/>
      </w:pPr>
      <w:r w:rsidRPr="00E13A24">
        <w:rPr>
          <w:noProof/>
          <w:lang w:val="en-US" w:eastAsia="en-US"/>
        </w:rPr>
        <w:drawing>
          <wp:inline distT="0" distB="0" distL="0" distR="0" wp14:anchorId="1393C2B2" wp14:editId="26A0EAA0">
            <wp:extent cx="5773420" cy="2349500"/>
            <wp:effectExtent l="0" t="0" r="0" b="0"/>
            <wp:docPr id="6161" name="Picture 61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95"/>
                    <pic:cNvPicPr>
                      <a:picLocks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pStyle w:val="BodyText"/>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 xml:space="preserve">24 </w:t>
      </w:r>
      <w:r w:rsidRPr="002B0882">
        <w:rPr>
          <w:rFonts w:ascii="Verdana" w:hAnsi="Verdana"/>
          <w:b w:val="0"/>
          <w:color w:val="1F497D" w:themeColor="text2"/>
          <w:sz w:val="20"/>
        </w:rPr>
        <w:t>Highest levels of educational attainment, 25-34 year olds, Netherlands, 2004-2014 (%)</w:t>
      </w:r>
    </w:p>
    <w:p w:rsidR="008E4735" w:rsidRPr="00E13A24" w:rsidRDefault="008E4735" w:rsidP="002B0882">
      <w:pPr>
        <w:pStyle w:val="ListParagraph"/>
        <w:numPr>
          <w:ilvl w:val="0"/>
          <w:numId w:val="0"/>
        </w:numPr>
        <w:spacing w:after="120" w:line="288" w:lineRule="auto"/>
        <w:ind w:right="170"/>
        <w:rPr>
          <w:rFonts w:cs="Arial"/>
          <w:szCs w:val="20"/>
        </w:rPr>
      </w:pPr>
      <w:r w:rsidRPr="00E13A24">
        <w:rPr>
          <w:noProof/>
          <w:lang w:val="en-US" w:eastAsia="en-US"/>
        </w:rPr>
        <w:drawing>
          <wp:inline distT="0" distB="0" distL="0" distR="0" wp14:anchorId="0655CC4D" wp14:editId="248B6716">
            <wp:extent cx="5773420" cy="2349500"/>
            <wp:effectExtent l="0" t="0" r="0" b="0"/>
            <wp:docPr id="6162" name="Picture 61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96"/>
                    <pic:cNvPicPr>
                      <a:picLocks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8E4735">
      <w:pPr>
        <w:pStyle w:val="BodyText"/>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2B0882" w:rsidRPr="00E13A24" w:rsidRDefault="002B0882" w:rsidP="008E4735">
      <w:pPr>
        <w:pStyle w:val="BodyText"/>
        <w:rPr>
          <w:rFonts w:cs="Arial"/>
          <w:sz w:val="16"/>
          <w:szCs w:val="16"/>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25</w:t>
      </w:r>
      <w:r w:rsidRPr="002B0882">
        <w:rPr>
          <w:rFonts w:ascii="Verdana" w:hAnsi="Verdana"/>
          <w:b w:val="0"/>
          <w:color w:val="1F497D" w:themeColor="text2"/>
          <w:sz w:val="20"/>
        </w:rPr>
        <w:t xml:space="preserve"> Highest levels of educational attainment, 25-34 year olds, Poland, 2004-2014 (%)</w:t>
      </w:r>
    </w:p>
    <w:p w:rsidR="008E4735" w:rsidRPr="00E13A24" w:rsidRDefault="008E4735" w:rsidP="002B0882">
      <w:pPr>
        <w:pStyle w:val="ListParagraph"/>
        <w:numPr>
          <w:ilvl w:val="0"/>
          <w:numId w:val="0"/>
        </w:numPr>
        <w:spacing w:after="120" w:line="288" w:lineRule="auto"/>
        <w:ind w:right="170"/>
        <w:rPr>
          <w:rFonts w:cs="Arial"/>
          <w:szCs w:val="20"/>
        </w:rPr>
      </w:pPr>
      <w:r w:rsidRPr="00E13A24">
        <w:rPr>
          <w:noProof/>
          <w:lang w:val="en-US" w:eastAsia="en-US"/>
        </w:rPr>
        <w:drawing>
          <wp:inline distT="0" distB="0" distL="0" distR="0" wp14:anchorId="12FE8AEA" wp14:editId="4A23F744">
            <wp:extent cx="5773420" cy="2349500"/>
            <wp:effectExtent l="0" t="0" r="0" b="0"/>
            <wp:docPr id="6163" name="Picture 61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98"/>
                    <pic:cNvPicPr>
                      <a:picLocks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2B0882">
      <w:pPr>
        <w:pStyle w:val="ListParagraph"/>
        <w:numPr>
          <w:ilvl w:val="0"/>
          <w:numId w:val="0"/>
        </w:numPr>
        <w:spacing w:after="120" w:line="288" w:lineRule="auto"/>
        <w:ind w:right="170"/>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26</w:t>
      </w:r>
      <w:r w:rsidRPr="002B0882">
        <w:rPr>
          <w:rFonts w:ascii="Verdana" w:hAnsi="Verdana"/>
          <w:b w:val="0"/>
          <w:color w:val="1F497D" w:themeColor="text2"/>
          <w:sz w:val="20"/>
        </w:rPr>
        <w:t xml:space="preserve"> Highest levels of educational attainment, 25-34 year olds, Romania, 2004-2014 (%)</w:t>
      </w:r>
    </w:p>
    <w:p w:rsidR="008E4735" w:rsidRPr="00E13A24" w:rsidRDefault="008E4735" w:rsidP="002B0882">
      <w:pPr>
        <w:pStyle w:val="ListParagraph"/>
        <w:numPr>
          <w:ilvl w:val="0"/>
          <w:numId w:val="0"/>
        </w:numPr>
        <w:spacing w:after="120" w:line="288" w:lineRule="auto"/>
        <w:ind w:right="170"/>
        <w:rPr>
          <w:rFonts w:cs="Arial"/>
          <w:sz w:val="16"/>
          <w:szCs w:val="16"/>
        </w:rPr>
      </w:pPr>
      <w:r w:rsidRPr="00E13A24">
        <w:rPr>
          <w:noProof/>
          <w:lang w:val="en-US" w:eastAsia="en-US"/>
        </w:rPr>
        <w:drawing>
          <wp:inline distT="0" distB="0" distL="0" distR="0" wp14:anchorId="60D1D7BF" wp14:editId="6D4EB7BD">
            <wp:extent cx="5773420" cy="2349500"/>
            <wp:effectExtent l="0" t="0" r="0" b="0"/>
            <wp:docPr id="6164" name="Picture 61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99"/>
                    <pic:cNvPicPr>
                      <a:picLocks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2B0882">
      <w:pPr>
        <w:pStyle w:val="ListParagraph"/>
        <w:numPr>
          <w:ilvl w:val="0"/>
          <w:numId w:val="0"/>
        </w:numPr>
        <w:spacing w:after="120" w:line="288" w:lineRule="auto"/>
        <w:ind w:right="170"/>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2B0882" w:rsidRPr="00E13A24" w:rsidRDefault="002B0882" w:rsidP="002B0882">
      <w:pPr>
        <w:pStyle w:val="ListParagraph"/>
        <w:numPr>
          <w:ilvl w:val="0"/>
          <w:numId w:val="0"/>
        </w:numPr>
        <w:spacing w:after="120" w:line="288" w:lineRule="auto"/>
        <w:ind w:right="170"/>
        <w:rPr>
          <w:rFonts w:cs="Arial"/>
          <w:sz w:val="16"/>
          <w:szCs w:val="16"/>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 xml:space="preserve">27 </w:t>
      </w:r>
      <w:r w:rsidRPr="002B0882">
        <w:rPr>
          <w:rFonts w:ascii="Verdana" w:hAnsi="Verdana"/>
          <w:b w:val="0"/>
          <w:color w:val="1F497D" w:themeColor="text2"/>
          <w:sz w:val="20"/>
        </w:rPr>
        <w:t>Highest levels of educational attainment, 25-34 year olds, Slovenia, 2004-2014 (%)</w:t>
      </w:r>
    </w:p>
    <w:p w:rsidR="008E4735" w:rsidRPr="00E13A24" w:rsidRDefault="008E4735" w:rsidP="002B0882">
      <w:pPr>
        <w:pStyle w:val="ListParagraph"/>
        <w:numPr>
          <w:ilvl w:val="0"/>
          <w:numId w:val="0"/>
        </w:numPr>
        <w:spacing w:after="120" w:line="288" w:lineRule="auto"/>
        <w:ind w:right="170"/>
        <w:rPr>
          <w:rFonts w:cs="Arial"/>
          <w:sz w:val="16"/>
          <w:szCs w:val="16"/>
        </w:rPr>
      </w:pPr>
      <w:r w:rsidRPr="00E13A24">
        <w:rPr>
          <w:noProof/>
          <w:lang w:val="en-US" w:eastAsia="en-US"/>
        </w:rPr>
        <w:drawing>
          <wp:inline distT="0" distB="0" distL="0" distR="0" wp14:anchorId="7FEBC970" wp14:editId="139BD097">
            <wp:extent cx="5954395" cy="2583815"/>
            <wp:effectExtent l="0" t="0" r="8255" b="6985"/>
            <wp:docPr id="6165" name="Picture 6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301"/>
                    <pic:cNvPicPr>
                      <a:picLocks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5954395" cy="2583815"/>
                    </a:xfrm>
                    <a:prstGeom prst="rect">
                      <a:avLst/>
                    </a:prstGeom>
                    <a:noFill/>
                    <a:ln>
                      <a:noFill/>
                    </a:ln>
                  </pic:spPr>
                </pic:pic>
              </a:graphicData>
            </a:graphic>
          </wp:inline>
        </w:drawing>
      </w:r>
    </w:p>
    <w:p w:rsidR="008E4735" w:rsidRPr="002B0882" w:rsidRDefault="008E4735" w:rsidP="002B0882">
      <w:pPr>
        <w:pStyle w:val="ListParagraph"/>
        <w:numPr>
          <w:ilvl w:val="0"/>
          <w:numId w:val="0"/>
        </w:numPr>
        <w:spacing w:after="120" w:line="288" w:lineRule="auto"/>
        <w:ind w:right="170"/>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 xml:space="preserve">28 </w:t>
      </w:r>
      <w:r w:rsidRPr="002B0882">
        <w:rPr>
          <w:rFonts w:ascii="Verdana" w:hAnsi="Verdana"/>
          <w:b w:val="0"/>
          <w:color w:val="1F497D" w:themeColor="text2"/>
          <w:sz w:val="20"/>
        </w:rPr>
        <w:t>Highest levels of educational attainment, 25-34 year olds, Slovakia, 2004-2014 (%)</w:t>
      </w:r>
    </w:p>
    <w:p w:rsidR="008E4735" w:rsidRPr="00E13A24" w:rsidRDefault="008E4735" w:rsidP="002B0882">
      <w:pPr>
        <w:pStyle w:val="ListParagraph"/>
        <w:numPr>
          <w:ilvl w:val="0"/>
          <w:numId w:val="0"/>
        </w:numPr>
        <w:spacing w:after="120" w:line="288" w:lineRule="auto"/>
        <w:ind w:right="170"/>
        <w:rPr>
          <w:rFonts w:cs="Arial"/>
          <w:sz w:val="16"/>
          <w:szCs w:val="16"/>
        </w:rPr>
      </w:pPr>
      <w:r w:rsidRPr="00E13A24">
        <w:rPr>
          <w:noProof/>
          <w:lang w:val="en-US" w:eastAsia="en-US"/>
        </w:rPr>
        <w:drawing>
          <wp:inline distT="0" distB="0" distL="0" distR="0" wp14:anchorId="5B9DF0EB" wp14:editId="55304CD3">
            <wp:extent cx="5773420" cy="2349500"/>
            <wp:effectExtent l="0" t="0" r="0" b="0"/>
            <wp:docPr id="6166" name="Picture 61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302"/>
                    <pic:cNvPicPr>
                      <a:picLocks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2B0882">
      <w:pPr>
        <w:pStyle w:val="ListParagraph"/>
        <w:numPr>
          <w:ilvl w:val="0"/>
          <w:numId w:val="0"/>
        </w:numPr>
        <w:spacing w:after="120" w:line="288" w:lineRule="auto"/>
        <w:ind w:right="170"/>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2B0882" w:rsidRPr="00E13A24" w:rsidRDefault="002B0882" w:rsidP="002B0882">
      <w:pPr>
        <w:pStyle w:val="ListParagraph"/>
        <w:numPr>
          <w:ilvl w:val="0"/>
          <w:numId w:val="0"/>
        </w:numPr>
        <w:spacing w:after="120" w:line="288" w:lineRule="auto"/>
        <w:ind w:right="170"/>
        <w:rPr>
          <w:rFonts w:cs="Arial"/>
          <w:sz w:val="16"/>
          <w:szCs w:val="16"/>
        </w:rPr>
      </w:pPr>
    </w:p>
    <w:p w:rsidR="008E4735" w:rsidRPr="002B0882" w:rsidRDefault="008E4735" w:rsidP="008E4735">
      <w:pPr>
        <w:pStyle w:val="Caption"/>
        <w:rPr>
          <w:rFonts w:ascii="Verdana" w:hAnsi="Verdana"/>
          <w:b w:val="0"/>
          <w:color w:val="1F497D" w:themeColor="text2"/>
          <w:sz w:val="20"/>
        </w:rPr>
      </w:pPr>
      <w:r w:rsidRPr="002B0882">
        <w:rPr>
          <w:rFonts w:ascii="Verdana" w:hAnsi="Verdana"/>
          <w:b w:val="0"/>
          <w:color w:val="1F497D" w:themeColor="text2"/>
          <w:sz w:val="20"/>
        </w:rPr>
        <w:t>Figure A</w:t>
      </w:r>
      <w:r w:rsidR="002B0882" w:rsidRPr="002B0882">
        <w:rPr>
          <w:rFonts w:ascii="Verdana" w:hAnsi="Verdana"/>
          <w:b w:val="0"/>
          <w:color w:val="1F497D" w:themeColor="text2"/>
          <w:sz w:val="20"/>
        </w:rPr>
        <w:t xml:space="preserve">29 </w:t>
      </w:r>
      <w:r w:rsidRPr="002B0882">
        <w:rPr>
          <w:rFonts w:ascii="Verdana" w:hAnsi="Verdana"/>
          <w:b w:val="0"/>
          <w:color w:val="1F497D" w:themeColor="text2"/>
          <w:sz w:val="20"/>
        </w:rPr>
        <w:t>Highest levels of educational attainment, 25-34 year olds, Sweden, 2004-2014 (%)</w:t>
      </w:r>
    </w:p>
    <w:p w:rsidR="008E4735" w:rsidRPr="00E13A24" w:rsidRDefault="008E4735" w:rsidP="002B0882">
      <w:pPr>
        <w:pStyle w:val="ListParagraph"/>
        <w:numPr>
          <w:ilvl w:val="0"/>
          <w:numId w:val="0"/>
        </w:numPr>
        <w:spacing w:after="120" w:line="288" w:lineRule="auto"/>
        <w:ind w:right="170"/>
        <w:rPr>
          <w:rFonts w:cs="Arial"/>
          <w:sz w:val="16"/>
          <w:szCs w:val="16"/>
        </w:rPr>
      </w:pPr>
      <w:r w:rsidRPr="00E13A24">
        <w:rPr>
          <w:noProof/>
          <w:lang w:val="en-US" w:eastAsia="en-US"/>
        </w:rPr>
        <w:drawing>
          <wp:inline distT="0" distB="0" distL="0" distR="0" wp14:anchorId="3900123F" wp14:editId="52C8BB53">
            <wp:extent cx="5773420" cy="2349500"/>
            <wp:effectExtent l="0" t="0" r="0" b="0"/>
            <wp:docPr id="6167" name="Picture 6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304"/>
                    <pic:cNvPicPr>
                      <a:picLocks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773420" cy="2349500"/>
                    </a:xfrm>
                    <a:prstGeom prst="rect">
                      <a:avLst/>
                    </a:prstGeom>
                    <a:noFill/>
                    <a:ln>
                      <a:noFill/>
                    </a:ln>
                  </pic:spPr>
                </pic:pic>
              </a:graphicData>
            </a:graphic>
          </wp:inline>
        </w:drawing>
      </w:r>
    </w:p>
    <w:p w:rsidR="008E4735" w:rsidRPr="002B0882" w:rsidRDefault="008E4735" w:rsidP="002B0882">
      <w:pPr>
        <w:pStyle w:val="ListParagraph"/>
        <w:numPr>
          <w:ilvl w:val="0"/>
          <w:numId w:val="0"/>
        </w:numPr>
        <w:spacing w:after="120" w:line="288" w:lineRule="auto"/>
        <w:ind w:right="170"/>
        <w:rPr>
          <w:rFonts w:cs="Arial"/>
          <w:i/>
          <w:sz w:val="16"/>
          <w:szCs w:val="16"/>
        </w:rPr>
      </w:pPr>
      <w:r w:rsidRPr="002B0882">
        <w:rPr>
          <w:rFonts w:cs="Arial"/>
          <w:i/>
          <w:sz w:val="16"/>
          <w:szCs w:val="16"/>
        </w:rPr>
        <w:t>Notes: European Labour Force Survey, own illustration based on Eurostat data, edat_lfse_05, edat_lfse_06, edat_lfse_07, accessed 21.05.2015</w:t>
      </w:r>
    </w:p>
    <w:p w:rsidR="008E4735" w:rsidRDefault="008E4735">
      <w:pPr>
        <w:jc w:val="left"/>
        <w:rPr>
          <w:color w:val="003C64"/>
          <w:sz w:val="40"/>
        </w:rPr>
      </w:pPr>
      <w:r>
        <w:rPr>
          <w:b/>
        </w:rPr>
        <w:br w:type="page"/>
      </w:r>
    </w:p>
    <w:p w:rsidR="008E4735" w:rsidRPr="0032050F" w:rsidRDefault="008E4735" w:rsidP="008E4735">
      <w:pPr>
        <w:pStyle w:val="Annexheading2"/>
        <w:rPr>
          <w:rFonts w:ascii="Verdana" w:hAnsi="Verdana"/>
          <w:b w:val="0"/>
        </w:rPr>
      </w:pPr>
      <w:r>
        <w:rPr>
          <w:rFonts w:ascii="Verdana" w:hAnsi="Verdana"/>
          <w:b w:val="0"/>
        </w:rPr>
        <w:t>Annex V – Variables cons</w:t>
      </w:r>
      <w:r w:rsidR="00F91CA1">
        <w:rPr>
          <w:rFonts w:ascii="Verdana" w:hAnsi="Verdana"/>
          <w:b w:val="0"/>
        </w:rPr>
        <w:t>idered for the empirical model Chapter Five</w:t>
      </w:r>
    </w:p>
    <w:p w:rsidR="008E4735" w:rsidRPr="008E4735" w:rsidRDefault="008E4735" w:rsidP="008E4735">
      <w:pPr>
        <w:pStyle w:val="Caption"/>
        <w:rPr>
          <w:rFonts w:ascii="Verdana" w:hAnsi="Verdana"/>
          <w:b w:val="0"/>
          <w:color w:val="1F497D" w:themeColor="text2"/>
          <w:sz w:val="20"/>
        </w:rPr>
      </w:pPr>
      <w:r w:rsidRPr="008E4735">
        <w:rPr>
          <w:rFonts w:ascii="Verdana" w:hAnsi="Verdana"/>
          <w:b w:val="0"/>
          <w:color w:val="1F497D" w:themeColor="text2"/>
          <w:sz w:val="20"/>
        </w:rPr>
        <w:t>Table A3 Variables considered for the final empirical model and final variable selection</w:t>
      </w:r>
    </w:p>
    <w:tbl>
      <w:tblPr>
        <w:tblStyle w:val="TableGrid"/>
        <w:tblW w:w="0" w:type="auto"/>
        <w:tblInd w:w="108" w:type="dxa"/>
        <w:tblLook w:val="04A0" w:firstRow="1" w:lastRow="0" w:firstColumn="1" w:lastColumn="0" w:noHBand="0" w:noVBand="1"/>
      </w:tblPr>
      <w:tblGrid>
        <w:gridCol w:w="2268"/>
        <w:gridCol w:w="4253"/>
        <w:gridCol w:w="2148"/>
      </w:tblGrid>
      <w:tr w:rsidR="008E4735" w:rsidRPr="00E13A24" w:rsidTr="008E4735">
        <w:trPr>
          <w:trHeight w:val="765"/>
        </w:trPr>
        <w:tc>
          <w:tcPr>
            <w:tcW w:w="2268" w:type="dxa"/>
            <w:shd w:val="clear" w:color="auto" w:fill="17365D" w:themeFill="text2" w:themeFillShade="BF"/>
            <w:vAlign w:val="center"/>
            <w:hideMark/>
          </w:tcPr>
          <w:p w:rsidR="008E4735" w:rsidRPr="00E13A24" w:rsidRDefault="008E4735" w:rsidP="005C7697">
            <w:pPr>
              <w:keepNext/>
              <w:spacing w:line="240" w:lineRule="auto"/>
              <w:rPr>
                <w:rFonts w:cs="Arial"/>
                <w:b/>
                <w:color w:val="FFFFFF" w:themeColor="background1"/>
              </w:rPr>
            </w:pPr>
            <w:r w:rsidRPr="00E13A24">
              <w:rPr>
                <w:rFonts w:cs="Arial"/>
                <w:b/>
                <w:color w:val="FFFFFF" w:themeColor="background1"/>
              </w:rPr>
              <w:t>Dimension</w:t>
            </w:r>
          </w:p>
        </w:tc>
        <w:tc>
          <w:tcPr>
            <w:tcW w:w="4253" w:type="dxa"/>
            <w:shd w:val="clear" w:color="auto" w:fill="17365D" w:themeFill="text2" w:themeFillShade="BF"/>
            <w:vAlign w:val="center"/>
            <w:hideMark/>
          </w:tcPr>
          <w:p w:rsidR="008E4735" w:rsidRPr="00E13A24" w:rsidRDefault="008E4735" w:rsidP="005C7697">
            <w:pPr>
              <w:keepNext/>
              <w:spacing w:line="240" w:lineRule="auto"/>
              <w:rPr>
                <w:rFonts w:cs="Arial"/>
                <w:b/>
                <w:color w:val="FFFFFF" w:themeColor="background1"/>
              </w:rPr>
            </w:pPr>
            <w:r w:rsidRPr="00E13A24">
              <w:rPr>
                <w:rFonts w:cs="Arial"/>
                <w:b/>
                <w:color w:val="FFFFFF" w:themeColor="background1"/>
              </w:rPr>
              <w:t xml:space="preserve">Variable </w:t>
            </w:r>
          </w:p>
        </w:tc>
        <w:tc>
          <w:tcPr>
            <w:tcW w:w="2374" w:type="dxa"/>
            <w:shd w:val="clear" w:color="auto" w:fill="17365D" w:themeFill="text2" w:themeFillShade="BF"/>
            <w:vAlign w:val="center"/>
          </w:tcPr>
          <w:p w:rsidR="008E4735" w:rsidRPr="00E13A24" w:rsidRDefault="008E4735" w:rsidP="005C7697">
            <w:pPr>
              <w:keepNext/>
              <w:spacing w:line="240" w:lineRule="auto"/>
              <w:rPr>
                <w:rFonts w:cs="Arial"/>
                <w:b/>
                <w:color w:val="FFFFFF" w:themeColor="background1"/>
              </w:rPr>
            </w:pPr>
            <w:r w:rsidRPr="00E13A24">
              <w:rPr>
                <w:rFonts w:cs="Arial"/>
                <w:b/>
                <w:color w:val="FFFFFF" w:themeColor="background1"/>
              </w:rPr>
              <w:t>Included in the final model</w:t>
            </w:r>
          </w:p>
        </w:tc>
      </w:tr>
      <w:tr w:rsidR="008E4735" w:rsidRPr="00E13A24" w:rsidTr="008E4735">
        <w:trPr>
          <w:trHeight w:val="255"/>
        </w:trPr>
        <w:tc>
          <w:tcPr>
            <w:tcW w:w="2268" w:type="dxa"/>
            <w:vMerge w:val="restart"/>
            <w:shd w:val="clear" w:color="auto" w:fill="auto"/>
            <w:noWrap/>
            <w:vAlign w:val="center"/>
          </w:tcPr>
          <w:p w:rsidR="008E4735" w:rsidRPr="00E13A24" w:rsidRDefault="008E4735" w:rsidP="005C7697">
            <w:pPr>
              <w:keepNext/>
              <w:spacing w:line="240" w:lineRule="auto"/>
              <w:rPr>
                <w:rFonts w:cs="Arial"/>
                <w:b/>
              </w:rPr>
            </w:pPr>
            <w:r w:rsidRPr="00E13A24">
              <w:rPr>
                <w:rFonts w:cs="Arial"/>
                <w:b/>
              </w:rPr>
              <w:t>School inputs/ Education</w:t>
            </w: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Level of higher education achieved by area of study</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B8CCE4" w:themeFill="accent1" w:themeFillTint="66"/>
            <w:noWrap/>
          </w:tcPr>
          <w:p w:rsidR="008E4735" w:rsidRPr="00E13A24" w:rsidRDefault="008E4735" w:rsidP="005C7697">
            <w:pPr>
              <w:keepNext/>
              <w:spacing w:line="240" w:lineRule="auto"/>
              <w:rPr>
                <w:rFonts w:cs="Arial"/>
              </w:rPr>
            </w:pPr>
            <w:r w:rsidRPr="00E13A24">
              <w:rPr>
                <w:rFonts w:cs="Arial"/>
                <w:color w:val="000000" w:themeColor="text1"/>
              </w:rPr>
              <w:t>Currently in education</w:t>
            </w:r>
          </w:p>
        </w:tc>
        <w:tc>
          <w:tcPr>
            <w:tcW w:w="2374" w:type="dxa"/>
            <w:shd w:val="clear" w:color="auto" w:fill="B8CCE4" w:themeFill="accent1" w:themeFillTint="66"/>
          </w:tcPr>
          <w:p w:rsidR="008E4735" w:rsidRPr="00E13A24" w:rsidRDefault="008E4735" w:rsidP="005C7697">
            <w:pPr>
              <w:keepNext/>
              <w:spacing w:line="240" w:lineRule="auto"/>
              <w:rPr>
                <w:rFonts w:cs="Arial"/>
              </w:rPr>
            </w:pPr>
            <w:r w:rsidRPr="00E13A24">
              <w:rPr>
                <w:rFonts w:cs="Arial"/>
              </w:rPr>
              <w:t>Yes</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Current level of education achieved (area of study)</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Highest level of education obtained by number of years imputed</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If highest level of education obtained is vocationally oriented or not</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B8CCE4" w:themeFill="accent1" w:themeFillTint="66"/>
            <w:noWrap/>
          </w:tcPr>
          <w:p w:rsidR="008E4735" w:rsidRPr="00E13A24" w:rsidRDefault="008E4735" w:rsidP="005C7697">
            <w:pPr>
              <w:keepNext/>
              <w:spacing w:line="240" w:lineRule="auto"/>
              <w:rPr>
                <w:rFonts w:cs="Arial"/>
                <w:color w:val="000000" w:themeColor="text1"/>
              </w:rPr>
            </w:pPr>
            <w:r w:rsidRPr="00E13A24">
              <w:rPr>
                <w:rFonts w:cs="Arial"/>
                <w:color w:val="000000" w:themeColor="text1"/>
              </w:rPr>
              <w:t>Highest level of formal education obtained (7 ISCED categories)</w:t>
            </w:r>
          </w:p>
        </w:tc>
        <w:tc>
          <w:tcPr>
            <w:tcW w:w="2374" w:type="dxa"/>
            <w:shd w:val="clear" w:color="auto" w:fill="B8CCE4" w:themeFill="accent1" w:themeFillTint="66"/>
          </w:tcPr>
          <w:p w:rsidR="008E4735" w:rsidRPr="00E13A24" w:rsidRDefault="008E4735" w:rsidP="005C7697">
            <w:pPr>
              <w:keepNext/>
              <w:spacing w:line="240" w:lineRule="auto"/>
              <w:rPr>
                <w:rFonts w:cs="Arial"/>
                <w:color w:val="000000" w:themeColor="text1"/>
              </w:rPr>
            </w:pPr>
            <w:r w:rsidRPr="00E13A24">
              <w:rPr>
                <w:rFonts w:cs="Arial"/>
                <w:color w:val="000000" w:themeColor="text1"/>
              </w:rPr>
              <w:t>Yes</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Participation in formal education in the last 12 months</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Participation in adult education</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Participation in non formal education in the last 12 months</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Being a NEET</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val="restart"/>
            <w:shd w:val="clear" w:color="auto" w:fill="auto"/>
            <w:noWrap/>
            <w:vAlign w:val="center"/>
          </w:tcPr>
          <w:p w:rsidR="008E4735" w:rsidRPr="00E13A24" w:rsidRDefault="008E4735" w:rsidP="005C7697">
            <w:pPr>
              <w:keepNext/>
              <w:spacing w:line="240" w:lineRule="auto"/>
              <w:rPr>
                <w:rFonts w:cs="Arial"/>
                <w:b/>
              </w:rPr>
            </w:pPr>
            <w:r w:rsidRPr="00E13A24">
              <w:rPr>
                <w:rFonts w:cs="Arial"/>
                <w:b/>
              </w:rPr>
              <w:t xml:space="preserve">Family/ Socio-Demographic Characteristics </w:t>
            </w:r>
          </w:p>
        </w:tc>
        <w:tc>
          <w:tcPr>
            <w:tcW w:w="4253" w:type="dxa"/>
            <w:shd w:val="clear" w:color="auto" w:fill="B8CCE4" w:themeFill="accent1" w:themeFillTint="66"/>
            <w:noWrap/>
          </w:tcPr>
          <w:p w:rsidR="008E4735" w:rsidRPr="00E13A24" w:rsidRDefault="008E4735" w:rsidP="005C7697">
            <w:pPr>
              <w:keepNext/>
              <w:spacing w:line="240" w:lineRule="auto"/>
              <w:rPr>
                <w:rFonts w:cs="Arial"/>
              </w:rPr>
            </w:pPr>
            <w:r w:rsidRPr="00E13A24">
              <w:rPr>
                <w:rFonts w:cs="Arial"/>
                <w:color w:val="000000" w:themeColor="text1"/>
              </w:rPr>
              <w:t>Highest level of education achieved by mother or father</w:t>
            </w:r>
          </w:p>
        </w:tc>
        <w:tc>
          <w:tcPr>
            <w:tcW w:w="2374" w:type="dxa"/>
            <w:shd w:val="clear" w:color="auto" w:fill="B8CCE4" w:themeFill="accent1" w:themeFillTint="66"/>
          </w:tcPr>
          <w:p w:rsidR="008E4735" w:rsidRPr="00E13A24" w:rsidRDefault="008E4735" w:rsidP="005C7697">
            <w:pPr>
              <w:keepNext/>
              <w:spacing w:line="240" w:lineRule="auto"/>
              <w:rPr>
                <w:rFonts w:cs="Arial"/>
              </w:rPr>
            </w:pPr>
            <w:r w:rsidRPr="00E13A24">
              <w:rPr>
                <w:rFonts w:cs="Arial"/>
              </w:rPr>
              <w:t>Yes</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B8CCE4" w:themeFill="accent1" w:themeFillTint="66"/>
            <w:noWrap/>
          </w:tcPr>
          <w:p w:rsidR="008E4735" w:rsidRPr="00E13A24" w:rsidRDefault="008E4735" w:rsidP="005C7697">
            <w:pPr>
              <w:keepNext/>
              <w:spacing w:line="240" w:lineRule="auto"/>
              <w:rPr>
                <w:rFonts w:cs="Arial"/>
              </w:rPr>
            </w:pPr>
            <w:r w:rsidRPr="00E13A24">
              <w:rPr>
                <w:rFonts w:cs="Arial"/>
                <w:color w:val="000000" w:themeColor="text1"/>
              </w:rPr>
              <w:t>Test language same as language spoken most often at home</w:t>
            </w:r>
          </w:p>
        </w:tc>
        <w:tc>
          <w:tcPr>
            <w:tcW w:w="2374" w:type="dxa"/>
            <w:shd w:val="clear" w:color="auto" w:fill="B8CCE4" w:themeFill="accent1" w:themeFillTint="66"/>
          </w:tcPr>
          <w:p w:rsidR="008E4735" w:rsidRPr="00E13A24" w:rsidRDefault="008E4735" w:rsidP="005C7697">
            <w:pPr>
              <w:keepNext/>
              <w:spacing w:line="240" w:lineRule="auto"/>
              <w:rPr>
                <w:rFonts w:cs="Arial"/>
              </w:rPr>
            </w:pPr>
            <w:r w:rsidRPr="00E13A24">
              <w:rPr>
                <w:rFonts w:cs="Arial"/>
              </w:rPr>
              <w:t>Yes</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Parent’s immigration status</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B8CCE4" w:themeFill="accent1" w:themeFillTint="66"/>
            <w:noWrap/>
          </w:tcPr>
          <w:p w:rsidR="008E4735" w:rsidRPr="00E13A24" w:rsidRDefault="008E4735" w:rsidP="005C7697">
            <w:pPr>
              <w:keepNext/>
              <w:spacing w:line="240" w:lineRule="auto"/>
              <w:rPr>
                <w:rFonts w:cs="Arial"/>
              </w:rPr>
            </w:pPr>
            <w:r w:rsidRPr="00E13A24">
              <w:rPr>
                <w:rFonts w:cs="Arial"/>
                <w:color w:val="000000" w:themeColor="text1"/>
              </w:rPr>
              <w:t>Respondent is first or second generation immigrant</w:t>
            </w:r>
          </w:p>
        </w:tc>
        <w:tc>
          <w:tcPr>
            <w:tcW w:w="2374" w:type="dxa"/>
            <w:shd w:val="clear" w:color="auto" w:fill="B8CCE4" w:themeFill="accent1" w:themeFillTint="66"/>
          </w:tcPr>
          <w:p w:rsidR="008E4735" w:rsidRPr="00E13A24" w:rsidRDefault="008E4735" w:rsidP="005C7697">
            <w:pPr>
              <w:keepNext/>
              <w:spacing w:line="240" w:lineRule="auto"/>
              <w:rPr>
                <w:rFonts w:cs="Arial"/>
              </w:rPr>
            </w:pPr>
            <w:r w:rsidRPr="00E13A24">
              <w:rPr>
                <w:rFonts w:cs="Arial"/>
              </w:rPr>
              <w:t>Yes</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Numbers of years in country</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B8CCE4" w:themeFill="accent1" w:themeFillTint="66"/>
            <w:noWrap/>
          </w:tcPr>
          <w:p w:rsidR="008E4735" w:rsidRPr="00E13A24" w:rsidRDefault="008E4735" w:rsidP="005C7697">
            <w:pPr>
              <w:keepNext/>
              <w:spacing w:line="240" w:lineRule="auto"/>
              <w:rPr>
                <w:rFonts w:cs="Arial"/>
                <w:color w:val="000000" w:themeColor="text1"/>
              </w:rPr>
            </w:pPr>
            <w:r w:rsidRPr="00E13A24">
              <w:rPr>
                <w:rFonts w:cs="Arial"/>
                <w:color w:val="000000" w:themeColor="text1"/>
              </w:rPr>
              <w:t>Self-reported health status</w:t>
            </w:r>
          </w:p>
        </w:tc>
        <w:tc>
          <w:tcPr>
            <w:tcW w:w="2374" w:type="dxa"/>
            <w:shd w:val="clear" w:color="auto" w:fill="B8CCE4" w:themeFill="accent1" w:themeFillTint="66"/>
          </w:tcPr>
          <w:p w:rsidR="008E4735" w:rsidRPr="00E13A24" w:rsidRDefault="008E4735" w:rsidP="005C7697">
            <w:pPr>
              <w:keepNext/>
              <w:spacing w:line="240" w:lineRule="auto"/>
              <w:rPr>
                <w:rFonts w:cs="Arial"/>
              </w:rPr>
            </w:pPr>
            <w:r w:rsidRPr="00E13A24">
              <w:rPr>
                <w:rFonts w:cs="Arial"/>
              </w:rPr>
              <w:t>Yes</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B8CCE4" w:themeFill="accent1" w:themeFillTint="66"/>
            <w:noWrap/>
          </w:tcPr>
          <w:p w:rsidR="008E4735" w:rsidRPr="00E13A24" w:rsidRDefault="008E4735" w:rsidP="005C7697">
            <w:pPr>
              <w:keepNext/>
              <w:spacing w:line="240" w:lineRule="auto"/>
              <w:rPr>
                <w:rFonts w:cs="Arial"/>
                <w:color w:val="000000" w:themeColor="text1"/>
              </w:rPr>
            </w:pPr>
            <w:r w:rsidRPr="00E13A24">
              <w:rPr>
                <w:rFonts w:cs="Arial"/>
                <w:color w:val="000000" w:themeColor="text1"/>
              </w:rPr>
              <w:t>Age</w:t>
            </w:r>
          </w:p>
        </w:tc>
        <w:tc>
          <w:tcPr>
            <w:tcW w:w="2374" w:type="dxa"/>
            <w:shd w:val="clear" w:color="auto" w:fill="B8CCE4" w:themeFill="accent1" w:themeFillTint="66"/>
          </w:tcPr>
          <w:p w:rsidR="008E4735" w:rsidRPr="00E13A24" w:rsidRDefault="008E4735" w:rsidP="005C7697">
            <w:pPr>
              <w:keepNext/>
              <w:spacing w:line="240" w:lineRule="auto"/>
              <w:rPr>
                <w:rFonts w:cs="Arial"/>
              </w:rPr>
            </w:pPr>
            <w:r w:rsidRPr="00E13A24">
              <w:rPr>
                <w:rFonts w:cs="Arial"/>
              </w:rPr>
              <w:t>Yes</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B8CCE4" w:themeFill="accent1" w:themeFillTint="66"/>
            <w:noWrap/>
          </w:tcPr>
          <w:p w:rsidR="008E4735" w:rsidRPr="00E13A24" w:rsidRDefault="008E4735" w:rsidP="005C7697">
            <w:pPr>
              <w:keepNext/>
              <w:spacing w:line="240" w:lineRule="auto"/>
              <w:rPr>
                <w:rFonts w:cs="Arial"/>
                <w:color w:val="000000" w:themeColor="text1"/>
              </w:rPr>
            </w:pPr>
            <w:r w:rsidRPr="00E13A24">
              <w:rPr>
                <w:rFonts w:cs="Arial"/>
                <w:color w:val="000000" w:themeColor="text1"/>
              </w:rPr>
              <w:t>Gender</w:t>
            </w:r>
          </w:p>
        </w:tc>
        <w:tc>
          <w:tcPr>
            <w:tcW w:w="2374" w:type="dxa"/>
            <w:shd w:val="clear" w:color="auto" w:fill="B8CCE4" w:themeFill="accent1" w:themeFillTint="66"/>
          </w:tcPr>
          <w:p w:rsidR="008E4735" w:rsidRPr="00E13A24" w:rsidRDefault="008E4735" w:rsidP="005C7697">
            <w:pPr>
              <w:keepNext/>
              <w:spacing w:line="240" w:lineRule="auto"/>
              <w:rPr>
                <w:rFonts w:cs="Arial"/>
              </w:rPr>
            </w:pPr>
            <w:r w:rsidRPr="00E13A24">
              <w:rPr>
                <w:rFonts w:cs="Arial"/>
              </w:rPr>
              <w:t>Yes</w:t>
            </w:r>
          </w:p>
        </w:tc>
      </w:tr>
      <w:tr w:rsidR="008E4735" w:rsidRPr="00E13A24" w:rsidTr="008E4735">
        <w:trPr>
          <w:trHeight w:val="255"/>
        </w:trPr>
        <w:tc>
          <w:tcPr>
            <w:tcW w:w="2268" w:type="dxa"/>
            <w:vMerge w:val="restart"/>
            <w:shd w:val="clear" w:color="auto" w:fill="auto"/>
            <w:noWrap/>
            <w:vAlign w:val="center"/>
          </w:tcPr>
          <w:p w:rsidR="008E4735" w:rsidRPr="00E13A24" w:rsidRDefault="008E4735" w:rsidP="005C7697">
            <w:pPr>
              <w:keepNext/>
              <w:spacing w:line="240" w:lineRule="auto"/>
              <w:rPr>
                <w:rFonts w:cs="Arial"/>
                <w:b/>
              </w:rPr>
            </w:pPr>
            <w:r w:rsidRPr="00E13A24">
              <w:rPr>
                <w:rFonts w:cs="Arial"/>
                <w:b/>
              </w:rPr>
              <w:t xml:space="preserve">Work Experience </w:t>
            </w:r>
          </w:p>
        </w:tc>
        <w:tc>
          <w:tcPr>
            <w:tcW w:w="4253" w:type="dxa"/>
            <w:shd w:val="clear" w:color="auto" w:fill="auto"/>
            <w:noWrap/>
          </w:tcPr>
          <w:p w:rsidR="008E4735" w:rsidRPr="00E13A24" w:rsidRDefault="008E4735" w:rsidP="005C7697">
            <w:pPr>
              <w:keepNext/>
              <w:spacing w:line="240" w:lineRule="auto"/>
              <w:rPr>
                <w:rFonts w:cs="Arial"/>
              </w:rPr>
            </w:pPr>
            <w:r w:rsidRPr="00E13A24">
              <w:rPr>
                <w:rFonts w:cs="Arial"/>
                <w:color w:val="000000" w:themeColor="text1"/>
              </w:rPr>
              <w:t>Current work status – last year in paid work</w:t>
            </w:r>
          </w:p>
        </w:tc>
        <w:tc>
          <w:tcPr>
            <w:tcW w:w="2374" w:type="dxa"/>
            <w:shd w:val="clear" w:color="auto" w:fill="auto"/>
          </w:tcPr>
          <w:p w:rsidR="008E4735" w:rsidRPr="00E13A24" w:rsidRDefault="008E4735" w:rsidP="005C7697">
            <w:pPr>
              <w:keepNext/>
              <w:spacing w:line="240" w:lineRule="auto"/>
              <w:rPr>
                <w:rFonts w:cs="Arial"/>
              </w:rPr>
            </w:pPr>
            <w:r w:rsidRPr="00E13A24">
              <w:rPr>
                <w:rFonts w:cs="Arial"/>
              </w:rPr>
              <w:t>No</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B8CCE4" w:themeFill="accent1" w:themeFillTint="66"/>
            <w:noWrap/>
          </w:tcPr>
          <w:p w:rsidR="008E4735" w:rsidRPr="00E13A24" w:rsidRDefault="008E4735" w:rsidP="005C7697">
            <w:pPr>
              <w:keepNext/>
              <w:spacing w:line="240" w:lineRule="auto"/>
              <w:rPr>
                <w:rFonts w:cs="Arial"/>
              </w:rPr>
            </w:pPr>
            <w:r w:rsidRPr="00E13A24">
              <w:rPr>
                <w:rFonts w:cs="Arial"/>
                <w:color w:val="000000" w:themeColor="text1"/>
              </w:rPr>
              <w:t>Current work status - Years of paid work</w:t>
            </w:r>
          </w:p>
        </w:tc>
        <w:tc>
          <w:tcPr>
            <w:tcW w:w="2374" w:type="dxa"/>
            <w:shd w:val="clear" w:color="auto" w:fill="B8CCE4" w:themeFill="accent1" w:themeFillTint="66"/>
          </w:tcPr>
          <w:p w:rsidR="008E4735" w:rsidRPr="00E13A24" w:rsidRDefault="008E4735" w:rsidP="005C7697">
            <w:pPr>
              <w:keepNext/>
              <w:spacing w:line="240" w:lineRule="auto"/>
              <w:rPr>
                <w:rFonts w:cs="Arial"/>
              </w:rPr>
            </w:pPr>
            <w:r w:rsidRPr="00E13A24">
              <w:rPr>
                <w:rFonts w:cs="Arial"/>
              </w:rPr>
              <w:t>Yes</w:t>
            </w:r>
          </w:p>
        </w:tc>
      </w:tr>
      <w:tr w:rsidR="008E4735" w:rsidRPr="00E13A24" w:rsidTr="008E4735">
        <w:trPr>
          <w:trHeight w:val="255"/>
        </w:trPr>
        <w:tc>
          <w:tcPr>
            <w:tcW w:w="2268" w:type="dxa"/>
            <w:vMerge/>
            <w:shd w:val="clear" w:color="auto" w:fill="auto"/>
            <w:noWrap/>
            <w:vAlign w:val="center"/>
          </w:tcPr>
          <w:p w:rsidR="008E4735" w:rsidRPr="00E13A24" w:rsidRDefault="008E4735" w:rsidP="005C7697">
            <w:pPr>
              <w:keepNext/>
              <w:spacing w:line="240" w:lineRule="auto"/>
              <w:rPr>
                <w:rFonts w:cs="Arial"/>
              </w:rPr>
            </w:pPr>
          </w:p>
        </w:tc>
        <w:tc>
          <w:tcPr>
            <w:tcW w:w="4253" w:type="dxa"/>
            <w:shd w:val="clear" w:color="auto" w:fill="B8CCE4" w:themeFill="accent1" w:themeFillTint="66"/>
            <w:noWrap/>
          </w:tcPr>
          <w:p w:rsidR="008E4735" w:rsidRPr="00E13A24" w:rsidRDefault="008E4735" w:rsidP="005C7697">
            <w:pPr>
              <w:keepNext/>
              <w:spacing w:line="240" w:lineRule="auto"/>
              <w:rPr>
                <w:rFonts w:cs="Arial"/>
              </w:rPr>
            </w:pPr>
            <w:r w:rsidRPr="00E13A24">
              <w:rPr>
                <w:rFonts w:cs="Arial"/>
                <w:color w:val="000000" w:themeColor="text1"/>
              </w:rPr>
              <w:t>Occupational classification of respondent’s occupation</w:t>
            </w:r>
          </w:p>
        </w:tc>
        <w:tc>
          <w:tcPr>
            <w:tcW w:w="2374" w:type="dxa"/>
            <w:shd w:val="clear" w:color="auto" w:fill="B8CCE4" w:themeFill="accent1" w:themeFillTint="66"/>
          </w:tcPr>
          <w:p w:rsidR="008E4735" w:rsidRPr="00E13A24" w:rsidRDefault="008E4735" w:rsidP="005C7697">
            <w:pPr>
              <w:keepNext/>
              <w:spacing w:line="240" w:lineRule="auto"/>
              <w:rPr>
                <w:rFonts w:cs="Arial"/>
              </w:rPr>
            </w:pPr>
            <w:r w:rsidRPr="00E13A24">
              <w:rPr>
                <w:rFonts w:cs="Arial"/>
              </w:rPr>
              <w:t>Yes</w:t>
            </w:r>
          </w:p>
        </w:tc>
      </w:tr>
    </w:tbl>
    <w:p w:rsidR="008E4735" w:rsidRDefault="008E4735">
      <w:pPr>
        <w:jc w:val="left"/>
        <w:rPr>
          <w:rFonts w:ascii="Arial" w:hAnsi="Arial"/>
          <w:color w:val="003C64"/>
          <w:sz w:val="40"/>
        </w:rPr>
      </w:pPr>
    </w:p>
    <w:p w:rsidR="003D6CAE" w:rsidRPr="00460088" w:rsidRDefault="008E4735" w:rsidP="00460088">
      <w:pPr>
        <w:jc w:val="left"/>
        <w:rPr>
          <w:rFonts w:ascii="Arial" w:hAnsi="Arial"/>
          <w:color w:val="003C64"/>
          <w:sz w:val="40"/>
        </w:rPr>
      </w:pPr>
      <w:r>
        <w:rPr>
          <w:b/>
        </w:rPr>
        <w:br w:type="page"/>
      </w:r>
    </w:p>
    <w:p w:rsidR="00460088" w:rsidRPr="0032050F" w:rsidRDefault="00460088" w:rsidP="00460088">
      <w:pPr>
        <w:pStyle w:val="Annexheading2"/>
        <w:rPr>
          <w:rFonts w:ascii="Verdana" w:hAnsi="Verdana"/>
          <w:b w:val="0"/>
        </w:rPr>
      </w:pPr>
      <w:r>
        <w:rPr>
          <w:rFonts w:ascii="Verdana" w:hAnsi="Verdana"/>
          <w:b w:val="0"/>
        </w:rPr>
        <w:t>Annex VI – Additional tables Chapter Five</w:t>
      </w:r>
    </w:p>
    <w:p w:rsidR="000755F4" w:rsidRPr="00460088" w:rsidRDefault="000755F4" w:rsidP="000755F4">
      <w:pPr>
        <w:pStyle w:val="Caption"/>
        <w:rPr>
          <w:rFonts w:ascii="Verdana" w:hAnsi="Verdana"/>
          <w:b w:val="0"/>
          <w:color w:val="1F497D" w:themeColor="text2"/>
          <w:sz w:val="20"/>
        </w:rPr>
      </w:pPr>
      <w:r w:rsidRPr="00460088">
        <w:rPr>
          <w:rFonts w:ascii="Verdana" w:hAnsi="Verdana"/>
          <w:b w:val="0"/>
          <w:color w:val="1F497D" w:themeColor="text2"/>
          <w:sz w:val="20"/>
        </w:rPr>
        <w:t>Table A</w:t>
      </w:r>
      <w:r w:rsidR="00460088" w:rsidRPr="00460088">
        <w:rPr>
          <w:rFonts w:ascii="Verdana" w:hAnsi="Verdana"/>
          <w:b w:val="0"/>
          <w:color w:val="1F497D" w:themeColor="text2"/>
          <w:sz w:val="20"/>
        </w:rPr>
        <w:t>4</w:t>
      </w:r>
      <w:r w:rsidR="00F91CA1">
        <w:rPr>
          <w:rFonts w:ascii="Verdana" w:hAnsi="Verdana"/>
          <w:b w:val="0"/>
          <w:color w:val="1F497D" w:themeColor="text2"/>
          <w:sz w:val="20"/>
        </w:rPr>
        <w:t xml:space="preserve"> </w:t>
      </w:r>
      <w:r w:rsidRPr="00460088">
        <w:rPr>
          <w:rFonts w:ascii="Verdana" w:hAnsi="Verdana"/>
          <w:b w:val="0"/>
          <w:color w:val="1F497D" w:themeColor="text2"/>
          <w:sz w:val="20"/>
        </w:rPr>
        <w:t>Null model, null model with fixed-effects, individual background factor model and country fixed effects model, dependent variable: Log literacy skill score</w:t>
      </w:r>
    </w:p>
    <w:tbl>
      <w:tblPr>
        <w:tblW w:w="9371" w:type="dxa"/>
        <w:tblLayout w:type="fixed"/>
        <w:tblCellMar>
          <w:left w:w="0" w:type="dxa"/>
          <w:right w:w="0" w:type="dxa"/>
        </w:tblCellMar>
        <w:tblLook w:val="04A0" w:firstRow="1" w:lastRow="0" w:firstColumn="1" w:lastColumn="0" w:noHBand="0" w:noVBand="1"/>
      </w:tblPr>
      <w:tblGrid>
        <w:gridCol w:w="4694"/>
        <w:gridCol w:w="1169"/>
        <w:gridCol w:w="1169"/>
        <w:gridCol w:w="1169"/>
        <w:gridCol w:w="1170"/>
      </w:tblGrid>
      <w:tr w:rsidR="00FB30A3" w:rsidTr="00460088">
        <w:trPr>
          <w:trHeight w:val="360"/>
        </w:trPr>
        <w:tc>
          <w:tcPr>
            <w:tcW w:w="4694"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pPr>
              <w:spacing w:line="288" w:lineRule="auto"/>
              <w:jc w:val="center"/>
              <w:rPr>
                <w:rFonts w:ascii="Calibri" w:hAnsi="Calibri"/>
                <w:color w:val="000000"/>
                <w:szCs w:val="20"/>
              </w:rPr>
            </w:pPr>
            <w:r>
              <w:rPr>
                <w:rFonts w:ascii="Calibri" w:hAnsi="Calibri"/>
                <w:color w:val="000000"/>
                <w:szCs w:val="20"/>
              </w:rPr>
              <w:t> </w:t>
            </w:r>
          </w:p>
        </w:tc>
        <w:tc>
          <w:tcPr>
            <w:tcW w:w="1169"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M1</w:t>
            </w:r>
          </w:p>
        </w:tc>
        <w:tc>
          <w:tcPr>
            <w:tcW w:w="1169"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M2</w:t>
            </w:r>
          </w:p>
        </w:tc>
        <w:tc>
          <w:tcPr>
            <w:tcW w:w="1169"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M3</w:t>
            </w:r>
          </w:p>
        </w:tc>
        <w:tc>
          <w:tcPr>
            <w:tcW w:w="1170"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M4</w:t>
            </w:r>
          </w:p>
        </w:tc>
      </w:tr>
      <w:tr w:rsidR="00FB30A3" w:rsidTr="00460088">
        <w:trPr>
          <w:trHeight w:val="360"/>
        </w:trPr>
        <w:tc>
          <w:tcPr>
            <w:tcW w:w="4694"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pPr>
              <w:spacing w:line="288" w:lineRule="auto"/>
              <w:rPr>
                <w:rFonts w:ascii="Calibri" w:hAnsi="Calibri"/>
                <w:b/>
                <w:bCs/>
                <w:color w:val="000000"/>
                <w:szCs w:val="20"/>
              </w:rPr>
            </w:pPr>
            <w:r>
              <w:rPr>
                <w:rFonts w:ascii="Calibri" w:hAnsi="Calibri"/>
                <w:b/>
                <w:bCs/>
                <w:color w:val="000000"/>
                <w:szCs w:val="20"/>
              </w:rPr>
              <w:t>School/Education effects</w:t>
            </w:r>
          </w:p>
        </w:tc>
        <w:tc>
          <w:tcPr>
            <w:tcW w:w="1169"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 </w:t>
            </w:r>
          </w:p>
        </w:tc>
        <w:tc>
          <w:tcPr>
            <w:tcW w:w="1169"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 </w:t>
            </w:r>
          </w:p>
        </w:tc>
        <w:tc>
          <w:tcPr>
            <w:tcW w:w="1169"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 </w:t>
            </w:r>
          </w:p>
        </w:tc>
        <w:tc>
          <w:tcPr>
            <w:tcW w:w="1170"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 </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Tertiary educational attainment (D)</w:t>
            </w:r>
          </w:p>
        </w:tc>
        <w:tc>
          <w:tcPr>
            <w:tcW w:w="1169"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0.091</w:t>
            </w:r>
            <w:r w:rsidR="000755F4">
              <w:rPr>
                <w:rFonts w:ascii="Calibri" w:hAnsi="Calibri"/>
                <w:color w:val="000000"/>
                <w:szCs w:val="20"/>
              </w:rPr>
              <w:t>***</w:t>
            </w:r>
          </w:p>
        </w:tc>
        <w:tc>
          <w:tcPr>
            <w:tcW w:w="1169"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0.094</w:t>
            </w:r>
            <w:r w:rsidR="000755F4">
              <w:rPr>
                <w:rFonts w:ascii="Calibri" w:hAnsi="Calibri"/>
                <w:color w:val="000000"/>
                <w:szCs w:val="20"/>
              </w:rPr>
              <w:t>***</w:t>
            </w: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0.056***</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0.05</w:t>
            </w:r>
            <w:r w:rsidR="00534272">
              <w:rPr>
                <w:rFonts w:ascii="Calibri" w:hAnsi="Calibri"/>
                <w:color w:val="000000"/>
                <w:szCs w:val="20"/>
              </w:rPr>
              <w:t>8</w:t>
            </w:r>
            <w:r>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upper secondary attainment)</w:t>
            </w: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(0.009)</w:t>
            </w:r>
          </w:p>
        </w:tc>
        <w:tc>
          <w:tcPr>
            <w:tcW w:w="1169"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(0.009</w:t>
            </w:r>
            <w:r w:rsidR="000755F4">
              <w:rPr>
                <w:rFonts w:ascii="Calibri" w:hAnsi="Calibri"/>
                <w:color w:val="000000"/>
                <w:szCs w:val="20"/>
              </w:rPr>
              <w:t>)</w:t>
            </w:r>
          </w:p>
        </w:tc>
        <w:tc>
          <w:tcPr>
            <w:tcW w:w="1169"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(0.005</w:t>
            </w:r>
            <w:r w:rsidR="000755F4">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(0.005</w:t>
            </w:r>
            <w:r w:rsidR="000755F4">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Lower secondary educational attainment (D)</w:t>
            </w: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-0.146***</w:t>
            </w: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-0.135***</w:t>
            </w:r>
          </w:p>
        </w:tc>
        <w:tc>
          <w:tcPr>
            <w:tcW w:w="1169"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-0.093</w:t>
            </w:r>
            <w:r w:rsidR="000755F4">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-0.088</w:t>
            </w:r>
            <w:r w:rsidR="000755F4">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upper secondary attainment)</w:t>
            </w:r>
          </w:p>
        </w:tc>
        <w:tc>
          <w:tcPr>
            <w:tcW w:w="1169"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(0.008</w:t>
            </w:r>
            <w:r w:rsidR="000755F4">
              <w:rPr>
                <w:rFonts w:ascii="Calibri" w:hAnsi="Calibri"/>
                <w:color w:val="000000"/>
                <w:szCs w:val="20"/>
              </w:rPr>
              <w:t>)</w:t>
            </w: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534272">
              <w:rPr>
                <w:rFonts w:ascii="Calibri" w:hAnsi="Calibri"/>
                <w:color w:val="000000"/>
                <w:szCs w:val="20"/>
              </w:rPr>
              <w:t>8</w:t>
            </w:r>
            <w:r>
              <w:rPr>
                <w:rFonts w:ascii="Calibri" w:hAnsi="Calibri"/>
                <w:color w:val="000000"/>
                <w:szCs w:val="20"/>
              </w:rPr>
              <w:t>)</w:t>
            </w: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534272">
              <w:rPr>
                <w:rFonts w:ascii="Calibri" w:hAnsi="Calibri"/>
                <w:color w:val="000000"/>
                <w:szCs w:val="20"/>
              </w:rPr>
              <w:t>4</w:t>
            </w:r>
            <w:r>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(0.004)</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Still in education (D)</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0.05</w:t>
            </w:r>
            <w:r w:rsidR="00534272">
              <w:rPr>
                <w:rFonts w:ascii="Calibri" w:hAnsi="Calibri"/>
                <w:color w:val="000000"/>
                <w:szCs w:val="20"/>
              </w:rPr>
              <w:t>3</w:t>
            </w:r>
            <w:r>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0.05</w:t>
            </w:r>
            <w:r w:rsidR="00534272">
              <w:rPr>
                <w:rFonts w:ascii="Calibri" w:hAnsi="Calibri"/>
                <w:color w:val="000000"/>
                <w:szCs w:val="20"/>
              </w:rPr>
              <w:t>2</w:t>
            </w:r>
            <w:r>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(0.006)</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(0.006)</w:t>
            </w:r>
          </w:p>
        </w:tc>
      </w:tr>
      <w:tr w:rsidR="00FB30A3" w:rsidTr="00460088">
        <w:trPr>
          <w:trHeight w:val="360"/>
        </w:trPr>
        <w:tc>
          <w:tcPr>
            <w:tcW w:w="4694"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pPr>
              <w:spacing w:line="288" w:lineRule="auto"/>
              <w:rPr>
                <w:rFonts w:ascii="Calibri" w:hAnsi="Calibri"/>
                <w:b/>
                <w:bCs/>
                <w:color w:val="000000"/>
                <w:szCs w:val="20"/>
              </w:rPr>
            </w:pPr>
            <w:r>
              <w:rPr>
                <w:rFonts w:ascii="Calibri" w:hAnsi="Calibri"/>
                <w:b/>
                <w:bCs/>
                <w:color w:val="000000"/>
                <w:szCs w:val="20"/>
              </w:rPr>
              <w:t>Family/Socio-demographic characteristics</w:t>
            </w:r>
          </w:p>
        </w:tc>
        <w:tc>
          <w:tcPr>
            <w:tcW w:w="1169"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 </w:t>
            </w:r>
          </w:p>
        </w:tc>
        <w:tc>
          <w:tcPr>
            <w:tcW w:w="1169"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 </w:t>
            </w:r>
          </w:p>
        </w:tc>
        <w:tc>
          <w:tcPr>
            <w:tcW w:w="1169"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 </w:t>
            </w:r>
          </w:p>
        </w:tc>
        <w:tc>
          <w:tcPr>
            <w:tcW w:w="1170"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 </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Gender (male)</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0.01</w:t>
            </w:r>
            <w:r w:rsidR="00534272">
              <w:rPr>
                <w:rFonts w:ascii="Calibri" w:hAnsi="Calibri"/>
                <w:color w:val="000000"/>
                <w:szCs w:val="20"/>
              </w:rPr>
              <w:t>3</w:t>
            </w:r>
            <w:r>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0.01</w:t>
            </w:r>
            <w:r w:rsidR="00534272">
              <w:rPr>
                <w:rFonts w:ascii="Calibri" w:hAnsi="Calibri"/>
                <w:color w:val="000000"/>
                <w:szCs w:val="20"/>
              </w:rPr>
              <w:t>4</w:t>
            </w:r>
            <w:r>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(0.003)</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(0.003)</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Age 30-34 (D)</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-0.008</w:t>
            </w:r>
          </w:p>
        </w:tc>
        <w:tc>
          <w:tcPr>
            <w:tcW w:w="1170"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0.004</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20-24 year olds)</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(0.008)</w:t>
            </w:r>
          </w:p>
        </w:tc>
        <w:tc>
          <w:tcPr>
            <w:tcW w:w="1170" w:type="dxa"/>
            <w:noWrap/>
            <w:tcMar>
              <w:top w:w="15" w:type="dxa"/>
              <w:left w:w="15" w:type="dxa"/>
              <w:bottom w:w="0" w:type="dxa"/>
              <w:right w:w="15" w:type="dxa"/>
            </w:tcMar>
            <w:vAlign w:val="center"/>
            <w:hideMark/>
          </w:tcPr>
          <w:p w:rsidR="000755F4" w:rsidRDefault="00534272" w:rsidP="00460088">
            <w:pPr>
              <w:spacing w:line="288" w:lineRule="auto"/>
              <w:jc w:val="left"/>
              <w:rPr>
                <w:rFonts w:ascii="Calibri" w:hAnsi="Calibri"/>
                <w:color w:val="000000"/>
                <w:szCs w:val="20"/>
              </w:rPr>
            </w:pPr>
            <w:r>
              <w:rPr>
                <w:rFonts w:ascii="Calibri" w:hAnsi="Calibri"/>
                <w:color w:val="000000"/>
                <w:szCs w:val="20"/>
              </w:rPr>
              <w:t>(0.007</w:t>
            </w:r>
            <w:r w:rsidR="000755F4">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Age 25-29 (D)</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534272">
              <w:rPr>
                <w:rFonts w:ascii="Calibri" w:hAnsi="Calibri"/>
                <w:color w:val="000000"/>
                <w:szCs w:val="20"/>
              </w:rPr>
              <w:t>3</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0.005</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20-24 year olds)</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B972FB" w:rsidP="00460088">
            <w:pPr>
              <w:spacing w:line="288" w:lineRule="auto"/>
              <w:jc w:val="left"/>
              <w:rPr>
                <w:rFonts w:ascii="Calibri" w:hAnsi="Calibri"/>
                <w:color w:val="000000"/>
                <w:szCs w:val="20"/>
              </w:rPr>
            </w:pPr>
            <w:r>
              <w:rPr>
                <w:rFonts w:ascii="Calibri" w:hAnsi="Calibri"/>
                <w:color w:val="000000"/>
                <w:szCs w:val="20"/>
              </w:rPr>
              <w:t>(0.006</w:t>
            </w:r>
            <w:r w:rsidR="000755F4">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534272">
              <w:rPr>
                <w:rFonts w:ascii="Calibri" w:hAnsi="Calibri"/>
                <w:color w:val="000000"/>
                <w:szCs w:val="20"/>
              </w:rPr>
              <w:t>5</w:t>
            </w:r>
            <w:r>
              <w:rPr>
                <w:rFonts w:ascii="Calibri" w:hAnsi="Calibri"/>
                <w:color w:val="000000"/>
                <w:szCs w:val="20"/>
              </w:rPr>
              <w:t>)</w:t>
            </w:r>
          </w:p>
        </w:tc>
      </w:tr>
      <w:tr w:rsidR="00FB30A3" w:rsidTr="00460088">
        <w:trPr>
          <w:trHeight w:val="360"/>
        </w:trPr>
        <w:tc>
          <w:tcPr>
            <w:tcW w:w="4694" w:type="dxa"/>
            <w:tcMar>
              <w:top w:w="15" w:type="dxa"/>
              <w:left w:w="15" w:type="dxa"/>
              <w:bottom w:w="0" w:type="dxa"/>
              <w:right w:w="15" w:type="dxa"/>
            </w:tcMar>
            <w:vAlign w:val="center"/>
            <w:hideMark/>
          </w:tcPr>
          <w:p w:rsidR="000755F4" w:rsidRDefault="000755F4">
            <w:pPr>
              <w:spacing w:line="288" w:lineRule="auto"/>
              <w:rPr>
                <w:rFonts w:ascii="Calibri" w:hAnsi="Calibri"/>
                <w:b/>
                <w:bCs/>
                <w:color w:val="000000"/>
                <w:szCs w:val="20"/>
              </w:rPr>
            </w:pPr>
            <w:r>
              <w:rPr>
                <w:rFonts w:ascii="Calibri" w:hAnsi="Calibri"/>
                <w:b/>
                <w:bCs/>
                <w:color w:val="000000"/>
                <w:szCs w:val="20"/>
              </w:rPr>
              <w:t>At least one parent has attained tertiary education (D)</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0.072***</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0.05</w:t>
            </w:r>
            <w:r w:rsidR="00FB30A3">
              <w:rPr>
                <w:rFonts w:ascii="Calibri" w:hAnsi="Calibri"/>
                <w:color w:val="000000"/>
                <w:szCs w:val="20"/>
              </w:rPr>
              <w:t>6</w:t>
            </w:r>
            <w:r>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neither parent having attained upper secondary)</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FB30A3">
              <w:rPr>
                <w:rFonts w:ascii="Calibri" w:hAnsi="Calibri"/>
                <w:color w:val="000000"/>
                <w:szCs w:val="20"/>
              </w:rPr>
              <w:t>7</w:t>
            </w:r>
            <w:r>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FB30A3">
              <w:rPr>
                <w:rFonts w:ascii="Calibri" w:hAnsi="Calibri"/>
                <w:color w:val="000000"/>
                <w:szCs w:val="20"/>
              </w:rPr>
              <w:t>7</w:t>
            </w:r>
            <w:r>
              <w:rPr>
                <w:rFonts w:ascii="Calibri" w:hAnsi="Calibri"/>
                <w:color w:val="000000"/>
                <w:szCs w:val="20"/>
              </w:rPr>
              <w:t>)</w:t>
            </w:r>
          </w:p>
        </w:tc>
      </w:tr>
      <w:tr w:rsidR="00FB30A3" w:rsidTr="00460088">
        <w:trPr>
          <w:trHeight w:val="360"/>
        </w:trPr>
        <w:tc>
          <w:tcPr>
            <w:tcW w:w="4694" w:type="dxa"/>
            <w:tcMar>
              <w:top w:w="15" w:type="dxa"/>
              <w:left w:w="15" w:type="dxa"/>
              <w:bottom w:w="0" w:type="dxa"/>
              <w:right w:w="15" w:type="dxa"/>
            </w:tcMar>
            <w:vAlign w:val="center"/>
            <w:hideMark/>
          </w:tcPr>
          <w:p w:rsidR="000755F4" w:rsidRDefault="000755F4">
            <w:pPr>
              <w:spacing w:line="288" w:lineRule="auto"/>
              <w:rPr>
                <w:rFonts w:ascii="Calibri" w:hAnsi="Calibri"/>
                <w:b/>
                <w:bCs/>
                <w:color w:val="000000"/>
                <w:szCs w:val="20"/>
              </w:rPr>
            </w:pPr>
            <w:r>
              <w:rPr>
                <w:rFonts w:ascii="Calibri" w:hAnsi="Calibri"/>
                <w:b/>
                <w:bCs/>
                <w:color w:val="000000"/>
                <w:szCs w:val="20"/>
              </w:rPr>
              <w:t>At least one parent has attained upper secondary and post-secondary (non tertiary) (D)</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FB30A3" w:rsidP="00460088">
            <w:pPr>
              <w:spacing w:line="288" w:lineRule="auto"/>
              <w:jc w:val="left"/>
              <w:rPr>
                <w:rFonts w:ascii="Calibri" w:hAnsi="Calibri"/>
                <w:color w:val="000000"/>
                <w:szCs w:val="20"/>
              </w:rPr>
            </w:pPr>
            <w:r>
              <w:rPr>
                <w:rFonts w:ascii="Calibri" w:hAnsi="Calibri"/>
                <w:color w:val="000000"/>
                <w:szCs w:val="20"/>
              </w:rPr>
              <w:t>0.03</w:t>
            </w:r>
            <w:r w:rsidR="000755F4">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0.02</w:t>
            </w:r>
            <w:r w:rsidR="00FB30A3">
              <w:rPr>
                <w:rFonts w:ascii="Calibri" w:hAnsi="Calibri"/>
                <w:color w:val="000000"/>
                <w:szCs w:val="20"/>
              </w:rPr>
              <w:t>1</w:t>
            </w:r>
            <w:r>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neither parent having attained upper secondary)</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FB30A3">
              <w:rPr>
                <w:rFonts w:ascii="Calibri" w:hAnsi="Calibri"/>
                <w:color w:val="000000"/>
                <w:szCs w:val="20"/>
              </w:rPr>
              <w:t>7</w:t>
            </w:r>
            <w:r>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FB30A3">
              <w:rPr>
                <w:rFonts w:ascii="Calibri" w:hAnsi="Calibri"/>
                <w:color w:val="000000"/>
                <w:szCs w:val="20"/>
              </w:rPr>
              <w:t>6</w:t>
            </w:r>
            <w:r>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Test language same as home (D)</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0.063***</w:t>
            </w:r>
          </w:p>
        </w:tc>
        <w:tc>
          <w:tcPr>
            <w:tcW w:w="1170" w:type="dxa"/>
            <w:noWrap/>
            <w:tcMar>
              <w:top w:w="15" w:type="dxa"/>
              <w:left w:w="15" w:type="dxa"/>
              <w:bottom w:w="0" w:type="dxa"/>
              <w:right w:w="15" w:type="dxa"/>
            </w:tcMar>
            <w:vAlign w:val="center"/>
            <w:hideMark/>
          </w:tcPr>
          <w:p w:rsidR="000755F4" w:rsidRDefault="00BF019D" w:rsidP="00460088">
            <w:pPr>
              <w:spacing w:line="288" w:lineRule="auto"/>
              <w:jc w:val="left"/>
              <w:rPr>
                <w:rFonts w:ascii="Calibri" w:hAnsi="Calibri"/>
                <w:color w:val="000000"/>
                <w:szCs w:val="20"/>
              </w:rPr>
            </w:pPr>
            <w:r>
              <w:rPr>
                <w:rFonts w:ascii="Calibri" w:hAnsi="Calibri"/>
                <w:color w:val="000000"/>
                <w:szCs w:val="20"/>
              </w:rPr>
              <w:t>0.064</w:t>
            </w:r>
            <w:r w:rsidR="000755F4">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BF019D" w:rsidP="00460088">
            <w:pPr>
              <w:spacing w:line="288" w:lineRule="auto"/>
              <w:jc w:val="left"/>
              <w:rPr>
                <w:rFonts w:ascii="Calibri" w:hAnsi="Calibri"/>
                <w:color w:val="000000"/>
                <w:szCs w:val="20"/>
              </w:rPr>
            </w:pPr>
            <w:r>
              <w:rPr>
                <w:rFonts w:ascii="Calibri" w:hAnsi="Calibri"/>
                <w:color w:val="000000"/>
                <w:szCs w:val="20"/>
              </w:rPr>
              <w:t>(0.016</w:t>
            </w:r>
            <w:r w:rsidR="000755F4">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BF019D" w:rsidP="00460088">
            <w:pPr>
              <w:spacing w:line="288" w:lineRule="auto"/>
              <w:jc w:val="left"/>
              <w:rPr>
                <w:rFonts w:ascii="Calibri" w:hAnsi="Calibri"/>
                <w:color w:val="000000"/>
                <w:szCs w:val="20"/>
              </w:rPr>
            </w:pPr>
            <w:r>
              <w:rPr>
                <w:rFonts w:ascii="Calibri" w:hAnsi="Calibri"/>
                <w:color w:val="000000"/>
                <w:szCs w:val="20"/>
              </w:rPr>
              <w:t>(0.016</w:t>
            </w:r>
            <w:r w:rsidR="000755F4">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No migrant background  (D)</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BF019D" w:rsidP="00460088">
            <w:pPr>
              <w:spacing w:line="288" w:lineRule="auto"/>
              <w:jc w:val="left"/>
              <w:rPr>
                <w:rFonts w:ascii="Calibri" w:hAnsi="Calibri"/>
                <w:color w:val="000000"/>
                <w:szCs w:val="20"/>
              </w:rPr>
            </w:pPr>
            <w:r>
              <w:rPr>
                <w:rFonts w:ascii="Calibri" w:hAnsi="Calibri"/>
                <w:color w:val="000000"/>
                <w:szCs w:val="20"/>
              </w:rPr>
              <w:t>0.09</w:t>
            </w:r>
            <w:r w:rsidR="000755F4">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BF019D" w:rsidP="00460088">
            <w:pPr>
              <w:spacing w:line="288" w:lineRule="auto"/>
              <w:jc w:val="left"/>
              <w:rPr>
                <w:rFonts w:ascii="Calibri" w:hAnsi="Calibri"/>
                <w:color w:val="000000"/>
                <w:szCs w:val="20"/>
              </w:rPr>
            </w:pPr>
            <w:r>
              <w:rPr>
                <w:rFonts w:ascii="Calibri" w:hAnsi="Calibri"/>
                <w:color w:val="000000"/>
                <w:szCs w:val="20"/>
              </w:rPr>
              <w:t>0.095</w:t>
            </w:r>
            <w:r w:rsidR="000755F4">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first generation migrants)</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BF019D">
              <w:rPr>
                <w:rFonts w:ascii="Calibri" w:hAnsi="Calibri"/>
                <w:color w:val="000000"/>
                <w:szCs w:val="20"/>
              </w:rPr>
              <w:t>7</w:t>
            </w:r>
            <w:r>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w:t>
            </w:r>
            <w:r w:rsidR="00BF019D">
              <w:rPr>
                <w:rFonts w:ascii="Calibri" w:hAnsi="Calibri"/>
                <w:color w:val="000000"/>
                <w:szCs w:val="20"/>
              </w:rPr>
              <w:t>5</w:t>
            </w:r>
            <w:r>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2nd generation immigrants (D)</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BF019D" w:rsidP="00460088">
            <w:pPr>
              <w:spacing w:line="288" w:lineRule="auto"/>
              <w:jc w:val="left"/>
              <w:rPr>
                <w:rFonts w:ascii="Calibri" w:hAnsi="Calibri"/>
                <w:color w:val="000000"/>
                <w:szCs w:val="20"/>
              </w:rPr>
            </w:pPr>
            <w:r>
              <w:rPr>
                <w:rFonts w:ascii="Calibri" w:hAnsi="Calibri"/>
                <w:color w:val="000000"/>
                <w:szCs w:val="20"/>
              </w:rPr>
              <w:t>0.06</w:t>
            </w:r>
            <w:r w:rsidR="000755F4">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0.050***</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first generation migrants)</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(0.0115)</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(0.00891)</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Health status (Low -1 to High-5)</w:t>
            </w: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0.004</w:t>
            </w:r>
          </w:p>
        </w:tc>
        <w:tc>
          <w:tcPr>
            <w:tcW w:w="1170" w:type="dxa"/>
            <w:noWrap/>
            <w:tcMar>
              <w:top w:w="15" w:type="dxa"/>
              <w:left w:w="15" w:type="dxa"/>
              <w:bottom w:w="0" w:type="dxa"/>
              <w:right w:w="15" w:type="dxa"/>
            </w:tcMar>
            <w:vAlign w:val="center"/>
            <w:hideMark/>
          </w:tcPr>
          <w:p w:rsidR="000755F4" w:rsidRDefault="00BF019D" w:rsidP="00460088">
            <w:pPr>
              <w:spacing w:line="288" w:lineRule="auto"/>
              <w:jc w:val="left"/>
              <w:rPr>
                <w:rFonts w:ascii="Calibri" w:hAnsi="Calibri"/>
                <w:color w:val="000000"/>
                <w:szCs w:val="20"/>
              </w:rPr>
            </w:pPr>
            <w:r>
              <w:rPr>
                <w:rFonts w:ascii="Calibri" w:hAnsi="Calibri"/>
                <w:color w:val="000000"/>
                <w:szCs w:val="20"/>
              </w:rPr>
              <w:t>0.005</w:t>
            </w:r>
            <w:r w:rsidR="000755F4">
              <w:rPr>
                <w:rFonts w:ascii="Calibri" w:hAnsi="Calibri"/>
                <w:color w:val="000000"/>
                <w:szCs w:val="20"/>
              </w:rPr>
              <w:t>**</w:t>
            </w:r>
          </w:p>
        </w:tc>
      </w:tr>
      <w:tr w:rsidR="00FB30A3" w:rsidTr="00460088">
        <w:trPr>
          <w:trHeight w:val="360"/>
        </w:trPr>
        <w:tc>
          <w:tcPr>
            <w:tcW w:w="4694"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0755F4" w:rsidP="00460088">
            <w:pPr>
              <w:jc w:val="left"/>
              <w:rPr>
                <w:rFonts w:ascii="Times New Roman" w:hAnsi="Times New Roman"/>
                <w:szCs w:val="20"/>
              </w:rPr>
            </w:pPr>
          </w:p>
        </w:tc>
        <w:tc>
          <w:tcPr>
            <w:tcW w:w="1169" w:type="dxa"/>
            <w:noWrap/>
            <w:tcMar>
              <w:top w:w="15" w:type="dxa"/>
              <w:left w:w="15" w:type="dxa"/>
              <w:bottom w:w="0" w:type="dxa"/>
              <w:right w:w="15" w:type="dxa"/>
            </w:tcMar>
            <w:vAlign w:val="center"/>
            <w:hideMark/>
          </w:tcPr>
          <w:p w:rsidR="000755F4" w:rsidRDefault="00BF019D" w:rsidP="00460088">
            <w:pPr>
              <w:spacing w:line="288" w:lineRule="auto"/>
              <w:jc w:val="left"/>
              <w:rPr>
                <w:rFonts w:ascii="Calibri" w:hAnsi="Calibri"/>
                <w:color w:val="000000"/>
                <w:szCs w:val="20"/>
              </w:rPr>
            </w:pPr>
            <w:r>
              <w:rPr>
                <w:rFonts w:ascii="Calibri" w:hAnsi="Calibri"/>
                <w:color w:val="000000"/>
                <w:szCs w:val="20"/>
              </w:rPr>
              <w:t>(0.003</w:t>
            </w:r>
            <w:r w:rsidR="000755F4">
              <w:rPr>
                <w:rFonts w:ascii="Calibri" w:hAnsi="Calibri"/>
                <w:color w:val="000000"/>
                <w:szCs w:val="20"/>
              </w:rPr>
              <w:t>)</w:t>
            </w:r>
          </w:p>
        </w:tc>
        <w:tc>
          <w:tcPr>
            <w:tcW w:w="1170" w:type="dxa"/>
            <w:noWrap/>
            <w:tcMar>
              <w:top w:w="15" w:type="dxa"/>
              <w:left w:w="15" w:type="dxa"/>
              <w:bottom w:w="0" w:type="dxa"/>
              <w:right w:w="15" w:type="dxa"/>
            </w:tcMar>
            <w:vAlign w:val="center"/>
            <w:hideMark/>
          </w:tcPr>
          <w:p w:rsidR="000755F4" w:rsidRDefault="000755F4" w:rsidP="00460088">
            <w:pPr>
              <w:spacing w:line="288" w:lineRule="auto"/>
              <w:jc w:val="left"/>
              <w:rPr>
                <w:rFonts w:ascii="Calibri" w:hAnsi="Calibri"/>
                <w:color w:val="000000"/>
                <w:szCs w:val="20"/>
              </w:rPr>
            </w:pPr>
            <w:r>
              <w:rPr>
                <w:rFonts w:ascii="Calibri" w:hAnsi="Calibri"/>
                <w:color w:val="000000"/>
                <w:szCs w:val="20"/>
              </w:rPr>
              <w:t>(0.002)</w:t>
            </w:r>
          </w:p>
        </w:tc>
      </w:tr>
    </w:tbl>
    <w:p w:rsidR="000755F4" w:rsidRDefault="000755F4" w:rsidP="000755F4">
      <w:pPr>
        <w:rPr>
          <w:rFonts w:ascii="Arial" w:hAnsi="Arial"/>
          <w:sz w:val="24"/>
        </w:rPr>
      </w:pPr>
      <w:r>
        <w:br w:type="page"/>
      </w:r>
    </w:p>
    <w:tbl>
      <w:tblPr>
        <w:tblW w:w="9589" w:type="dxa"/>
        <w:tblLayout w:type="fixed"/>
        <w:tblCellMar>
          <w:left w:w="0" w:type="dxa"/>
          <w:right w:w="0" w:type="dxa"/>
        </w:tblCellMar>
        <w:tblLook w:val="04A0" w:firstRow="1" w:lastRow="0" w:firstColumn="1" w:lastColumn="0" w:noHBand="0" w:noVBand="1"/>
      </w:tblPr>
      <w:tblGrid>
        <w:gridCol w:w="5778"/>
        <w:gridCol w:w="952"/>
        <w:gridCol w:w="953"/>
        <w:gridCol w:w="953"/>
        <w:gridCol w:w="953"/>
      </w:tblGrid>
      <w:tr w:rsidR="000755F4" w:rsidTr="00460088">
        <w:trPr>
          <w:trHeight w:val="360"/>
        </w:trPr>
        <w:tc>
          <w:tcPr>
            <w:tcW w:w="5778"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pPr>
              <w:spacing w:line="288" w:lineRule="auto"/>
              <w:jc w:val="center"/>
              <w:rPr>
                <w:rFonts w:ascii="Calibri" w:hAnsi="Calibri"/>
                <w:color w:val="000000"/>
                <w:szCs w:val="20"/>
              </w:rPr>
            </w:pPr>
            <w:r>
              <w:rPr>
                <w:rFonts w:ascii="Calibri" w:hAnsi="Calibri"/>
                <w:color w:val="000000"/>
                <w:szCs w:val="20"/>
              </w:rPr>
              <w:t> </w:t>
            </w:r>
          </w:p>
        </w:tc>
        <w:tc>
          <w:tcPr>
            <w:tcW w:w="952"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pPr>
              <w:spacing w:line="288" w:lineRule="auto"/>
              <w:jc w:val="center"/>
              <w:rPr>
                <w:rFonts w:ascii="Calibri" w:hAnsi="Calibri"/>
                <w:color w:val="000000"/>
                <w:szCs w:val="20"/>
              </w:rPr>
            </w:pPr>
            <w:r>
              <w:rPr>
                <w:rFonts w:ascii="Calibri" w:hAnsi="Calibri"/>
                <w:color w:val="000000"/>
                <w:szCs w:val="20"/>
              </w:rPr>
              <w:t>M1</w:t>
            </w:r>
          </w:p>
        </w:tc>
        <w:tc>
          <w:tcPr>
            <w:tcW w:w="953"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pPr>
              <w:spacing w:line="288" w:lineRule="auto"/>
              <w:jc w:val="center"/>
              <w:rPr>
                <w:rFonts w:ascii="Calibri" w:hAnsi="Calibri"/>
                <w:color w:val="000000"/>
                <w:szCs w:val="20"/>
              </w:rPr>
            </w:pPr>
            <w:r>
              <w:rPr>
                <w:rFonts w:ascii="Calibri" w:hAnsi="Calibri"/>
                <w:color w:val="000000"/>
                <w:szCs w:val="20"/>
              </w:rPr>
              <w:t>M2</w:t>
            </w:r>
          </w:p>
        </w:tc>
        <w:tc>
          <w:tcPr>
            <w:tcW w:w="953"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pPr>
              <w:spacing w:line="288" w:lineRule="auto"/>
              <w:jc w:val="center"/>
              <w:rPr>
                <w:rFonts w:ascii="Calibri" w:hAnsi="Calibri"/>
                <w:color w:val="000000"/>
                <w:szCs w:val="20"/>
              </w:rPr>
            </w:pPr>
            <w:r>
              <w:rPr>
                <w:rFonts w:ascii="Calibri" w:hAnsi="Calibri"/>
                <w:color w:val="000000"/>
                <w:szCs w:val="20"/>
              </w:rPr>
              <w:t>M3</w:t>
            </w:r>
          </w:p>
        </w:tc>
        <w:tc>
          <w:tcPr>
            <w:tcW w:w="953" w:type="dxa"/>
            <w:tcBorders>
              <w:top w:val="single" w:sz="4" w:space="0" w:color="auto"/>
              <w:left w:val="nil"/>
              <w:bottom w:val="single" w:sz="4" w:space="0" w:color="auto"/>
              <w:right w:val="nil"/>
            </w:tcBorders>
            <w:noWrap/>
            <w:tcMar>
              <w:top w:w="15" w:type="dxa"/>
              <w:left w:w="15" w:type="dxa"/>
              <w:bottom w:w="0" w:type="dxa"/>
              <w:right w:w="15" w:type="dxa"/>
            </w:tcMar>
            <w:vAlign w:val="center"/>
            <w:hideMark/>
          </w:tcPr>
          <w:p w:rsidR="000755F4" w:rsidRDefault="000755F4">
            <w:pPr>
              <w:spacing w:line="288" w:lineRule="auto"/>
              <w:jc w:val="center"/>
              <w:rPr>
                <w:rFonts w:ascii="Calibri" w:hAnsi="Calibri"/>
                <w:color w:val="000000"/>
                <w:szCs w:val="20"/>
              </w:rPr>
            </w:pPr>
            <w:r>
              <w:rPr>
                <w:rFonts w:ascii="Calibri" w:hAnsi="Calibri"/>
                <w:color w:val="000000"/>
                <w:szCs w:val="20"/>
              </w:rPr>
              <w:t>M4</w:t>
            </w:r>
          </w:p>
        </w:tc>
      </w:tr>
      <w:tr w:rsidR="000755F4" w:rsidTr="00460088">
        <w:trPr>
          <w:trHeight w:val="420"/>
        </w:trPr>
        <w:tc>
          <w:tcPr>
            <w:tcW w:w="5778"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pPr>
              <w:spacing w:line="288" w:lineRule="auto"/>
              <w:rPr>
                <w:rFonts w:ascii="Calibri" w:hAnsi="Calibri"/>
                <w:b/>
                <w:bCs/>
                <w:color w:val="000000"/>
                <w:szCs w:val="20"/>
              </w:rPr>
            </w:pPr>
            <w:r>
              <w:rPr>
                <w:rFonts w:ascii="Calibri" w:hAnsi="Calibri"/>
                <w:b/>
                <w:bCs/>
                <w:color w:val="000000"/>
                <w:szCs w:val="20"/>
              </w:rPr>
              <w:t>Work experience</w:t>
            </w:r>
          </w:p>
        </w:tc>
        <w:tc>
          <w:tcPr>
            <w:tcW w:w="952"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pPr>
              <w:spacing w:line="288" w:lineRule="auto"/>
              <w:rPr>
                <w:rFonts w:ascii="Calibri" w:hAnsi="Calibri"/>
                <w:color w:val="000000"/>
                <w:szCs w:val="20"/>
              </w:rPr>
            </w:pPr>
            <w:r>
              <w:rPr>
                <w:rFonts w:ascii="Calibri" w:hAnsi="Calibri"/>
                <w:color w:val="000000"/>
                <w:szCs w:val="20"/>
              </w:rPr>
              <w:t> </w:t>
            </w:r>
          </w:p>
        </w:tc>
        <w:tc>
          <w:tcPr>
            <w:tcW w:w="953"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pPr>
              <w:spacing w:line="288" w:lineRule="auto"/>
              <w:rPr>
                <w:rFonts w:ascii="Calibri" w:hAnsi="Calibri"/>
                <w:color w:val="000000"/>
                <w:szCs w:val="20"/>
              </w:rPr>
            </w:pPr>
            <w:r>
              <w:rPr>
                <w:rFonts w:ascii="Calibri" w:hAnsi="Calibri"/>
                <w:color w:val="000000"/>
                <w:szCs w:val="20"/>
              </w:rPr>
              <w:t> </w:t>
            </w:r>
          </w:p>
        </w:tc>
        <w:tc>
          <w:tcPr>
            <w:tcW w:w="953"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pPr>
              <w:spacing w:line="288" w:lineRule="auto"/>
              <w:rPr>
                <w:rFonts w:ascii="Calibri" w:hAnsi="Calibri"/>
                <w:color w:val="000000"/>
                <w:szCs w:val="20"/>
              </w:rPr>
            </w:pPr>
            <w:r>
              <w:rPr>
                <w:rFonts w:ascii="Calibri" w:hAnsi="Calibri"/>
                <w:color w:val="000000"/>
                <w:szCs w:val="20"/>
              </w:rPr>
              <w:t> </w:t>
            </w:r>
          </w:p>
        </w:tc>
        <w:tc>
          <w:tcPr>
            <w:tcW w:w="953" w:type="dxa"/>
            <w:tcBorders>
              <w:top w:val="nil"/>
              <w:left w:val="nil"/>
              <w:bottom w:val="single" w:sz="8" w:space="0" w:color="auto"/>
              <w:right w:val="nil"/>
            </w:tcBorders>
            <w:shd w:val="clear" w:color="auto" w:fill="B8CCE4"/>
            <w:noWrap/>
            <w:tcMar>
              <w:top w:w="15" w:type="dxa"/>
              <w:left w:w="15" w:type="dxa"/>
              <w:bottom w:w="0" w:type="dxa"/>
              <w:right w:w="15" w:type="dxa"/>
            </w:tcMar>
            <w:vAlign w:val="center"/>
            <w:hideMark/>
          </w:tcPr>
          <w:p w:rsidR="000755F4" w:rsidRDefault="000755F4">
            <w:pPr>
              <w:spacing w:line="288" w:lineRule="auto"/>
              <w:rPr>
                <w:rFonts w:ascii="Calibri" w:hAnsi="Calibri"/>
                <w:color w:val="000000"/>
                <w:szCs w:val="20"/>
              </w:rPr>
            </w:pPr>
            <w:r>
              <w:rPr>
                <w:rFonts w:ascii="Calibri" w:hAnsi="Calibri"/>
                <w:color w:val="000000"/>
                <w:szCs w:val="20"/>
              </w:rPr>
              <w:t> </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Number of years of paid work</w:t>
            </w:r>
          </w:p>
        </w:tc>
        <w:tc>
          <w:tcPr>
            <w:tcW w:w="952"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rsidP="00BF019D">
            <w:pPr>
              <w:spacing w:line="288" w:lineRule="auto"/>
              <w:rPr>
                <w:rFonts w:ascii="Calibri" w:hAnsi="Calibri"/>
                <w:color w:val="000000"/>
                <w:szCs w:val="20"/>
              </w:rPr>
            </w:pPr>
            <w:r>
              <w:rPr>
                <w:rFonts w:ascii="Calibri" w:hAnsi="Calibri"/>
                <w:color w:val="000000"/>
                <w:szCs w:val="20"/>
              </w:rPr>
              <w:t>0.001</w:t>
            </w:r>
          </w:p>
        </w:tc>
        <w:tc>
          <w:tcPr>
            <w:tcW w:w="953" w:type="dxa"/>
            <w:noWrap/>
            <w:tcMar>
              <w:top w:w="15" w:type="dxa"/>
              <w:left w:w="15" w:type="dxa"/>
              <w:bottom w:w="0" w:type="dxa"/>
              <w:right w:w="15" w:type="dxa"/>
            </w:tcMar>
            <w:vAlign w:val="bottom"/>
            <w:hideMark/>
          </w:tcPr>
          <w:p w:rsidR="000755F4" w:rsidRDefault="00BF019D">
            <w:pPr>
              <w:spacing w:line="288" w:lineRule="auto"/>
              <w:rPr>
                <w:rFonts w:ascii="Calibri" w:hAnsi="Calibri"/>
                <w:color w:val="000000"/>
                <w:szCs w:val="20"/>
              </w:rPr>
            </w:pPr>
            <w:r>
              <w:rPr>
                <w:rFonts w:ascii="Calibri" w:hAnsi="Calibri"/>
                <w:color w:val="000000"/>
                <w:szCs w:val="20"/>
              </w:rPr>
              <w:t>0</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2"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BF019D" w:rsidP="00BF019D">
            <w:pPr>
              <w:spacing w:line="288" w:lineRule="auto"/>
              <w:rPr>
                <w:rFonts w:ascii="Calibri" w:hAnsi="Calibri"/>
                <w:color w:val="000000"/>
                <w:szCs w:val="20"/>
              </w:rPr>
            </w:pPr>
            <w:r>
              <w:rPr>
                <w:rFonts w:ascii="Calibri" w:hAnsi="Calibri"/>
                <w:color w:val="000000"/>
                <w:szCs w:val="20"/>
              </w:rPr>
              <w:t>(0.001</w:t>
            </w:r>
            <w:r w:rsidR="000755F4">
              <w:rPr>
                <w:rFonts w:ascii="Calibri" w:hAnsi="Calibri"/>
                <w:color w:val="000000"/>
                <w:szCs w:val="20"/>
              </w:rPr>
              <w:t>)</w:t>
            </w:r>
          </w:p>
        </w:tc>
        <w:tc>
          <w:tcPr>
            <w:tcW w:w="953" w:type="dxa"/>
            <w:noWrap/>
            <w:tcMar>
              <w:top w:w="15" w:type="dxa"/>
              <w:left w:w="15" w:type="dxa"/>
              <w:bottom w:w="0" w:type="dxa"/>
              <w:right w:w="15" w:type="dxa"/>
            </w:tcMar>
            <w:vAlign w:val="bottom"/>
            <w:hideMark/>
          </w:tcPr>
          <w:p w:rsidR="000755F4" w:rsidRDefault="00BF019D" w:rsidP="00BF019D">
            <w:pPr>
              <w:spacing w:line="288" w:lineRule="auto"/>
              <w:rPr>
                <w:rFonts w:ascii="Calibri" w:hAnsi="Calibri"/>
                <w:color w:val="000000"/>
                <w:szCs w:val="20"/>
              </w:rPr>
            </w:pPr>
            <w:r>
              <w:rPr>
                <w:rFonts w:ascii="Calibri" w:hAnsi="Calibri"/>
                <w:color w:val="000000"/>
                <w:szCs w:val="20"/>
              </w:rPr>
              <w:t>(0.001</w:t>
            </w:r>
            <w:r w:rsidR="000755F4">
              <w:rPr>
                <w:rFonts w:ascii="Calibri" w:hAnsi="Calibri"/>
                <w:color w:val="000000"/>
                <w:szCs w:val="20"/>
              </w:rPr>
              <w:t>)</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Skilled occupations (D)</w:t>
            </w:r>
          </w:p>
        </w:tc>
        <w:tc>
          <w:tcPr>
            <w:tcW w:w="952"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BF019D" w:rsidP="00BF019D">
            <w:pPr>
              <w:spacing w:line="288" w:lineRule="auto"/>
              <w:rPr>
                <w:rFonts w:ascii="Calibri" w:hAnsi="Calibri"/>
                <w:color w:val="000000"/>
                <w:szCs w:val="20"/>
              </w:rPr>
            </w:pPr>
            <w:r>
              <w:rPr>
                <w:rFonts w:ascii="Calibri" w:hAnsi="Calibri"/>
                <w:color w:val="000000"/>
                <w:szCs w:val="20"/>
              </w:rPr>
              <w:t>0.064</w:t>
            </w:r>
            <w:r w:rsidR="000755F4">
              <w:rPr>
                <w:rFonts w:ascii="Calibri" w:hAnsi="Calibri"/>
                <w:color w:val="000000"/>
                <w:szCs w:val="20"/>
              </w:rPr>
              <w:t>***</w:t>
            </w:r>
          </w:p>
        </w:tc>
        <w:tc>
          <w:tcPr>
            <w:tcW w:w="953" w:type="dxa"/>
            <w:noWrap/>
            <w:tcMar>
              <w:top w:w="15" w:type="dxa"/>
              <w:left w:w="15" w:type="dxa"/>
              <w:bottom w:w="0" w:type="dxa"/>
              <w:right w:w="15" w:type="dxa"/>
            </w:tcMar>
            <w:vAlign w:val="bottom"/>
            <w:hideMark/>
          </w:tcPr>
          <w:p w:rsidR="000755F4" w:rsidRDefault="000755F4" w:rsidP="00BF019D">
            <w:pPr>
              <w:spacing w:line="288" w:lineRule="auto"/>
              <w:rPr>
                <w:rFonts w:ascii="Calibri" w:hAnsi="Calibri"/>
                <w:color w:val="000000"/>
                <w:szCs w:val="20"/>
              </w:rPr>
            </w:pPr>
            <w:r>
              <w:rPr>
                <w:rFonts w:ascii="Calibri" w:hAnsi="Calibri"/>
                <w:color w:val="000000"/>
                <w:szCs w:val="20"/>
              </w:rPr>
              <w:t>0.063***</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elementary occupations)</w:t>
            </w:r>
          </w:p>
        </w:tc>
        <w:tc>
          <w:tcPr>
            <w:tcW w:w="952"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rsidP="00BF019D">
            <w:pPr>
              <w:spacing w:line="288" w:lineRule="auto"/>
              <w:rPr>
                <w:rFonts w:ascii="Calibri" w:hAnsi="Calibri"/>
                <w:color w:val="000000"/>
                <w:szCs w:val="20"/>
              </w:rPr>
            </w:pPr>
            <w:r>
              <w:rPr>
                <w:rFonts w:ascii="Calibri" w:hAnsi="Calibri"/>
                <w:color w:val="000000"/>
                <w:szCs w:val="20"/>
              </w:rPr>
              <w:t>(0.00</w:t>
            </w:r>
            <w:r w:rsidR="00BF019D">
              <w:rPr>
                <w:rFonts w:ascii="Calibri" w:hAnsi="Calibri"/>
                <w:color w:val="000000"/>
                <w:szCs w:val="20"/>
              </w:rPr>
              <w:t>7</w:t>
            </w:r>
            <w:r>
              <w:rPr>
                <w:rFonts w:ascii="Calibri" w:hAnsi="Calibri"/>
                <w:color w:val="000000"/>
                <w:szCs w:val="20"/>
              </w:rPr>
              <w:t>)</w:t>
            </w:r>
          </w:p>
        </w:tc>
        <w:tc>
          <w:tcPr>
            <w:tcW w:w="953" w:type="dxa"/>
            <w:noWrap/>
            <w:tcMar>
              <w:top w:w="15" w:type="dxa"/>
              <w:left w:w="15" w:type="dxa"/>
              <w:bottom w:w="0" w:type="dxa"/>
              <w:right w:w="15" w:type="dxa"/>
            </w:tcMar>
            <w:vAlign w:val="bottom"/>
            <w:hideMark/>
          </w:tcPr>
          <w:p w:rsidR="000755F4" w:rsidRDefault="000755F4" w:rsidP="00BF019D">
            <w:pPr>
              <w:spacing w:line="288" w:lineRule="auto"/>
              <w:rPr>
                <w:rFonts w:ascii="Calibri" w:hAnsi="Calibri"/>
                <w:color w:val="000000"/>
                <w:szCs w:val="20"/>
              </w:rPr>
            </w:pPr>
            <w:r>
              <w:rPr>
                <w:rFonts w:ascii="Calibri" w:hAnsi="Calibri"/>
                <w:color w:val="000000"/>
                <w:szCs w:val="20"/>
              </w:rPr>
              <w:t>(0.005)</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Semi-skilled white collar occupation (D)</w:t>
            </w:r>
          </w:p>
        </w:tc>
        <w:tc>
          <w:tcPr>
            <w:tcW w:w="952"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rsidP="00BF019D">
            <w:pPr>
              <w:spacing w:line="288" w:lineRule="auto"/>
              <w:rPr>
                <w:rFonts w:ascii="Calibri" w:hAnsi="Calibri"/>
                <w:color w:val="000000"/>
                <w:szCs w:val="20"/>
              </w:rPr>
            </w:pPr>
            <w:r>
              <w:rPr>
                <w:rFonts w:ascii="Calibri" w:hAnsi="Calibri"/>
                <w:color w:val="000000"/>
                <w:szCs w:val="20"/>
              </w:rPr>
              <w:t>0.031***</w:t>
            </w:r>
          </w:p>
        </w:tc>
        <w:tc>
          <w:tcPr>
            <w:tcW w:w="953" w:type="dxa"/>
            <w:noWrap/>
            <w:tcMar>
              <w:top w:w="15" w:type="dxa"/>
              <w:left w:w="15" w:type="dxa"/>
              <w:bottom w:w="0" w:type="dxa"/>
              <w:right w:w="15" w:type="dxa"/>
            </w:tcMar>
            <w:vAlign w:val="bottom"/>
            <w:hideMark/>
          </w:tcPr>
          <w:p w:rsidR="000755F4" w:rsidRDefault="000755F4" w:rsidP="00BF019D">
            <w:pPr>
              <w:spacing w:line="288" w:lineRule="auto"/>
              <w:rPr>
                <w:rFonts w:ascii="Calibri" w:hAnsi="Calibri"/>
                <w:color w:val="000000"/>
                <w:szCs w:val="20"/>
              </w:rPr>
            </w:pPr>
            <w:r>
              <w:rPr>
                <w:rFonts w:ascii="Calibri" w:hAnsi="Calibri"/>
                <w:color w:val="000000"/>
                <w:szCs w:val="20"/>
              </w:rPr>
              <w:t>0.03</w:t>
            </w:r>
            <w:r w:rsidR="00BF019D">
              <w:rPr>
                <w:rFonts w:ascii="Calibri" w:hAnsi="Calibri"/>
                <w:color w:val="000000"/>
                <w:szCs w:val="20"/>
              </w:rPr>
              <w:t>3</w:t>
            </w:r>
            <w:r>
              <w:rPr>
                <w:rFonts w:ascii="Calibri" w:hAnsi="Calibri"/>
                <w:color w:val="000000"/>
                <w:szCs w:val="20"/>
              </w:rPr>
              <w:t>***</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elementary occupations)</w:t>
            </w:r>
          </w:p>
        </w:tc>
        <w:tc>
          <w:tcPr>
            <w:tcW w:w="952"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center"/>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center"/>
            <w:hideMark/>
          </w:tcPr>
          <w:p w:rsidR="000755F4" w:rsidRDefault="00BF019D" w:rsidP="00BF019D">
            <w:pPr>
              <w:spacing w:line="288" w:lineRule="auto"/>
              <w:rPr>
                <w:rFonts w:ascii="Calibri" w:hAnsi="Calibri"/>
                <w:color w:val="000000"/>
                <w:szCs w:val="20"/>
              </w:rPr>
            </w:pPr>
            <w:r>
              <w:rPr>
                <w:rFonts w:ascii="Calibri" w:hAnsi="Calibri"/>
                <w:color w:val="000000"/>
                <w:szCs w:val="20"/>
              </w:rPr>
              <w:t>(0.006</w:t>
            </w:r>
            <w:r w:rsidR="000755F4">
              <w:rPr>
                <w:rFonts w:ascii="Calibri" w:hAnsi="Calibri"/>
                <w:color w:val="000000"/>
                <w:szCs w:val="20"/>
              </w:rPr>
              <w:t>)</w:t>
            </w:r>
          </w:p>
        </w:tc>
        <w:tc>
          <w:tcPr>
            <w:tcW w:w="953" w:type="dxa"/>
            <w:noWrap/>
            <w:tcMar>
              <w:top w:w="15" w:type="dxa"/>
              <w:left w:w="15" w:type="dxa"/>
              <w:bottom w:w="0" w:type="dxa"/>
              <w:right w:w="15" w:type="dxa"/>
            </w:tcMar>
            <w:vAlign w:val="center"/>
            <w:hideMark/>
          </w:tcPr>
          <w:p w:rsidR="000755F4" w:rsidRDefault="000755F4" w:rsidP="00BF019D">
            <w:pPr>
              <w:spacing w:line="288" w:lineRule="auto"/>
              <w:rPr>
                <w:rFonts w:ascii="Calibri" w:hAnsi="Calibri"/>
                <w:color w:val="000000"/>
                <w:szCs w:val="20"/>
              </w:rPr>
            </w:pPr>
            <w:r>
              <w:rPr>
                <w:rFonts w:ascii="Calibri" w:hAnsi="Calibri"/>
                <w:color w:val="000000"/>
                <w:szCs w:val="20"/>
              </w:rPr>
              <w:t>(0.005)</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b/>
                <w:bCs/>
                <w:color w:val="000000"/>
                <w:szCs w:val="20"/>
              </w:rPr>
            </w:pPr>
            <w:r>
              <w:rPr>
                <w:rFonts w:ascii="Calibri" w:hAnsi="Calibri"/>
                <w:b/>
                <w:bCs/>
                <w:color w:val="000000"/>
                <w:szCs w:val="20"/>
              </w:rPr>
              <w:t>Semi-skilled blue collar occupation (D)</w:t>
            </w:r>
          </w:p>
        </w:tc>
        <w:tc>
          <w:tcPr>
            <w:tcW w:w="952"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rsidP="00BF019D">
            <w:pPr>
              <w:spacing w:line="288" w:lineRule="auto"/>
              <w:rPr>
                <w:rFonts w:ascii="Calibri" w:hAnsi="Calibri"/>
                <w:color w:val="000000"/>
                <w:szCs w:val="20"/>
              </w:rPr>
            </w:pPr>
            <w:r>
              <w:rPr>
                <w:rFonts w:ascii="Calibri" w:hAnsi="Calibri"/>
                <w:color w:val="000000"/>
                <w:szCs w:val="20"/>
              </w:rPr>
              <w:t>-0.014</w:t>
            </w:r>
          </w:p>
        </w:tc>
        <w:tc>
          <w:tcPr>
            <w:tcW w:w="953" w:type="dxa"/>
            <w:noWrap/>
            <w:tcMar>
              <w:top w:w="15" w:type="dxa"/>
              <w:left w:w="15" w:type="dxa"/>
              <w:bottom w:w="0" w:type="dxa"/>
              <w:right w:w="15" w:type="dxa"/>
            </w:tcMar>
            <w:vAlign w:val="bottom"/>
            <w:hideMark/>
          </w:tcPr>
          <w:p w:rsidR="000755F4" w:rsidRDefault="00BF019D">
            <w:pPr>
              <w:spacing w:line="288" w:lineRule="auto"/>
              <w:rPr>
                <w:rFonts w:ascii="Calibri" w:hAnsi="Calibri"/>
                <w:color w:val="000000"/>
                <w:szCs w:val="20"/>
              </w:rPr>
            </w:pPr>
            <w:r>
              <w:rPr>
                <w:rFonts w:ascii="Calibri" w:hAnsi="Calibri"/>
                <w:color w:val="000000"/>
                <w:szCs w:val="20"/>
              </w:rPr>
              <w:t>-0.011</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(compared to elementary occupations)</w:t>
            </w:r>
          </w:p>
        </w:tc>
        <w:tc>
          <w:tcPr>
            <w:tcW w:w="952"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center"/>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center"/>
            <w:hideMark/>
          </w:tcPr>
          <w:p w:rsidR="000755F4" w:rsidRDefault="00BF019D" w:rsidP="00BF019D">
            <w:pPr>
              <w:spacing w:line="288" w:lineRule="auto"/>
              <w:rPr>
                <w:rFonts w:ascii="Calibri" w:hAnsi="Calibri"/>
                <w:color w:val="000000"/>
                <w:szCs w:val="20"/>
              </w:rPr>
            </w:pPr>
            <w:r>
              <w:rPr>
                <w:rFonts w:ascii="Calibri" w:hAnsi="Calibri"/>
                <w:color w:val="000000"/>
                <w:szCs w:val="20"/>
              </w:rPr>
              <w:t>(0.01</w:t>
            </w:r>
            <w:r w:rsidR="000755F4">
              <w:rPr>
                <w:rFonts w:ascii="Calibri" w:hAnsi="Calibri"/>
                <w:color w:val="000000"/>
                <w:szCs w:val="20"/>
              </w:rPr>
              <w:t>)</w:t>
            </w:r>
          </w:p>
        </w:tc>
        <w:tc>
          <w:tcPr>
            <w:tcW w:w="953" w:type="dxa"/>
            <w:noWrap/>
            <w:tcMar>
              <w:top w:w="15" w:type="dxa"/>
              <w:left w:w="15" w:type="dxa"/>
              <w:bottom w:w="0" w:type="dxa"/>
              <w:right w:w="15" w:type="dxa"/>
            </w:tcMar>
            <w:vAlign w:val="center"/>
            <w:hideMark/>
          </w:tcPr>
          <w:p w:rsidR="000755F4" w:rsidRDefault="000755F4" w:rsidP="00BF019D">
            <w:pPr>
              <w:spacing w:line="288" w:lineRule="auto"/>
              <w:rPr>
                <w:rFonts w:ascii="Calibri" w:hAnsi="Calibri"/>
                <w:color w:val="000000"/>
                <w:szCs w:val="20"/>
              </w:rPr>
            </w:pPr>
            <w:r>
              <w:rPr>
                <w:rFonts w:ascii="Calibri" w:hAnsi="Calibri"/>
                <w:color w:val="000000"/>
                <w:szCs w:val="20"/>
              </w:rPr>
              <w:t>(0.01)</w:t>
            </w:r>
          </w:p>
        </w:tc>
      </w:tr>
      <w:tr w:rsidR="000755F4" w:rsidTr="00460088">
        <w:trPr>
          <w:trHeight w:val="360"/>
        </w:trPr>
        <w:tc>
          <w:tcPr>
            <w:tcW w:w="5778" w:type="dxa"/>
            <w:tcBorders>
              <w:top w:val="nil"/>
              <w:left w:val="nil"/>
              <w:bottom w:val="single" w:sz="4" w:space="0" w:color="auto"/>
              <w:right w:val="nil"/>
            </w:tcBorders>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Country FE</w:t>
            </w:r>
          </w:p>
        </w:tc>
        <w:tc>
          <w:tcPr>
            <w:tcW w:w="952"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No</w:t>
            </w:r>
          </w:p>
        </w:tc>
        <w:tc>
          <w:tcPr>
            <w:tcW w:w="953"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Yes</w:t>
            </w:r>
          </w:p>
        </w:tc>
        <w:tc>
          <w:tcPr>
            <w:tcW w:w="953"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No</w:t>
            </w:r>
          </w:p>
        </w:tc>
        <w:tc>
          <w:tcPr>
            <w:tcW w:w="953"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Yes</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Constant</w:t>
            </w:r>
          </w:p>
        </w:tc>
        <w:tc>
          <w:tcPr>
            <w:tcW w:w="952" w:type="dxa"/>
            <w:tcBorders>
              <w:top w:val="single" w:sz="4" w:space="0" w:color="auto"/>
              <w:left w:val="nil"/>
              <w:bottom w:val="nil"/>
              <w:right w:val="nil"/>
            </w:tcBorders>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5.607***</w:t>
            </w:r>
          </w:p>
        </w:tc>
        <w:tc>
          <w:tcPr>
            <w:tcW w:w="953" w:type="dxa"/>
            <w:tcBorders>
              <w:top w:val="single" w:sz="4" w:space="0" w:color="auto"/>
              <w:left w:val="nil"/>
              <w:bottom w:val="nil"/>
              <w:right w:val="nil"/>
            </w:tcBorders>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5.625***</w:t>
            </w:r>
          </w:p>
        </w:tc>
        <w:tc>
          <w:tcPr>
            <w:tcW w:w="953" w:type="dxa"/>
            <w:tcBorders>
              <w:top w:val="single" w:sz="4" w:space="0" w:color="auto"/>
              <w:left w:val="nil"/>
              <w:bottom w:val="nil"/>
              <w:right w:val="nil"/>
            </w:tcBorders>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5.376***</w:t>
            </w:r>
          </w:p>
        </w:tc>
        <w:tc>
          <w:tcPr>
            <w:tcW w:w="953" w:type="dxa"/>
            <w:tcBorders>
              <w:top w:val="single" w:sz="4" w:space="0" w:color="auto"/>
              <w:left w:val="nil"/>
              <w:bottom w:val="nil"/>
              <w:right w:val="nil"/>
            </w:tcBorders>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5.399***</w:t>
            </w:r>
          </w:p>
        </w:tc>
      </w:tr>
      <w:tr w:rsidR="000755F4" w:rsidTr="00460088">
        <w:trPr>
          <w:trHeight w:val="360"/>
        </w:trPr>
        <w:tc>
          <w:tcPr>
            <w:tcW w:w="5778" w:type="dxa"/>
            <w:tcBorders>
              <w:top w:val="nil"/>
              <w:left w:val="nil"/>
              <w:bottom w:val="single" w:sz="4" w:space="0" w:color="auto"/>
              <w:right w:val="nil"/>
            </w:tcBorders>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 </w:t>
            </w:r>
          </w:p>
        </w:tc>
        <w:tc>
          <w:tcPr>
            <w:tcW w:w="952" w:type="dxa"/>
            <w:tcBorders>
              <w:top w:val="nil"/>
              <w:left w:val="nil"/>
              <w:bottom w:val="single" w:sz="4" w:space="0" w:color="auto"/>
              <w:right w:val="nil"/>
            </w:tcBorders>
            <w:noWrap/>
            <w:tcMar>
              <w:top w:w="15" w:type="dxa"/>
              <w:left w:w="15" w:type="dxa"/>
              <w:bottom w:w="0" w:type="dxa"/>
              <w:right w:w="15" w:type="dxa"/>
            </w:tcMar>
            <w:vAlign w:val="bottom"/>
            <w:hideMark/>
          </w:tcPr>
          <w:p w:rsidR="000755F4" w:rsidRDefault="000755F4" w:rsidP="00BF019D">
            <w:pPr>
              <w:spacing w:line="288" w:lineRule="auto"/>
              <w:rPr>
                <w:rFonts w:ascii="Calibri" w:hAnsi="Calibri"/>
                <w:color w:val="000000"/>
                <w:szCs w:val="20"/>
              </w:rPr>
            </w:pPr>
            <w:r>
              <w:rPr>
                <w:rFonts w:ascii="Calibri" w:hAnsi="Calibri"/>
                <w:color w:val="000000"/>
                <w:szCs w:val="20"/>
              </w:rPr>
              <w:t>(0.0</w:t>
            </w:r>
            <w:r w:rsidR="00BF019D">
              <w:rPr>
                <w:rFonts w:ascii="Calibri" w:hAnsi="Calibri"/>
                <w:color w:val="000000"/>
                <w:szCs w:val="20"/>
              </w:rPr>
              <w:t>1</w:t>
            </w:r>
            <w:r>
              <w:rPr>
                <w:rFonts w:ascii="Calibri" w:hAnsi="Calibri"/>
                <w:color w:val="000000"/>
                <w:szCs w:val="20"/>
              </w:rPr>
              <w:t>)</w:t>
            </w:r>
          </w:p>
        </w:tc>
        <w:tc>
          <w:tcPr>
            <w:tcW w:w="953" w:type="dxa"/>
            <w:tcBorders>
              <w:top w:val="nil"/>
              <w:left w:val="nil"/>
              <w:bottom w:val="single" w:sz="4" w:space="0" w:color="auto"/>
              <w:right w:val="nil"/>
            </w:tcBorders>
            <w:noWrap/>
            <w:tcMar>
              <w:top w:w="15" w:type="dxa"/>
              <w:left w:w="15" w:type="dxa"/>
              <w:bottom w:w="0" w:type="dxa"/>
              <w:right w:w="15" w:type="dxa"/>
            </w:tcMar>
            <w:vAlign w:val="bottom"/>
            <w:hideMark/>
          </w:tcPr>
          <w:p w:rsidR="000755F4" w:rsidRDefault="00BF019D" w:rsidP="00BF019D">
            <w:pPr>
              <w:spacing w:line="288" w:lineRule="auto"/>
              <w:rPr>
                <w:rFonts w:ascii="Calibri" w:hAnsi="Calibri"/>
                <w:color w:val="000000"/>
                <w:szCs w:val="20"/>
              </w:rPr>
            </w:pPr>
            <w:r>
              <w:rPr>
                <w:rFonts w:ascii="Calibri" w:hAnsi="Calibri"/>
                <w:color w:val="000000"/>
                <w:szCs w:val="20"/>
              </w:rPr>
              <w:t>(0.002)</w:t>
            </w:r>
          </w:p>
        </w:tc>
        <w:tc>
          <w:tcPr>
            <w:tcW w:w="953" w:type="dxa"/>
            <w:tcBorders>
              <w:top w:val="nil"/>
              <w:left w:val="nil"/>
              <w:bottom w:val="single" w:sz="4" w:space="0" w:color="auto"/>
              <w:right w:val="nil"/>
            </w:tcBorders>
            <w:noWrap/>
            <w:tcMar>
              <w:top w:w="15" w:type="dxa"/>
              <w:left w:w="15" w:type="dxa"/>
              <w:bottom w:w="0" w:type="dxa"/>
              <w:right w:w="15" w:type="dxa"/>
            </w:tcMar>
            <w:vAlign w:val="bottom"/>
            <w:hideMark/>
          </w:tcPr>
          <w:p w:rsidR="000755F4" w:rsidRDefault="00BF019D" w:rsidP="00BF019D">
            <w:pPr>
              <w:spacing w:line="288" w:lineRule="auto"/>
              <w:rPr>
                <w:rFonts w:ascii="Calibri" w:hAnsi="Calibri"/>
                <w:color w:val="000000"/>
                <w:szCs w:val="20"/>
              </w:rPr>
            </w:pPr>
            <w:r>
              <w:rPr>
                <w:rFonts w:ascii="Calibri" w:hAnsi="Calibri"/>
                <w:color w:val="000000"/>
                <w:szCs w:val="20"/>
              </w:rPr>
              <w:t>(0.016</w:t>
            </w:r>
            <w:r w:rsidR="000755F4">
              <w:rPr>
                <w:rFonts w:ascii="Calibri" w:hAnsi="Calibri"/>
                <w:color w:val="000000"/>
                <w:szCs w:val="20"/>
              </w:rPr>
              <w:t>)</w:t>
            </w:r>
          </w:p>
        </w:tc>
        <w:tc>
          <w:tcPr>
            <w:tcW w:w="953" w:type="dxa"/>
            <w:tcBorders>
              <w:top w:val="nil"/>
              <w:left w:val="nil"/>
              <w:bottom w:val="single" w:sz="4" w:space="0" w:color="auto"/>
              <w:right w:val="nil"/>
            </w:tcBorders>
            <w:noWrap/>
            <w:tcMar>
              <w:top w:w="15" w:type="dxa"/>
              <w:left w:w="15" w:type="dxa"/>
              <w:bottom w:w="0" w:type="dxa"/>
              <w:right w:w="15" w:type="dxa"/>
            </w:tcMar>
            <w:vAlign w:val="bottom"/>
            <w:hideMark/>
          </w:tcPr>
          <w:p w:rsidR="000755F4" w:rsidRDefault="000755F4" w:rsidP="00BF019D">
            <w:pPr>
              <w:spacing w:line="288" w:lineRule="auto"/>
              <w:rPr>
                <w:rFonts w:ascii="Calibri" w:hAnsi="Calibri"/>
                <w:color w:val="000000"/>
                <w:szCs w:val="20"/>
              </w:rPr>
            </w:pPr>
            <w:r>
              <w:rPr>
                <w:rFonts w:ascii="Calibri" w:hAnsi="Calibri"/>
                <w:color w:val="000000"/>
                <w:szCs w:val="20"/>
              </w:rPr>
              <w:t>(0.016)</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N</w:t>
            </w:r>
          </w:p>
        </w:tc>
        <w:tc>
          <w:tcPr>
            <w:tcW w:w="952"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26,927</w:t>
            </w:r>
          </w:p>
        </w:tc>
        <w:tc>
          <w:tcPr>
            <w:tcW w:w="953"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26,927</w:t>
            </w:r>
          </w:p>
        </w:tc>
        <w:tc>
          <w:tcPr>
            <w:tcW w:w="953"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23,343</w:t>
            </w:r>
          </w:p>
        </w:tc>
        <w:tc>
          <w:tcPr>
            <w:tcW w:w="953"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23,343</w:t>
            </w:r>
          </w:p>
        </w:tc>
      </w:tr>
      <w:tr w:rsidR="000755F4" w:rsidTr="00460088">
        <w:trPr>
          <w:trHeight w:val="360"/>
        </w:trPr>
        <w:tc>
          <w:tcPr>
            <w:tcW w:w="5778"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Number of countries</w:t>
            </w:r>
          </w:p>
        </w:tc>
        <w:tc>
          <w:tcPr>
            <w:tcW w:w="952"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16</w:t>
            </w:r>
          </w:p>
        </w:tc>
        <w:tc>
          <w:tcPr>
            <w:tcW w:w="953" w:type="dxa"/>
            <w:noWrap/>
            <w:tcMar>
              <w:top w:w="15" w:type="dxa"/>
              <w:left w:w="15" w:type="dxa"/>
              <w:bottom w:w="0" w:type="dxa"/>
              <w:right w:w="15" w:type="dxa"/>
            </w:tcMar>
            <w:vAlign w:val="bottom"/>
            <w:hideMark/>
          </w:tcPr>
          <w:p w:rsidR="000755F4" w:rsidRDefault="000755F4">
            <w:pPr>
              <w:spacing w:line="288" w:lineRule="auto"/>
              <w:rPr>
                <w:rFonts w:ascii="Calibri" w:hAnsi="Calibri"/>
                <w:color w:val="000000"/>
                <w:szCs w:val="20"/>
              </w:rPr>
            </w:pPr>
            <w:r>
              <w:rPr>
                <w:rFonts w:ascii="Calibri" w:hAnsi="Calibri"/>
                <w:color w:val="000000"/>
                <w:szCs w:val="20"/>
              </w:rPr>
              <w:t>16</w:t>
            </w:r>
          </w:p>
        </w:tc>
        <w:tc>
          <w:tcPr>
            <w:tcW w:w="953"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c>
          <w:tcPr>
            <w:tcW w:w="953" w:type="dxa"/>
            <w:noWrap/>
            <w:tcMar>
              <w:top w:w="15" w:type="dxa"/>
              <w:left w:w="15" w:type="dxa"/>
              <w:bottom w:w="0" w:type="dxa"/>
              <w:right w:w="15" w:type="dxa"/>
            </w:tcMar>
            <w:vAlign w:val="bottom"/>
            <w:hideMark/>
          </w:tcPr>
          <w:p w:rsidR="000755F4" w:rsidRDefault="000755F4">
            <w:pPr>
              <w:rPr>
                <w:rFonts w:ascii="Times New Roman" w:hAnsi="Times New Roman"/>
                <w:szCs w:val="20"/>
              </w:rPr>
            </w:pPr>
          </w:p>
        </w:tc>
      </w:tr>
      <w:tr w:rsidR="00EF79CB" w:rsidTr="00460088">
        <w:trPr>
          <w:trHeight w:val="360"/>
        </w:trPr>
        <w:tc>
          <w:tcPr>
            <w:tcW w:w="5778" w:type="dxa"/>
            <w:noWrap/>
            <w:tcMar>
              <w:top w:w="15" w:type="dxa"/>
              <w:left w:w="15" w:type="dxa"/>
              <w:bottom w:w="0" w:type="dxa"/>
              <w:right w:w="15" w:type="dxa"/>
            </w:tcMar>
            <w:vAlign w:val="bottom"/>
          </w:tcPr>
          <w:p w:rsidR="00EF79CB" w:rsidRDefault="00EF79CB" w:rsidP="000D6AD8">
            <w:pPr>
              <w:spacing w:line="288" w:lineRule="auto"/>
              <w:rPr>
                <w:rFonts w:ascii="Calibri" w:hAnsi="Calibri"/>
                <w:color w:val="000000"/>
                <w:szCs w:val="20"/>
              </w:rPr>
            </w:pPr>
            <w:r>
              <w:rPr>
                <w:rFonts w:ascii="Calibri" w:hAnsi="Calibri"/>
                <w:color w:val="000000"/>
                <w:szCs w:val="20"/>
              </w:rPr>
              <w:t>R2 overall</w:t>
            </w:r>
          </w:p>
        </w:tc>
        <w:tc>
          <w:tcPr>
            <w:tcW w:w="952" w:type="dxa"/>
            <w:noWrap/>
            <w:tcMar>
              <w:top w:w="15" w:type="dxa"/>
              <w:left w:w="15" w:type="dxa"/>
              <w:bottom w:w="0" w:type="dxa"/>
              <w:right w:w="15" w:type="dxa"/>
            </w:tcMar>
            <w:vAlign w:val="bottom"/>
          </w:tcPr>
          <w:p w:rsidR="00EF79CB" w:rsidRDefault="00EF79CB" w:rsidP="000D6AD8">
            <w:pPr>
              <w:spacing w:line="288" w:lineRule="auto"/>
              <w:rPr>
                <w:rFonts w:ascii="Calibri" w:hAnsi="Calibri"/>
                <w:color w:val="000000"/>
                <w:szCs w:val="20"/>
              </w:rPr>
            </w:pPr>
            <w:r>
              <w:rPr>
                <w:rFonts w:ascii="Calibri" w:hAnsi="Calibri"/>
                <w:color w:val="000000"/>
                <w:szCs w:val="20"/>
              </w:rPr>
              <w:t>0.192</w:t>
            </w:r>
          </w:p>
        </w:tc>
        <w:tc>
          <w:tcPr>
            <w:tcW w:w="953" w:type="dxa"/>
            <w:noWrap/>
            <w:tcMar>
              <w:top w:w="15" w:type="dxa"/>
              <w:left w:w="15" w:type="dxa"/>
              <w:bottom w:w="0" w:type="dxa"/>
              <w:right w:w="15" w:type="dxa"/>
            </w:tcMar>
            <w:vAlign w:val="bottom"/>
          </w:tcPr>
          <w:p w:rsidR="00EF79CB" w:rsidRDefault="00EF79CB" w:rsidP="000D6AD8">
            <w:pPr>
              <w:spacing w:line="288" w:lineRule="auto"/>
              <w:rPr>
                <w:rFonts w:ascii="Calibri" w:hAnsi="Calibri"/>
                <w:color w:val="000000"/>
                <w:szCs w:val="20"/>
              </w:rPr>
            </w:pPr>
            <w:r>
              <w:rPr>
                <w:rFonts w:ascii="Calibri" w:hAnsi="Calibri"/>
                <w:color w:val="000000"/>
                <w:szCs w:val="20"/>
              </w:rPr>
              <w:t>0.217</w:t>
            </w:r>
          </w:p>
        </w:tc>
        <w:tc>
          <w:tcPr>
            <w:tcW w:w="953" w:type="dxa"/>
            <w:noWrap/>
            <w:tcMar>
              <w:top w:w="15" w:type="dxa"/>
              <w:left w:w="15" w:type="dxa"/>
              <w:bottom w:w="0" w:type="dxa"/>
              <w:right w:w="15" w:type="dxa"/>
            </w:tcMar>
            <w:vAlign w:val="bottom"/>
          </w:tcPr>
          <w:p w:rsidR="00EF79CB" w:rsidRDefault="00EF79CB" w:rsidP="000D6AD8">
            <w:pPr>
              <w:spacing w:line="288" w:lineRule="auto"/>
              <w:rPr>
                <w:rFonts w:ascii="Calibri" w:hAnsi="Calibri"/>
                <w:color w:val="000000"/>
                <w:szCs w:val="20"/>
              </w:rPr>
            </w:pPr>
            <w:r>
              <w:rPr>
                <w:rFonts w:ascii="Calibri" w:hAnsi="Calibri"/>
                <w:color w:val="000000"/>
                <w:szCs w:val="20"/>
              </w:rPr>
              <w:t>0.323</w:t>
            </w:r>
          </w:p>
        </w:tc>
        <w:tc>
          <w:tcPr>
            <w:tcW w:w="953" w:type="dxa"/>
            <w:noWrap/>
            <w:tcMar>
              <w:top w:w="15" w:type="dxa"/>
              <w:left w:w="15" w:type="dxa"/>
              <w:bottom w:w="0" w:type="dxa"/>
              <w:right w:w="15" w:type="dxa"/>
            </w:tcMar>
            <w:vAlign w:val="bottom"/>
          </w:tcPr>
          <w:p w:rsidR="00EF79CB" w:rsidRDefault="00EF79CB" w:rsidP="000D6AD8">
            <w:pPr>
              <w:spacing w:line="288" w:lineRule="auto"/>
              <w:rPr>
                <w:rFonts w:ascii="Calibri" w:hAnsi="Calibri"/>
                <w:color w:val="000000"/>
                <w:szCs w:val="20"/>
              </w:rPr>
            </w:pPr>
            <w:r>
              <w:rPr>
                <w:rFonts w:ascii="Calibri" w:hAnsi="Calibri"/>
                <w:color w:val="000000"/>
                <w:szCs w:val="20"/>
              </w:rPr>
              <w:t>0.341</w:t>
            </w:r>
          </w:p>
        </w:tc>
      </w:tr>
      <w:tr w:rsidR="00EF79CB" w:rsidTr="00460088">
        <w:trPr>
          <w:trHeight w:val="360"/>
        </w:trPr>
        <w:tc>
          <w:tcPr>
            <w:tcW w:w="5778" w:type="dxa"/>
            <w:noWrap/>
            <w:tcMar>
              <w:top w:w="15" w:type="dxa"/>
              <w:left w:w="15" w:type="dxa"/>
              <w:bottom w:w="0" w:type="dxa"/>
              <w:right w:w="15" w:type="dxa"/>
            </w:tcMar>
            <w:vAlign w:val="bottom"/>
          </w:tcPr>
          <w:p w:rsidR="00EF79CB" w:rsidRDefault="00EF79CB">
            <w:pPr>
              <w:spacing w:line="288" w:lineRule="auto"/>
              <w:rPr>
                <w:rFonts w:ascii="Calibri" w:hAnsi="Calibri"/>
                <w:color w:val="000000"/>
                <w:szCs w:val="20"/>
              </w:rPr>
            </w:pPr>
            <w:r>
              <w:rPr>
                <w:rFonts w:ascii="Calibri" w:hAnsi="Calibri"/>
                <w:color w:val="000000"/>
                <w:szCs w:val="20"/>
              </w:rPr>
              <w:t>Adj-R2</w:t>
            </w:r>
          </w:p>
        </w:tc>
        <w:tc>
          <w:tcPr>
            <w:tcW w:w="952" w:type="dxa"/>
            <w:noWrap/>
            <w:tcMar>
              <w:top w:w="15" w:type="dxa"/>
              <w:left w:w="15" w:type="dxa"/>
              <w:bottom w:w="0" w:type="dxa"/>
              <w:right w:w="15" w:type="dxa"/>
            </w:tcMar>
            <w:vAlign w:val="bottom"/>
          </w:tcPr>
          <w:p w:rsidR="00EF79CB" w:rsidRDefault="00EF79CB">
            <w:pPr>
              <w:spacing w:line="288" w:lineRule="auto"/>
              <w:rPr>
                <w:rFonts w:ascii="Calibri" w:hAnsi="Calibri"/>
                <w:color w:val="000000"/>
                <w:szCs w:val="20"/>
              </w:rPr>
            </w:pPr>
            <w:r>
              <w:rPr>
                <w:rFonts w:ascii="Calibri" w:hAnsi="Calibri"/>
                <w:color w:val="000000"/>
                <w:szCs w:val="20"/>
              </w:rPr>
              <w:t>0.192</w:t>
            </w:r>
          </w:p>
        </w:tc>
        <w:tc>
          <w:tcPr>
            <w:tcW w:w="953" w:type="dxa"/>
            <w:noWrap/>
            <w:tcMar>
              <w:top w:w="15" w:type="dxa"/>
              <w:left w:w="15" w:type="dxa"/>
              <w:bottom w:w="0" w:type="dxa"/>
              <w:right w:w="15" w:type="dxa"/>
            </w:tcMar>
            <w:vAlign w:val="bottom"/>
          </w:tcPr>
          <w:p w:rsidR="00EF79CB" w:rsidRDefault="00C74C96">
            <w:pPr>
              <w:spacing w:line="288" w:lineRule="auto"/>
              <w:rPr>
                <w:rFonts w:ascii="Calibri" w:hAnsi="Calibri"/>
                <w:color w:val="000000"/>
                <w:szCs w:val="20"/>
              </w:rPr>
            </w:pPr>
            <w:r>
              <w:rPr>
                <w:rFonts w:ascii="Calibri" w:hAnsi="Calibri"/>
                <w:color w:val="000000"/>
                <w:szCs w:val="20"/>
              </w:rPr>
              <w:t>0.216</w:t>
            </w:r>
          </w:p>
        </w:tc>
        <w:tc>
          <w:tcPr>
            <w:tcW w:w="953" w:type="dxa"/>
            <w:noWrap/>
            <w:tcMar>
              <w:top w:w="15" w:type="dxa"/>
              <w:left w:w="15" w:type="dxa"/>
              <w:bottom w:w="0" w:type="dxa"/>
              <w:right w:w="15" w:type="dxa"/>
            </w:tcMar>
            <w:vAlign w:val="bottom"/>
          </w:tcPr>
          <w:p w:rsidR="00EF79CB" w:rsidRDefault="00984977">
            <w:pPr>
              <w:spacing w:line="288" w:lineRule="auto"/>
              <w:rPr>
                <w:rFonts w:ascii="Calibri" w:hAnsi="Calibri"/>
                <w:color w:val="000000"/>
                <w:szCs w:val="20"/>
              </w:rPr>
            </w:pPr>
            <w:r>
              <w:rPr>
                <w:rFonts w:ascii="Calibri" w:hAnsi="Calibri"/>
                <w:color w:val="000000"/>
                <w:szCs w:val="20"/>
              </w:rPr>
              <w:t>0.322</w:t>
            </w:r>
          </w:p>
        </w:tc>
        <w:tc>
          <w:tcPr>
            <w:tcW w:w="953" w:type="dxa"/>
            <w:noWrap/>
            <w:tcMar>
              <w:top w:w="15" w:type="dxa"/>
              <w:left w:w="15" w:type="dxa"/>
              <w:bottom w:w="0" w:type="dxa"/>
              <w:right w:w="15" w:type="dxa"/>
            </w:tcMar>
            <w:vAlign w:val="bottom"/>
          </w:tcPr>
          <w:p w:rsidR="00EF79CB" w:rsidRDefault="00984977">
            <w:pPr>
              <w:spacing w:line="288" w:lineRule="auto"/>
              <w:rPr>
                <w:rFonts w:ascii="Calibri" w:hAnsi="Calibri"/>
                <w:color w:val="000000"/>
                <w:szCs w:val="20"/>
              </w:rPr>
            </w:pPr>
            <w:r>
              <w:rPr>
                <w:rFonts w:ascii="Calibri" w:hAnsi="Calibri"/>
                <w:color w:val="000000"/>
                <w:szCs w:val="20"/>
              </w:rPr>
              <w:t>0.34</w:t>
            </w:r>
          </w:p>
        </w:tc>
      </w:tr>
      <w:tr w:rsidR="00EF79CB" w:rsidTr="00460088">
        <w:trPr>
          <w:trHeight w:val="360"/>
        </w:trPr>
        <w:tc>
          <w:tcPr>
            <w:tcW w:w="9589" w:type="dxa"/>
            <w:gridSpan w:val="5"/>
            <w:noWrap/>
            <w:tcMar>
              <w:top w:w="15" w:type="dxa"/>
              <w:left w:w="15" w:type="dxa"/>
              <w:bottom w:w="0" w:type="dxa"/>
              <w:right w:w="15" w:type="dxa"/>
            </w:tcMar>
            <w:vAlign w:val="bottom"/>
            <w:hideMark/>
          </w:tcPr>
          <w:p w:rsidR="00EF79CB" w:rsidRDefault="00EF79CB">
            <w:pPr>
              <w:spacing w:line="288" w:lineRule="auto"/>
              <w:rPr>
                <w:rFonts w:ascii="Calibri" w:hAnsi="Calibri"/>
                <w:color w:val="000000"/>
                <w:szCs w:val="20"/>
              </w:rPr>
            </w:pPr>
            <w:r>
              <w:rPr>
                <w:rFonts w:ascii="Calibri" w:hAnsi="Calibri"/>
                <w:color w:val="000000"/>
                <w:szCs w:val="20"/>
              </w:rPr>
              <w:t>Robust standard errors in parentheses, *** p&lt;0.01, ** p&lt;0.05, * p&lt;0.1</w:t>
            </w:r>
          </w:p>
        </w:tc>
      </w:tr>
      <w:tr w:rsidR="00EF79CB" w:rsidTr="00460088">
        <w:trPr>
          <w:trHeight w:val="360"/>
        </w:trPr>
        <w:tc>
          <w:tcPr>
            <w:tcW w:w="5778" w:type="dxa"/>
            <w:noWrap/>
            <w:tcMar>
              <w:top w:w="15" w:type="dxa"/>
              <w:left w:w="15" w:type="dxa"/>
              <w:bottom w:w="0" w:type="dxa"/>
              <w:right w:w="15" w:type="dxa"/>
            </w:tcMar>
            <w:vAlign w:val="bottom"/>
            <w:hideMark/>
          </w:tcPr>
          <w:p w:rsidR="00EF79CB" w:rsidRDefault="00EF79CB">
            <w:pPr>
              <w:rPr>
                <w:rFonts w:ascii="Times New Roman" w:hAnsi="Times New Roman"/>
                <w:szCs w:val="20"/>
              </w:rPr>
            </w:pPr>
          </w:p>
        </w:tc>
        <w:tc>
          <w:tcPr>
            <w:tcW w:w="952" w:type="dxa"/>
            <w:noWrap/>
            <w:tcMar>
              <w:top w:w="15" w:type="dxa"/>
              <w:left w:w="15" w:type="dxa"/>
              <w:bottom w:w="0" w:type="dxa"/>
              <w:right w:w="15" w:type="dxa"/>
            </w:tcMar>
            <w:vAlign w:val="bottom"/>
            <w:hideMark/>
          </w:tcPr>
          <w:p w:rsidR="00EF79CB" w:rsidRDefault="00EF79CB">
            <w:pPr>
              <w:rPr>
                <w:rFonts w:ascii="Times New Roman" w:hAnsi="Times New Roman"/>
                <w:szCs w:val="20"/>
              </w:rPr>
            </w:pPr>
          </w:p>
        </w:tc>
        <w:tc>
          <w:tcPr>
            <w:tcW w:w="953" w:type="dxa"/>
            <w:noWrap/>
            <w:tcMar>
              <w:top w:w="15" w:type="dxa"/>
              <w:left w:w="15" w:type="dxa"/>
              <w:bottom w:w="0" w:type="dxa"/>
              <w:right w:w="15" w:type="dxa"/>
            </w:tcMar>
            <w:vAlign w:val="bottom"/>
            <w:hideMark/>
          </w:tcPr>
          <w:p w:rsidR="00EF79CB" w:rsidRDefault="00EF79CB">
            <w:pPr>
              <w:rPr>
                <w:rFonts w:ascii="Times New Roman" w:hAnsi="Times New Roman"/>
                <w:szCs w:val="20"/>
              </w:rPr>
            </w:pPr>
          </w:p>
        </w:tc>
        <w:tc>
          <w:tcPr>
            <w:tcW w:w="953" w:type="dxa"/>
            <w:noWrap/>
            <w:tcMar>
              <w:top w:w="15" w:type="dxa"/>
              <w:left w:w="15" w:type="dxa"/>
              <w:bottom w:w="0" w:type="dxa"/>
              <w:right w:w="15" w:type="dxa"/>
            </w:tcMar>
            <w:vAlign w:val="bottom"/>
            <w:hideMark/>
          </w:tcPr>
          <w:p w:rsidR="00EF79CB" w:rsidRDefault="00EF79CB">
            <w:pPr>
              <w:rPr>
                <w:rFonts w:ascii="Times New Roman" w:hAnsi="Times New Roman"/>
                <w:szCs w:val="20"/>
              </w:rPr>
            </w:pPr>
          </w:p>
        </w:tc>
        <w:tc>
          <w:tcPr>
            <w:tcW w:w="953" w:type="dxa"/>
            <w:noWrap/>
            <w:tcMar>
              <w:top w:w="15" w:type="dxa"/>
              <w:left w:w="15" w:type="dxa"/>
              <w:bottom w:w="0" w:type="dxa"/>
              <w:right w:w="15" w:type="dxa"/>
            </w:tcMar>
            <w:vAlign w:val="center"/>
            <w:hideMark/>
          </w:tcPr>
          <w:p w:rsidR="00EF79CB" w:rsidRDefault="00EF79CB">
            <w:pPr>
              <w:rPr>
                <w:rFonts w:ascii="Times New Roman" w:hAnsi="Times New Roman"/>
                <w:szCs w:val="20"/>
              </w:rPr>
            </w:pPr>
          </w:p>
        </w:tc>
      </w:tr>
    </w:tbl>
    <w:p w:rsidR="000755F4" w:rsidRDefault="000755F4" w:rsidP="000755F4">
      <w:pPr>
        <w:pStyle w:val="BodyText"/>
        <w:rPr>
          <w:rFonts w:ascii="Arial" w:hAnsi="Arial"/>
        </w:rPr>
      </w:pPr>
    </w:p>
    <w:p w:rsidR="00051BB0" w:rsidRDefault="000755F4" w:rsidP="000755F4">
      <w:pPr>
        <w:sectPr w:rsidR="00051BB0" w:rsidSect="003D6176">
          <w:headerReference w:type="even" r:id="rId139"/>
          <w:footerReference w:type="first" r:id="rId140"/>
          <w:pgSz w:w="11906" w:h="16838" w:code="9"/>
          <w:pgMar w:top="1985" w:right="1418" w:bottom="1418" w:left="1701" w:header="709" w:footer="709" w:gutter="0"/>
          <w:cols w:space="708"/>
          <w:titlePg/>
          <w:docGrid w:linePitch="360"/>
        </w:sectPr>
      </w:pPr>
      <w:r>
        <w:br w:type="page"/>
      </w:r>
    </w:p>
    <w:p w:rsidR="000755F4" w:rsidRDefault="00051BB0" w:rsidP="000755F4">
      <w:pPr>
        <w:pStyle w:val="Annexheading2"/>
      </w:pPr>
      <w:r>
        <w:rPr>
          <w:b w:val="0"/>
        </w:rPr>
        <w:t>Annex VII</w:t>
      </w:r>
      <w:r w:rsidR="000755F4">
        <w:rPr>
          <w:b w:val="0"/>
        </w:rPr>
        <w:t xml:space="preserve"> – Additional tables </w:t>
      </w:r>
      <w:r w:rsidR="00E010B3">
        <w:rPr>
          <w:b w:val="0"/>
        </w:rPr>
        <w:t xml:space="preserve">and information </w:t>
      </w:r>
      <w:r w:rsidR="000755F4">
        <w:rPr>
          <w:b w:val="0"/>
        </w:rPr>
        <w:t>Chapter Six</w:t>
      </w:r>
    </w:p>
    <w:p w:rsidR="005C7697" w:rsidRPr="00E84D24" w:rsidRDefault="005C7697" w:rsidP="005C7697">
      <w:pPr>
        <w:pStyle w:val="Caption"/>
        <w:spacing w:before="0" w:after="120" w:line="288" w:lineRule="auto"/>
        <w:rPr>
          <w:rFonts w:ascii="Verdana" w:hAnsi="Verdana"/>
          <w:b w:val="0"/>
          <w:i/>
          <w:color w:val="1F497D" w:themeColor="text2"/>
          <w:sz w:val="20"/>
        </w:rPr>
      </w:pPr>
      <w:r>
        <w:rPr>
          <w:rFonts w:ascii="Verdana" w:hAnsi="Verdana"/>
          <w:b w:val="0"/>
          <w:color w:val="1F497D" w:themeColor="text2"/>
          <w:sz w:val="20"/>
        </w:rPr>
        <w:t>Table A5</w:t>
      </w:r>
      <w:r w:rsidRPr="00E84D24">
        <w:rPr>
          <w:rFonts w:ascii="Verdana" w:hAnsi="Verdana"/>
          <w:b w:val="0"/>
          <w:color w:val="1F497D" w:themeColor="text2"/>
          <w:sz w:val="20"/>
        </w:rPr>
        <w:t xml:space="preserve"> Relative position of countries with regards to average scores in PISA and PIAAC, quintiles</w:t>
      </w:r>
    </w:p>
    <w:tbl>
      <w:tblPr>
        <w:tblW w:w="9072" w:type="dxa"/>
        <w:tblLayout w:type="fixed"/>
        <w:tblCellMar>
          <w:top w:w="28" w:type="dxa"/>
          <w:bottom w:w="28" w:type="dxa"/>
        </w:tblCellMar>
        <w:tblLook w:val="04A0" w:firstRow="1" w:lastRow="0" w:firstColumn="1" w:lastColumn="0" w:noHBand="0" w:noVBand="1"/>
      </w:tblPr>
      <w:tblGrid>
        <w:gridCol w:w="620"/>
        <w:gridCol w:w="1189"/>
        <w:gridCol w:w="1276"/>
        <w:gridCol w:w="1276"/>
        <w:gridCol w:w="1417"/>
        <w:gridCol w:w="1418"/>
        <w:gridCol w:w="1876"/>
      </w:tblGrid>
      <w:tr w:rsidR="00854CC6" w:rsidRPr="005C7697" w:rsidTr="00854CC6">
        <w:trPr>
          <w:trHeight w:hRule="exact" w:val="1345"/>
        </w:trPr>
        <w:tc>
          <w:tcPr>
            <w:tcW w:w="620" w:type="dxa"/>
            <w:tcBorders>
              <w:top w:val="nil"/>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854CC6">
            <w:pPr>
              <w:spacing w:after="120" w:line="288" w:lineRule="auto"/>
              <w:jc w:val="center"/>
              <w:rPr>
                <w:rFonts w:cs="Arial"/>
                <w:color w:val="000000"/>
                <w:sz w:val="22"/>
                <w:szCs w:val="20"/>
                <w:lang w:eastAsia="en-US"/>
              </w:rPr>
            </w:pPr>
          </w:p>
        </w:tc>
        <w:tc>
          <w:tcPr>
            <w:tcW w:w="1189" w:type="dxa"/>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5C7697" w:rsidRPr="005C7697" w:rsidRDefault="005C7697" w:rsidP="00854CC6">
            <w:pPr>
              <w:spacing w:after="120" w:line="288" w:lineRule="auto"/>
              <w:jc w:val="center"/>
              <w:rPr>
                <w:rFonts w:cs="Arial"/>
                <w:b/>
                <w:color w:val="000000"/>
                <w:sz w:val="22"/>
                <w:szCs w:val="20"/>
                <w:lang w:eastAsia="en-US"/>
              </w:rPr>
            </w:pPr>
            <w:r w:rsidRPr="005C7697">
              <w:rPr>
                <w:rFonts w:cs="Arial"/>
                <w:b/>
                <w:color w:val="000000"/>
                <w:szCs w:val="20"/>
              </w:rPr>
              <w:t>Reading age 15 (quint)</w:t>
            </w:r>
          </w:p>
        </w:tc>
        <w:tc>
          <w:tcPr>
            <w:tcW w:w="1276" w:type="dxa"/>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5C7697" w:rsidRPr="005C7697" w:rsidRDefault="005C7697" w:rsidP="00854CC6">
            <w:pPr>
              <w:spacing w:after="120" w:line="288" w:lineRule="auto"/>
              <w:jc w:val="center"/>
              <w:rPr>
                <w:rFonts w:cs="Arial"/>
                <w:b/>
                <w:color w:val="000000"/>
                <w:sz w:val="22"/>
                <w:szCs w:val="20"/>
                <w:lang w:eastAsia="en-US"/>
              </w:rPr>
            </w:pPr>
            <w:r w:rsidRPr="005C7697">
              <w:rPr>
                <w:rFonts w:cs="Arial"/>
                <w:b/>
                <w:color w:val="000000"/>
                <w:szCs w:val="20"/>
              </w:rPr>
              <w:t>Literacy age 27 (quint)</w:t>
            </w:r>
          </w:p>
        </w:tc>
        <w:tc>
          <w:tcPr>
            <w:tcW w:w="1276" w:type="dxa"/>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5C7697" w:rsidRPr="005C7697" w:rsidRDefault="005C7697" w:rsidP="00854CC6">
            <w:pPr>
              <w:spacing w:after="120" w:line="288" w:lineRule="auto"/>
              <w:jc w:val="center"/>
              <w:rPr>
                <w:rFonts w:cs="Arial"/>
                <w:b/>
                <w:color w:val="000000"/>
                <w:sz w:val="22"/>
                <w:szCs w:val="20"/>
                <w:lang w:eastAsia="en-US"/>
              </w:rPr>
            </w:pPr>
            <w:r w:rsidRPr="005C7697">
              <w:rPr>
                <w:rFonts w:cs="Arial"/>
                <w:b/>
                <w:color w:val="000000"/>
                <w:szCs w:val="20"/>
              </w:rPr>
              <w:t>Change over pseudo-cohorts</w:t>
            </w:r>
          </w:p>
        </w:tc>
        <w:tc>
          <w:tcPr>
            <w:tcW w:w="1417" w:type="dxa"/>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5C7697" w:rsidRPr="005C7697" w:rsidRDefault="005C7697" w:rsidP="00854CC6">
            <w:pPr>
              <w:spacing w:after="120" w:line="288" w:lineRule="auto"/>
              <w:jc w:val="center"/>
              <w:rPr>
                <w:rFonts w:cs="Arial"/>
                <w:b/>
                <w:color w:val="000000"/>
                <w:sz w:val="22"/>
                <w:szCs w:val="20"/>
                <w:lang w:eastAsia="en-US"/>
              </w:rPr>
            </w:pPr>
            <w:r w:rsidRPr="005C7697">
              <w:rPr>
                <w:rFonts w:cs="Arial"/>
                <w:b/>
                <w:color w:val="000000"/>
                <w:szCs w:val="20"/>
              </w:rPr>
              <w:t>Math age 15 (quint)</w:t>
            </w:r>
          </w:p>
        </w:tc>
        <w:tc>
          <w:tcPr>
            <w:tcW w:w="1418" w:type="dxa"/>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5C7697" w:rsidRPr="005C7697" w:rsidRDefault="005C7697" w:rsidP="00854CC6">
            <w:pPr>
              <w:spacing w:after="120" w:line="288" w:lineRule="auto"/>
              <w:jc w:val="center"/>
              <w:rPr>
                <w:rFonts w:cs="Arial"/>
                <w:b/>
                <w:color w:val="000000"/>
                <w:sz w:val="22"/>
                <w:szCs w:val="20"/>
                <w:lang w:eastAsia="en-US"/>
              </w:rPr>
            </w:pPr>
            <w:r w:rsidRPr="005C7697">
              <w:rPr>
                <w:rFonts w:cs="Arial"/>
                <w:b/>
                <w:color w:val="000000"/>
                <w:szCs w:val="20"/>
              </w:rPr>
              <w:t>Numeracy age 27 (quint)</w:t>
            </w:r>
          </w:p>
        </w:tc>
        <w:tc>
          <w:tcPr>
            <w:tcW w:w="1876" w:type="dxa"/>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5C7697" w:rsidRPr="005C7697" w:rsidRDefault="005C7697" w:rsidP="00854CC6">
            <w:pPr>
              <w:spacing w:after="120" w:line="288" w:lineRule="auto"/>
              <w:jc w:val="center"/>
              <w:rPr>
                <w:rFonts w:cs="Arial"/>
                <w:b/>
                <w:color w:val="000000"/>
                <w:sz w:val="22"/>
                <w:szCs w:val="20"/>
                <w:lang w:eastAsia="en-US"/>
              </w:rPr>
            </w:pPr>
            <w:r w:rsidRPr="005C7697">
              <w:rPr>
                <w:rFonts w:cs="Arial"/>
                <w:b/>
                <w:color w:val="000000"/>
                <w:szCs w:val="20"/>
              </w:rPr>
              <w:t>Change over pseudo-cohorts</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AT</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sz w:val="22"/>
                <w:szCs w:val="20"/>
                <w:lang w:eastAsia="en-US"/>
              </w:rPr>
            </w:pPr>
            <w:r w:rsidRPr="005C7697">
              <w:rPr>
                <w:rFonts w:cs="Arial"/>
                <w:color w:val="000000"/>
                <w:szCs w:val="20"/>
              </w:rPr>
              <w:t>3</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sz w:val="22"/>
                <w:szCs w:val="20"/>
                <w:lang w:eastAsia="en-US"/>
              </w:rPr>
            </w:pPr>
            <w:r w:rsidRPr="005C7697">
              <w:rPr>
                <w:rFonts w:cs="Arial"/>
                <w:color w:val="000000"/>
                <w:szCs w:val="20"/>
              </w:rPr>
              <w:t>3</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sz w:val="22"/>
                <w:szCs w:val="20"/>
                <w:lang w:eastAsia="en-US"/>
              </w:rPr>
            </w:pPr>
            <w:r w:rsidRPr="005C7697">
              <w:rPr>
                <w:rFonts w:cs="Arial"/>
                <w:color w:val="000000"/>
                <w:szCs w:val="20"/>
              </w:rPr>
              <w:t>0</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sz w:val="22"/>
                <w:szCs w:val="20"/>
                <w:lang w:eastAsia="en-US"/>
              </w:rPr>
            </w:pPr>
            <w:r w:rsidRPr="005C7697">
              <w:rPr>
                <w:rFonts w:cs="Arial"/>
                <w:color w:val="000000"/>
                <w:szCs w:val="20"/>
              </w:rPr>
              <w:t>3</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sz w:val="22"/>
                <w:szCs w:val="20"/>
                <w:lang w:eastAsia="en-US"/>
              </w:rPr>
            </w:pPr>
            <w:r w:rsidRPr="005C7697">
              <w:rPr>
                <w:rFonts w:cs="Arial"/>
                <w:color w:val="000000"/>
                <w:szCs w:val="20"/>
              </w:rPr>
              <w:t>4</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Cs w:val="20"/>
              </w:rPr>
            </w:pPr>
            <w:r w:rsidRPr="005C7697">
              <w:rPr>
                <w:rFonts w:cs="Arial"/>
                <w:b/>
                <w:color w:val="000000"/>
                <w:szCs w:val="20"/>
              </w:rPr>
              <w:t>BE</w:t>
            </w:r>
          </w:p>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(Flanders)</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CA</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CZ</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DE</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DK</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EN</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ES</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FI</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FR</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IR</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IT</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JP</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KR</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N IR</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NL</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NO</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4</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PL</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r w:rsidR="00854CC6" w:rsidRPr="005C7697"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SE</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3</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5</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r>
      <w:tr w:rsidR="00854CC6" w:rsidRPr="00065622" w:rsidTr="00854CC6">
        <w:trPr>
          <w:trHeight w:hRule="exact" w:val="297"/>
        </w:trPr>
        <w:tc>
          <w:tcPr>
            <w:tcW w:w="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5C7697" w:rsidRPr="005C7697" w:rsidRDefault="005C7697" w:rsidP="005C7697">
            <w:pPr>
              <w:spacing w:after="120" w:line="288" w:lineRule="auto"/>
              <w:rPr>
                <w:rFonts w:cs="Arial"/>
                <w:b/>
                <w:color w:val="000000"/>
                <w:sz w:val="22"/>
                <w:szCs w:val="20"/>
                <w:lang w:eastAsia="en-US"/>
              </w:rPr>
            </w:pPr>
            <w:r w:rsidRPr="005C7697">
              <w:rPr>
                <w:rFonts w:cs="Arial"/>
                <w:b/>
                <w:color w:val="000000"/>
                <w:szCs w:val="20"/>
              </w:rPr>
              <w:t>US</w:t>
            </w:r>
          </w:p>
        </w:tc>
        <w:tc>
          <w:tcPr>
            <w:tcW w:w="1189"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276"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2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0</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c>
          <w:tcPr>
            <w:tcW w:w="1876" w:type="dxa"/>
            <w:tcBorders>
              <w:top w:val="single" w:sz="4" w:space="0" w:color="auto"/>
              <w:left w:val="single" w:sz="4" w:space="0" w:color="auto"/>
              <w:bottom w:val="single" w:sz="4" w:space="0" w:color="auto"/>
              <w:right w:val="single" w:sz="4" w:space="0" w:color="auto"/>
            </w:tcBorders>
            <w:shd w:val="clear" w:color="auto" w:fill="B8CCE4" w:themeFill="accent1" w:themeFillTint="66"/>
            <w:noWrap/>
            <w:vAlign w:val="center"/>
            <w:hideMark/>
          </w:tcPr>
          <w:p w:rsidR="005C7697" w:rsidRPr="005C7697" w:rsidRDefault="005C7697" w:rsidP="005C7697">
            <w:pPr>
              <w:spacing w:after="120" w:line="288" w:lineRule="auto"/>
              <w:rPr>
                <w:rFonts w:cs="Arial"/>
                <w:color w:val="000000"/>
                <w:sz w:val="22"/>
                <w:szCs w:val="20"/>
                <w:lang w:eastAsia="en-US"/>
              </w:rPr>
            </w:pPr>
            <w:r w:rsidRPr="005C7697">
              <w:rPr>
                <w:rFonts w:cs="Arial"/>
                <w:color w:val="000000"/>
                <w:szCs w:val="20"/>
              </w:rPr>
              <w:t>-1</w:t>
            </w:r>
          </w:p>
        </w:tc>
      </w:tr>
    </w:tbl>
    <w:p w:rsidR="0057331B" w:rsidRDefault="005C7697" w:rsidP="005C7697">
      <w:pPr>
        <w:jc w:val="left"/>
        <w:rPr>
          <w:i/>
          <w:color w:val="1F497D" w:themeColor="text2"/>
          <w:sz w:val="16"/>
          <w:szCs w:val="16"/>
        </w:rPr>
      </w:pPr>
      <w:r w:rsidRPr="005C7697">
        <w:rPr>
          <w:i/>
          <w:color w:val="1F497D" w:themeColor="text2"/>
          <w:sz w:val="16"/>
          <w:szCs w:val="16"/>
        </w:rPr>
        <w:t>Notes: own analysis based on PISA and PIAAC data</w:t>
      </w:r>
    </w:p>
    <w:p w:rsidR="0057331B" w:rsidRDefault="0057331B" w:rsidP="005C7697">
      <w:pPr>
        <w:jc w:val="left"/>
        <w:rPr>
          <w:b/>
          <w:color w:val="1F497D" w:themeColor="text2"/>
        </w:rPr>
        <w:sectPr w:rsidR="0057331B" w:rsidSect="0057331B">
          <w:pgSz w:w="11906" w:h="16838" w:code="9"/>
          <w:pgMar w:top="1418" w:right="1418" w:bottom="1701" w:left="1985" w:header="709" w:footer="709" w:gutter="0"/>
          <w:cols w:space="708"/>
          <w:titlePg/>
          <w:docGrid w:linePitch="360"/>
        </w:sectPr>
      </w:pPr>
    </w:p>
    <w:p w:rsidR="005C7697" w:rsidRPr="005C7697" w:rsidRDefault="00394EBA" w:rsidP="005C7697">
      <w:pPr>
        <w:jc w:val="left"/>
        <w:rPr>
          <w:color w:val="1F497D" w:themeColor="text2"/>
        </w:rPr>
      </w:pPr>
      <w:r w:rsidRPr="00394EBA">
        <w:rPr>
          <w:bCs/>
          <w:noProof/>
          <w:color w:val="1F497D" w:themeColor="text2"/>
          <w:lang w:val="en-US" w:eastAsia="en-US"/>
        </w:rPr>
        <mc:AlternateContent>
          <mc:Choice Requires="wps">
            <w:drawing>
              <wp:anchor distT="0" distB="0" distL="114300" distR="114300" simplePos="0" relativeHeight="251680768" behindDoc="0" locked="0" layoutInCell="1" allowOverlap="1" wp14:anchorId="52863678" wp14:editId="01E48100">
                <wp:simplePos x="0" y="0"/>
                <wp:positionH relativeFrom="column">
                  <wp:posOffset>8147368</wp:posOffset>
                </wp:positionH>
                <wp:positionV relativeFrom="paragraph">
                  <wp:posOffset>-94488</wp:posOffset>
                </wp:positionV>
                <wp:extent cx="1637451" cy="239396"/>
                <wp:effectExtent l="0" t="6033" r="0" b="0"/>
                <wp:wrapNone/>
                <wp:docPr id="6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637451" cy="239396"/>
                        </a:xfrm>
                        <a:prstGeom prst="rect">
                          <a:avLst/>
                        </a:prstGeom>
                        <a:solidFill>
                          <a:srgbClr val="FFFFFF"/>
                        </a:solidFill>
                        <a:ln w="9525">
                          <a:noFill/>
                          <a:miter lim="800000"/>
                          <a:headEnd/>
                          <a:tailEnd/>
                        </a:ln>
                      </wps:spPr>
                      <wps:txbx>
                        <w:txbxContent>
                          <w:p w:rsidR="00394EBA" w:rsidRPr="00394EBA" w:rsidRDefault="00394EBA" w:rsidP="00394EBA">
                            <w:pPr>
                              <w:jc w:val="right"/>
                              <w:rPr>
                                <w:i/>
                                <w:sz w:val="18"/>
                                <w:szCs w:val="18"/>
                              </w:rPr>
                            </w:pPr>
                            <w:r w:rsidRPr="00394EBA">
                              <w:rPr>
                                <w:i/>
                                <w:sz w:val="18"/>
                                <w:szCs w:val="18"/>
                              </w:rPr>
                              <w:t>A41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863678" id="_x0000_s1058" type="#_x0000_t202" style="position:absolute;margin-left:641.55pt;margin-top:-7.45pt;width:128.95pt;height:18.85pt;rotation:-9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" stroked="f">
                <v:textbox>
                  <w:txbxContent>
                    <w:p w:rsidR="00394EBA" w:rsidRPr="00394EBA" w:rsidRDefault="00394EBA" w:rsidP="00394EBA">
                      <w:pPr>
                        <w:jc w:val="right"/>
                        <w:rPr>
                          <w:i/>
                          <w:sz w:val="18"/>
                          <w:szCs w:val="18"/>
                        </w:rPr>
                      </w:pPr>
                      <w:r w:rsidRPr="00394EBA">
                        <w:rPr>
                          <w:i/>
                          <w:sz w:val="18"/>
                          <w:szCs w:val="18"/>
                        </w:rPr>
                        <w:t>A41</w:t>
                      </w:r>
                    </w:p>
                  </w:txbxContent>
                </v:textbox>
              </v:shape>
            </w:pict>
          </mc:Fallback>
        </mc:AlternateContent>
      </w:r>
      <w:r w:rsidR="00000000">
        <w:rPr>
          <w:noProof/>
        </w:rPr>
        <w:object w:dxaOrig="1440" w:dyaOrig="1440">
          <v:shape id="_x0000_s2055" type="#_x0000_t75" style="position:absolute;margin-left:-61.85pt;margin-top:-60.7pt;width:47.7pt;height:425.45pt;z-index:-251637760;mso-position-horizontal-relative:text;mso-position-vertical-relative:text">
            <v:imagedata r:id="rId141" o:title=""/>
          </v:shape>
          <o:OLEObject Type="Embed" ProgID="Visio.Drawing.11" ShapeID="_x0000_s2055" DrawAspect="Content" ObjectID="_1802864919" r:id="rId142"/>
        </w:object>
      </w:r>
      <w:r w:rsidR="000755F4" w:rsidRPr="005C7697">
        <w:rPr>
          <w:color w:val="1F497D" w:themeColor="text2"/>
        </w:rPr>
        <w:t>Table A</w:t>
      </w:r>
      <w:r w:rsidR="005C7697" w:rsidRPr="005C7697">
        <w:rPr>
          <w:color w:val="1F497D" w:themeColor="text2"/>
        </w:rPr>
        <w:t>6</w:t>
      </w:r>
      <w:r w:rsidR="000755F4" w:rsidRPr="005C7697">
        <w:rPr>
          <w:color w:val="1F497D" w:themeColor="text2"/>
        </w:rPr>
        <w:t xml:space="preserve"> Tested country level variables</w:t>
      </w:r>
      <w:r w:rsidR="005C7697">
        <w:rPr>
          <w:color w:val="1F497D" w:themeColor="text2"/>
        </w:rPr>
        <w:t xml:space="preserve"> in the multi-level analysis</w:t>
      </w:r>
      <w:r w:rsidR="000755F4" w:rsidRPr="005C7697">
        <w:rPr>
          <w:color w:val="1F497D" w:themeColor="text2"/>
        </w:rPr>
        <w:t>, detailed sources, significance</w:t>
      </w:r>
    </w:p>
    <w:p w:rsidR="00051BB0" w:rsidRDefault="00051BB0" w:rsidP="00051BB0">
      <w:pPr>
        <w:pStyle w:val="Caption"/>
        <w:rPr>
          <w:bCs w:val="0"/>
          <w:color w:val="1F497D" w:themeColor="text2"/>
        </w:rPr>
      </w:pPr>
    </w:p>
    <w:p w:rsidR="005C7697" w:rsidRPr="00394EBA" w:rsidRDefault="0057331B">
      <w:pPr>
        <w:jc w:val="left"/>
        <w:rPr>
          <w:bCs/>
          <w:i/>
          <w:color w:val="1F497D" w:themeColor="text2"/>
          <w:szCs w:val="20"/>
          <w:lang w:eastAsia="en-US"/>
        </w:rPr>
      </w:pPr>
      <w:r w:rsidRPr="00394EBA">
        <w:rPr>
          <w:i/>
          <w:noProof/>
          <w:lang w:val="en-US" w:eastAsia="en-US"/>
        </w:rPr>
        <w:drawing>
          <wp:anchor distT="0" distB="0" distL="114300" distR="114300" simplePos="0" relativeHeight="251676672" behindDoc="1" locked="0" layoutInCell="1" allowOverlap="1" wp14:anchorId="56BAD8FE" wp14:editId="59236329">
            <wp:simplePos x="0" y="0"/>
            <wp:positionH relativeFrom="page">
              <wp:posOffset>1068779</wp:posOffset>
            </wp:positionH>
            <wp:positionV relativeFrom="page">
              <wp:posOffset>1852551</wp:posOffset>
            </wp:positionV>
            <wp:extent cx="8628702" cy="4892633"/>
            <wp:effectExtent l="19050" t="19050" r="20320" b="22860"/>
            <wp:wrapNone/>
            <wp:docPr id="6169" name="Picture 6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8647150" cy="4903093"/>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5C7697" w:rsidRPr="00394EBA">
        <w:rPr>
          <w:b/>
          <w:i/>
          <w:color w:val="1F497D" w:themeColor="text2"/>
        </w:rPr>
        <w:br w:type="page"/>
      </w:r>
    </w:p>
    <w:p w:rsidR="005C7697" w:rsidRDefault="00394EBA">
      <w:pPr>
        <w:jc w:val="left"/>
        <w:rPr>
          <w:bCs/>
          <w:color w:val="1F497D" w:themeColor="text2"/>
          <w:szCs w:val="20"/>
          <w:lang w:eastAsia="en-US"/>
        </w:rPr>
      </w:pPr>
      <w:r w:rsidRPr="00394EBA">
        <w:rPr>
          <w:bCs/>
          <w:noProof/>
          <w:color w:val="1F497D" w:themeColor="text2"/>
          <w:lang w:val="en-US" w:eastAsia="en-US"/>
        </w:rPr>
        <mc:AlternateContent>
          <mc:Choice Requires="wps">
            <w:drawing>
              <wp:anchor distT="0" distB="0" distL="114300" distR="114300" simplePos="0" relativeHeight="251684864" behindDoc="0" locked="0" layoutInCell="1" allowOverlap="1" wp14:anchorId="33FD2042" wp14:editId="10CB4F22">
                <wp:simplePos x="0" y="0"/>
                <wp:positionH relativeFrom="column">
                  <wp:posOffset>8262997</wp:posOffset>
                </wp:positionH>
                <wp:positionV relativeFrom="paragraph">
                  <wp:posOffset>5009527</wp:posOffset>
                </wp:positionV>
                <wp:extent cx="1637030" cy="239395"/>
                <wp:effectExtent l="0" t="6033" r="0" b="0"/>
                <wp:wrapNone/>
                <wp:docPr id="6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637030" cy="239395"/>
                        </a:xfrm>
                        <a:prstGeom prst="rect">
                          <a:avLst/>
                        </a:prstGeom>
                        <a:solidFill>
                          <a:srgbClr val="FFFFFF"/>
                        </a:solidFill>
                        <a:ln w="9525">
                          <a:noFill/>
                          <a:miter lim="800000"/>
                          <a:headEnd/>
                          <a:tailEnd/>
                        </a:ln>
                      </wps:spPr>
                      <wps:txbx>
                        <w:txbxContent>
                          <w:p w:rsidR="00394EBA" w:rsidRPr="00394EBA" w:rsidRDefault="00394EBA" w:rsidP="00394EBA">
                            <w:pPr>
                              <w:jc w:val="left"/>
                              <w:rPr>
                                <w:i/>
                                <w:sz w:val="18"/>
                                <w:szCs w:val="18"/>
                              </w:rPr>
                            </w:pPr>
                            <w:r w:rsidRPr="00394EBA">
                              <w:rPr>
                                <w:i/>
                                <w:sz w:val="18"/>
                                <w:szCs w:val="18"/>
                              </w:rPr>
                              <w:t>A</w:t>
                            </w:r>
                            <w:r>
                              <w:rPr>
                                <w:i/>
                                <w:sz w:val="18"/>
                                <w:szCs w:val="18"/>
                              </w:rPr>
                              <w:t>42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FD2042" id="_x0000_s1059" type="#_x0000_t202" style="position:absolute;margin-left:650.65pt;margin-top:394.45pt;width:128.9pt;height:18.85pt;rotation:-9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" stroked="f">
                <v:textbox>
                  <w:txbxContent>
                    <w:p w:rsidR="00394EBA" w:rsidRPr="00394EBA" w:rsidRDefault="00394EBA" w:rsidP="00394EBA">
                      <w:pPr>
                        <w:jc w:val="left"/>
                        <w:rPr>
                          <w:i/>
                          <w:sz w:val="18"/>
                          <w:szCs w:val="18"/>
                        </w:rPr>
                      </w:pPr>
                      <w:r w:rsidRPr="00394EBA">
                        <w:rPr>
                          <w:i/>
                          <w:sz w:val="18"/>
                          <w:szCs w:val="18"/>
                        </w:rPr>
                        <w:t>A</w:t>
                      </w:r>
                      <w:r>
                        <w:rPr>
                          <w:i/>
                          <w:sz w:val="18"/>
                          <w:szCs w:val="18"/>
                        </w:rPr>
                        <w:t>42</w:t>
                      </w:r>
                    </w:p>
                  </w:txbxContent>
                </v:textbox>
              </v:shape>
            </w:pict>
          </mc:Fallback>
        </mc:AlternateContent>
      </w:r>
      <w:r w:rsidR="00000000">
        <w:rPr>
          <w:noProof/>
        </w:rPr>
        <w:object w:dxaOrig="1440" w:dyaOrig="1440">
          <v:shape id="_x0000_s2056" type="#_x0000_t75" style="position:absolute;margin-left:-60.8pt;margin-top:30.15pt;width:47.7pt;height:425.45pt;z-index:-251633664;mso-position-horizontal-relative:text;mso-position-vertical-relative:text">
            <v:imagedata r:id="rId144" o:title=""/>
          </v:shape>
          <o:OLEObject Type="Embed" ProgID="Visio.Drawing.11" ShapeID="_x0000_s2056" DrawAspect="Content" ObjectID="_1802864920" r:id="rId145"/>
        </w:object>
      </w:r>
      <w:r w:rsidR="005C7697" w:rsidRPr="005C7697">
        <w:rPr>
          <w:noProof/>
          <w:lang w:val="en-US" w:eastAsia="en-US"/>
        </w:rPr>
        <w:drawing>
          <wp:inline distT="0" distB="0" distL="0" distR="0" wp14:anchorId="270E5963" wp14:editId="6C87E22F">
            <wp:extent cx="8531225" cy="5370868"/>
            <wp:effectExtent l="0" t="0" r="3175" b="1270"/>
            <wp:docPr id="6172" name="Picture 6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8531225" cy="5370868"/>
                    </a:xfrm>
                    <a:prstGeom prst="rect">
                      <a:avLst/>
                    </a:prstGeom>
                    <a:noFill/>
                    <a:ln>
                      <a:noFill/>
                    </a:ln>
                  </pic:spPr>
                </pic:pic>
              </a:graphicData>
            </a:graphic>
          </wp:inline>
        </w:drawing>
      </w:r>
    </w:p>
    <w:p w:rsidR="005C7697" w:rsidRDefault="005C7697" w:rsidP="005C7697">
      <w:pPr>
        <w:pStyle w:val="BodyText"/>
        <w:rPr>
          <w:lang w:eastAsia="en-US"/>
        </w:rPr>
      </w:pPr>
      <w:r>
        <w:rPr>
          <w:lang w:eastAsia="en-US"/>
        </w:rPr>
        <w:br w:type="page"/>
      </w:r>
      <w:r w:rsidRPr="005C7697">
        <w:rPr>
          <w:noProof/>
          <w:lang w:val="en-US" w:eastAsia="en-US"/>
        </w:rPr>
        <w:drawing>
          <wp:inline distT="0" distB="0" distL="0" distR="0" wp14:anchorId="070755FA" wp14:editId="3F7A1018">
            <wp:extent cx="8531225" cy="2118202"/>
            <wp:effectExtent l="0" t="0" r="3175" b="0"/>
            <wp:docPr id="6173" name="Picture 6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8531225" cy="2118202"/>
                    </a:xfrm>
                    <a:prstGeom prst="rect">
                      <a:avLst/>
                    </a:prstGeom>
                    <a:noFill/>
                    <a:ln>
                      <a:noFill/>
                    </a:ln>
                  </pic:spPr>
                </pic:pic>
              </a:graphicData>
            </a:graphic>
          </wp:inline>
        </w:drawing>
      </w:r>
    </w:p>
    <w:p w:rsidR="005C7697" w:rsidRDefault="007B11CB">
      <w:pPr>
        <w:jc w:val="left"/>
        <w:rPr>
          <w:bCs/>
          <w:color w:val="1F497D" w:themeColor="text2"/>
          <w:szCs w:val="20"/>
          <w:lang w:eastAsia="en-US"/>
        </w:rPr>
      </w:pPr>
      <w:r w:rsidRPr="00394EBA">
        <w:rPr>
          <w:bCs/>
          <w:noProof/>
          <w:color w:val="1F497D" w:themeColor="text2"/>
          <w:lang w:val="en-US" w:eastAsia="en-US"/>
        </w:rPr>
        <mc:AlternateContent>
          <mc:Choice Requires="wps">
            <w:drawing>
              <wp:anchor distT="0" distB="0" distL="114300" distR="114300" simplePos="0" relativeHeight="251687936" behindDoc="0" locked="0" layoutInCell="1" allowOverlap="1" wp14:anchorId="19A8B1EC" wp14:editId="77BE7104">
                <wp:simplePos x="0" y="0"/>
                <wp:positionH relativeFrom="column">
                  <wp:posOffset>8310753</wp:posOffset>
                </wp:positionH>
                <wp:positionV relativeFrom="paragraph">
                  <wp:posOffset>-2288858</wp:posOffset>
                </wp:positionV>
                <wp:extent cx="1637030" cy="239395"/>
                <wp:effectExtent l="0" t="6033" r="0" b="0"/>
                <wp:wrapNone/>
                <wp:docPr id="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637030" cy="239395"/>
                        </a:xfrm>
                        <a:prstGeom prst="rect">
                          <a:avLst/>
                        </a:prstGeom>
                        <a:solidFill>
                          <a:srgbClr val="FFFFFF"/>
                        </a:solidFill>
                        <a:ln w="9525">
                          <a:noFill/>
                          <a:miter lim="800000"/>
                          <a:headEnd/>
                          <a:tailEnd/>
                        </a:ln>
                      </wps:spPr>
                      <wps:txbx>
                        <w:txbxContent>
                          <w:p w:rsidR="007B11CB" w:rsidRPr="00394EBA" w:rsidRDefault="007B11CB" w:rsidP="007B11CB">
                            <w:pPr>
                              <w:jc w:val="right"/>
                              <w:rPr>
                                <w:i/>
                                <w:sz w:val="18"/>
                                <w:szCs w:val="18"/>
                              </w:rPr>
                            </w:pPr>
                            <w:r>
                              <w:rPr>
                                <w:i/>
                                <w:sz w:val="18"/>
                                <w:szCs w:val="18"/>
                              </w:rPr>
                              <w:t>A43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A8B1EC" id="_x0000_s1060" type="#_x0000_t202" style="position:absolute;margin-left:654.4pt;margin-top:-180.25pt;width:128.9pt;height:18.85pt;rotation:-9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" stroked="f">
                <v:textbox>
                  <w:txbxContent>
                    <w:p w:rsidR="007B11CB" w:rsidRPr="00394EBA" w:rsidRDefault="007B11CB" w:rsidP="007B11CB">
                      <w:pPr>
                        <w:jc w:val="right"/>
                        <w:rPr>
                          <w:i/>
                          <w:sz w:val="18"/>
                          <w:szCs w:val="18"/>
                        </w:rPr>
                      </w:pPr>
                      <w:r>
                        <w:rPr>
                          <w:i/>
                          <w:sz w:val="18"/>
                          <w:szCs w:val="18"/>
                        </w:rPr>
                        <w:t>A43</w:t>
                      </w:r>
                    </w:p>
                  </w:txbxContent>
                </v:textbox>
              </v:shape>
            </w:pict>
          </mc:Fallback>
        </mc:AlternateContent>
      </w:r>
      <w:r w:rsidR="00000000">
        <w:rPr>
          <w:b/>
          <w:noProof/>
        </w:rPr>
        <w:object w:dxaOrig="1440" w:dyaOrig="1440">
          <v:shape id="_x0000_s2057" type="#_x0000_t75" style="position:absolute;margin-left:-64.8pt;margin-top:-242.05pt;width:47.7pt;height:425.45pt;z-index:-251630592;mso-position-horizontal-relative:text;mso-position-vertical-relative:text">
            <v:imagedata r:id="rId141" o:title=""/>
          </v:shape>
          <o:OLEObject Type="Embed" ProgID="Visio.Drawing.11" ShapeID="_x0000_s2057" DrawAspect="Content" ObjectID="_1802864921" r:id="rId148"/>
        </w:object>
      </w:r>
    </w:p>
    <w:p w:rsidR="005C7697" w:rsidRDefault="005C7697" w:rsidP="005C7697">
      <w:pPr>
        <w:jc w:val="left"/>
        <w:rPr>
          <w:b/>
        </w:rPr>
        <w:sectPr w:rsidR="005C7697" w:rsidSect="0057331B">
          <w:headerReference w:type="even" r:id="rId149"/>
          <w:headerReference w:type="default" r:id="rId150"/>
          <w:footerReference w:type="even" r:id="rId151"/>
          <w:footerReference w:type="default" r:id="rId152"/>
          <w:headerReference w:type="first" r:id="rId153"/>
          <w:footerReference w:type="first" r:id="rId154"/>
          <w:pgSz w:w="16838" w:h="11906" w:orient="landscape" w:code="9"/>
          <w:pgMar w:top="1985" w:right="1418" w:bottom="1418" w:left="1701" w:header="709" w:footer="709" w:gutter="0"/>
          <w:cols w:space="708"/>
          <w:titlePg/>
          <w:docGrid w:linePitch="360"/>
        </w:sectPr>
      </w:pPr>
      <w:r>
        <w:rPr>
          <w:b/>
        </w:rPr>
        <w:br w:type="page"/>
      </w:r>
    </w:p>
    <w:p w:rsidR="00F90C88" w:rsidRPr="00F90C88" w:rsidRDefault="00F90C88" w:rsidP="003A6B85">
      <w:pPr>
        <w:pStyle w:val="BodyText"/>
        <w:spacing w:line="288" w:lineRule="auto"/>
        <w:rPr>
          <w:b/>
          <w:color w:val="1F497D" w:themeColor="text2"/>
          <w:sz w:val="24"/>
        </w:rPr>
      </w:pPr>
      <w:r w:rsidRPr="00F90C88">
        <w:rPr>
          <w:b/>
          <w:color w:val="1F497D" w:themeColor="text2"/>
          <w:sz w:val="24"/>
        </w:rPr>
        <w:t>Further notes on the multi-level analysis</w:t>
      </w:r>
    </w:p>
    <w:p w:rsidR="003A6B85" w:rsidRPr="00761101" w:rsidRDefault="003A6B85" w:rsidP="003A6B85">
      <w:pPr>
        <w:pStyle w:val="BodyText"/>
        <w:spacing w:line="288" w:lineRule="auto"/>
      </w:pPr>
      <w:r w:rsidRPr="00761101">
        <w:t xml:space="preserve">As highlighted in Chapter Five of the report, the theoretical model suggests country-specific effects of qualification levels on educational outcomes. PIAAC contains data on individuals nested within country contexts, i.e. clusters. The standard regression model assumes that individuals are independent from each other and that the regression residuals are independent from each other. This assumption is not fulfilled when individuals are clustered in country contexts. The key challenge to model relationships in this setting appropriately revolves around how to model outcome differences between and within clusters (Bryan and Jenkins 2013:2). </w:t>
      </w:r>
    </w:p>
    <w:p w:rsidR="003A6B85" w:rsidRPr="00761101" w:rsidRDefault="003A6B85" w:rsidP="003A6B85">
      <w:pPr>
        <w:pStyle w:val="BodyText"/>
        <w:spacing w:line="288" w:lineRule="auto"/>
      </w:pPr>
      <w:r w:rsidRPr="00761101">
        <w:t>There is a vivid debate on how best to model relationships of interest in this context, both amongst econometricians (who discuss this issue in the context of panel data methods) and social scientists (who discuss this issue in the context of multilevel methods). The feasibility of different specifications crucially depends on the structure of the data, e.g. if sampling weights have to be applied as in this case, the number of ‘missing values’ in different categories and the number of variables to be included in the model.</w:t>
      </w:r>
    </w:p>
    <w:p w:rsidR="003A6B85" w:rsidRPr="00761101" w:rsidRDefault="003A6B85" w:rsidP="003A6B85">
      <w:pPr>
        <w:pStyle w:val="BodyText"/>
        <w:spacing w:line="288" w:lineRule="auto"/>
      </w:pPr>
      <w:r w:rsidRPr="00761101">
        <w:t xml:space="preserve">In the context of this report, we ran a set of different fixed-effect and random-effects models. Under fixed-effects models, we understand models in which only the intercept of the regression varies across countries, but not the slope of the regression. Under random-effects, we understand models in which both the intercept of the regression and the slope varies between countries. It is important that we do not mean random effects, as frequently defined in panel data methodology, as effects, which assumed that the residuals are not correlated with the predictor variables, as this is theoretically and empirically unlikely to be the case here. </w:t>
      </w:r>
    </w:p>
    <w:p w:rsidR="003A6B85" w:rsidRPr="00761101" w:rsidRDefault="003A6B85" w:rsidP="003A6B85">
      <w:pPr>
        <w:pStyle w:val="BodyText"/>
        <w:spacing w:line="288" w:lineRule="auto"/>
      </w:pPr>
      <w:r w:rsidRPr="00761101">
        <w:t>Both models are applied in settings in which individuals are nested in countries, with the difference that the random-effects approach aims to explain country level variation, while the fixed-effects approach controls for this variation. Random-effects models are in principle the preferred model for nested data, as they allow investigating if the level of the effect and the strength of an effect varies across countries. However, RE models have limited explanatory power when there is only a small number of macro level units, i.e. countries, (&lt;25), as is the case in the PIAAC survey. This implies that these models have few degrees of freedom, i.e. one can only control for a limited set of macro-level indicators, e.g. school system characteristics at one time, which may cause biases. FEA can be used even with a small number of cases and is able to control for country level characteristics by including dummy variables and interaction effects.</w:t>
      </w:r>
      <w:r w:rsidRPr="00761101">
        <w:rPr>
          <w:rStyle w:val="FootnoteReference"/>
        </w:rPr>
        <w:footnoteReference w:id="34"/>
      </w:r>
    </w:p>
    <w:p w:rsidR="003A6B85" w:rsidRPr="003A6B85" w:rsidRDefault="003A6B85" w:rsidP="003A6B85">
      <w:pPr>
        <w:pStyle w:val="BodyText"/>
        <w:spacing w:line="288" w:lineRule="auto"/>
      </w:pPr>
      <w:r w:rsidRPr="00761101">
        <w:t xml:space="preserve">Our final specification for both the FE and RE models of which results are presented in this report was an OLS regression, with robust standard errors by country clusters. This option was selected as it can include the sample weights, worked well </w:t>
      </w:r>
      <w:r w:rsidRPr="003A6B85">
        <w:t>computationally and seemed to generate reasonable results. Additionally, we tested the following models, which we found to be less fruitful for our analysis:</w:t>
      </w:r>
    </w:p>
    <w:p w:rsidR="003A6B85" w:rsidRPr="003A6B85" w:rsidRDefault="003A6B85" w:rsidP="00F90C88">
      <w:pPr>
        <w:pStyle w:val="Heading2"/>
        <w:numPr>
          <w:ilvl w:val="0"/>
          <w:numId w:val="52"/>
        </w:numPr>
        <w:spacing w:before="0" w:after="120" w:line="288" w:lineRule="auto"/>
        <w:rPr>
          <w:rFonts w:cs="Times New Roman"/>
          <w:b w:val="0"/>
          <w:bCs w:val="0"/>
          <w:iCs w:val="0"/>
          <w:color w:val="333333"/>
          <w:sz w:val="20"/>
          <w:szCs w:val="24"/>
        </w:rPr>
      </w:pPr>
      <w:bookmarkStart w:id="422" w:name="_Toc432873791"/>
      <w:bookmarkStart w:id="423" w:name="_Toc435620200"/>
      <w:bookmarkStart w:id="424" w:name="_Toc435802134"/>
      <w:r w:rsidRPr="003A6B85">
        <w:rPr>
          <w:rFonts w:cs="Times New Roman"/>
          <w:b w:val="0"/>
          <w:bCs w:val="0"/>
          <w:iCs w:val="0"/>
          <w:color w:val="333333"/>
          <w:sz w:val="20"/>
          <w:szCs w:val="24"/>
        </w:rPr>
        <w:t>Mixed multilevel models (STATA: xtmixed), which make use of maximum likelihood estimation, are powerful and robust. This worked well, however led to large standard errors and it was not possible to include the design weights of PIAAC in the specification.</w:t>
      </w:r>
      <w:bookmarkEnd w:id="422"/>
      <w:bookmarkEnd w:id="423"/>
      <w:bookmarkEnd w:id="424"/>
    </w:p>
    <w:p w:rsidR="003A6B85" w:rsidRPr="003A6B85" w:rsidRDefault="003A6B85" w:rsidP="00F90C88">
      <w:pPr>
        <w:pStyle w:val="Heading2"/>
        <w:numPr>
          <w:ilvl w:val="0"/>
          <w:numId w:val="52"/>
        </w:numPr>
        <w:spacing w:before="0" w:after="120" w:line="288" w:lineRule="auto"/>
        <w:rPr>
          <w:rFonts w:cs="Times New Roman"/>
          <w:b w:val="0"/>
          <w:bCs w:val="0"/>
          <w:iCs w:val="0"/>
          <w:color w:val="333333"/>
          <w:sz w:val="20"/>
          <w:szCs w:val="24"/>
        </w:rPr>
      </w:pPr>
      <w:bookmarkStart w:id="425" w:name="_Toc432873792"/>
      <w:bookmarkStart w:id="426" w:name="_Toc435620201"/>
      <w:bookmarkStart w:id="427" w:name="_Toc435802135"/>
      <w:r w:rsidRPr="003A6B85">
        <w:rPr>
          <w:rFonts w:cs="Times New Roman"/>
          <w:b w:val="0"/>
          <w:bCs w:val="0"/>
          <w:iCs w:val="0"/>
          <w:color w:val="333333"/>
          <w:sz w:val="20"/>
          <w:szCs w:val="24"/>
        </w:rPr>
        <w:t>Fixed-effects panel data models (STATA: xtreg, fe), which again could not be modelled with the necessary design weights.</w:t>
      </w:r>
      <w:bookmarkEnd w:id="425"/>
      <w:bookmarkEnd w:id="426"/>
      <w:bookmarkEnd w:id="427"/>
    </w:p>
    <w:p w:rsidR="003A6B85" w:rsidRPr="003A6B85" w:rsidRDefault="003A6B85" w:rsidP="00F90C88">
      <w:pPr>
        <w:pStyle w:val="Heading2"/>
        <w:numPr>
          <w:ilvl w:val="0"/>
          <w:numId w:val="52"/>
        </w:numPr>
        <w:spacing w:before="0" w:after="120" w:line="288" w:lineRule="auto"/>
        <w:rPr>
          <w:rFonts w:cs="Times New Roman"/>
          <w:b w:val="0"/>
          <w:bCs w:val="0"/>
          <w:iCs w:val="0"/>
          <w:color w:val="333333"/>
          <w:sz w:val="20"/>
          <w:szCs w:val="24"/>
        </w:rPr>
      </w:pPr>
      <w:bookmarkStart w:id="428" w:name="_Toc432873793"/>
      <w:bookmarkStart w:id="429" w:name="_Toc435620202"/>
      <w:bookmarkStart w:id="430" w:name="_Toc435802136"/>
      <w:r w:rsidRPr="003A6B85">
        <w:rPr>
          <w:rFonts w:cs="Times New Roman"/>
          <w:b w:val="0"/>
          <w:bCs w:val="0"/>
          <w:iCs w:val="0"/>
          <w:color w:val="333333"/>
          <w:sz w:val="20"/>
          <w:szCs w:val="24"/>
        </w:rPr>
        <w:t>Generalized Linear Latent and Mixed Models (GLLAMMS) (STATA: gllamm), which is a class of multilevel latent variable models. These have the advantage that weights could be used, but this option was computationally too intensive when more than 3 to 4 variables (as the case in our model) were included.</w:t>
      </w:r>
      <w:bookmarkEnd w:id="428"/>
      <w:bookmarkEnd w:id="429"/>
      <w:bookmarkEnd w:id="430"/>
    </w:p>
    <w:p w:rsidR="003A6B85" w:rsidRPr="003A6B85" w:rsidRDefault="003A6B85" w:rsidP="003A6B85">
      <w:pPr>
        <w:pStyle w:val="BodyText"/>
        <w:spacing w:line="288" w:lineRule="auto"/>
      </w:pPr>
      <w:r w:rsidRPr="003A6B85">
        <w:t xml:space="preserve">Results obtained through different specifications were not substantially different from those presented in this </w:t>
      </w:r>
      <w:r w:rsidR="00F90C88">
        <w:t>report.</w:t>
      </w:r>
      <w:r w:rsidRPr="003A6B85">
        <w:t xml:space="preserve"> </w:t>
      </w:r>
    </w:p>
    <w:p w:rsidR="005C3A30" w:rsidRDefault="005C3A30" w:rsidP="003A6B85">
      <w:pPr>
        <w:spacing w:after="120" w:line="288" w:lineRule="auto"/>
      </w:pPr>
    </w:p>
    <w:p w:rsidR="005C3A30" w:rsidRDefault="005C3A30" w:rsidP="000E4E30">
      <w:pPr>
        <w:spacing w:after="120" w:line="288" w:lineRule="auto"/>
        <w:sectPr w:rsidR="005C3A30" w:rsidSect="00F2695A">
          <w:headerReference w:type="even" r:id="rId155"/>
          <w:headerReference w:type="default" r:id="rId156"/>
          <w:footerReference w:type="even" r:id="rId157"/>
          <w:headerReference w:type="first" r:id="rId158"/>
          <w:pgSz w:w="11906" w:h="16838" w:code="9"/>
          <w:pgMar w:top="1985" w:right="1418" w:bottom="1418" w:left="1701" w:header="709" w:footer="709" w:gutter="0"/>
          <w:cols w:space="708"/>
          <w:titlePg/>
          <w:docGrid w:linePitch="360"/>
        </w:sectPr>
      </w:pPr>
    </w:p>
    <w:p w:rsidR="00D167A2" w:rsidRPr="00581F3D" w:rsidRDefault="00D167A2" w:rsidP="000E4E30">
      <w:pPr>
        <w:pBdr>
          <w:top w:val="single" w:sz="4" w:space="6" w:color="auto"/>
          <w:left w:val="single" w:sz="4" w:space="6" w:color="auto"/>
          <w:bottom w:val="single" w:sz="4" w:space="6" w:color="auto"/>
          <w:right w:val="single" w:sz="4" w:space="6" w:color="auto"/>
        </w:pBdr>
        <w:spacing w:after="120" w:line="288" w:lineRule="auto"/>
        <w:jc w:val="center"/>
        <w:rPr>
          <w:rFonts w:cs="Arial"/>
          <w:b/>
          <w:snapToGrid w:val="0"/>
          <w:color w:val="000000"/>
          <w:szCs w:val="28"/>
          <w:lang w:eastAsia="en-US"/>
        </w:rPr>
      </w:pPr>
      <w:bookmarkStart w:id="431" w:name="OLE_LINK1"/>
      <w:bookmarkStart w:id="432" w:name="OLE_LINK34"/>
      <w:r w:rsidRPr="00581F3D">
        <w:rPr>
          <w:rFonts w:cs="Arial"/>
          <w:b/>
          <w:sz w:val="18"/>
          <w:szCs w:val="28"/>
        </w:rPr>
        <w:t>HOW TO OBTAIN EU PUBLICATIONS</w:t>
      </w:r>
    </w:p>
    <w:bookmarkEnd w:id="431"/>
    <w:bookmarkEnd w:id="432"/>
    <w:p w:rsidR="00D167A2" w:rsidRPr="00581F3D" w:rsidRDefault="00D167A2" w:rsidP="000E4E30">
      <w:pPr>
        <w:pBdr>
          <w:top w:val="single" w:sz="4" w:space="6" w:color="auto"/>
          <w:left w:val="single" w:sz="4" w:space="6" w:color="auto"/>
          <w:bottom w:val="single" w:sz="4" w:space="6" w:color="auto"/>
          <w:right w:val="single" w:sz="4" w:space="6" w:color="auto"/>
        </w:pBdr>
        <w:spacing w:after="120" w:line="288" w:lineRule="auto"/>
        <w:jc w:val="left"/>
        <w:rPr>
          <w:rFonts w:cs="Arial"/>
          <w:b/>
          <w:bCs/>
          <w:color w:val="000000"/>
          <w:sz w:val="16"/>
          <w:szCs w:val="16"/>
        </w:rPr>
      </w:pPr>
      <w:r w:rsidRPr="00581F3D">
        <w:rPr>
          <w:rFonts w:cs="Arial"/>
          <w:b/>
          <w:color w:val="000000"/>
          <w:sz w:val="16"/>
          <w:szCs w:val="16"/>
        </w:rPr>
        <w:t>Free publications</w:t>
      </w:r>
      <w:r w:rsidRPr="00581F3D">
        <w:rPr>
          <w:rFonts w:cs="Arial"/>
          <w:b/>
          <w:bCs/>
          <w:color w:val="000000"/>
          <w:sz w:val="16"/>
          <w:szCs w:val="16"/>
        </w:rPr>
        <w:t>:</w:t>
      </w:r>
    </w:p>
    <w:p w:rsidR="00D167A2" w:rsidRPr="00581F3D" w:rsidRDefault="00D167A2" w:rsidP="000E4E30">
      <w:pPr>
        <w:pBdr>
          <w:top w:val="single" w:sz="4" w:space="6" w:color="auto"/>
          <w:left w:val="single" w:sz="4" w:space="6" w:color="auto"/>
          <w:bottom w:val="single" w:sz="4" w:space="6" w:color="auto"/>
          <w:right w:val="single" w:sz="4" w:space="6" w:color="auto"/>
        </w:pBdr>
        <w:spacing w:after="120" w:line="288" w:lineRule="auto"/>
        <w:ind w:left="284" w:hanging="284"/>
        <w:jc w:val="left"/>
        <w:rPr>
          <w:rFonts w:cs="Arial"/>
          <w:bCs/>
          <w:color w:val="000000"/>
          <w:sz w:val="16"/>
          <w:szCs w:val="16"/>
        </w:rPr>
      </w:pPr>
      <w:r w:rsidRPr="00581F3D">
        <w:rPr>
          <w:rFonts w:cs="Arial"/>
          <w:color w:val="000000"/>
          <w:sz w:val="16"/>
          <w:szCs w:val="16"/>
          <w:lang w:val="bg-BG"/>
        </w:rPr>
        <w:t>•</w:t>
      </w:r>
      <w:r w:rsidRPr="00581F3D">
        <w:rPr>
          <w:rFonts w:cs="Arial"/>
          <w:bCs/>
          <w:color w:val="000000"/>
          <w:sz w:val="16"/>
          <w:szCs w:val="16"/>
        </w:rPr>
        <w:tab/>
        <w:t>one copy:</w:t>
      </w:r>
      <w:r w:rsidRPr="00581F3D">
        <w:rPr>
          <w:rFonts w:cs="Arial"/>
          <w:bCs/>
          <w:color w:val="000000"/>
          <w:sz w:val="16"/>
          <w:szCs w:val="16"/>
        </w:rPr>
        <w:br/>
      </w:r>
      <w:r w:rsidRPr="00581F3D">
        <w:rPr>
          <w:rFonts w:cs="Arial"/>
          <w:color w:val="000000"/>
          <w:sz w:val="16"/>
          <w:szCs w:val="16"/>
        </w:rPr>
        <w:t>via EU Bookshop (http://bookshop.europa.eu)</w:t>
      </w:r>
      <w:r w:rsidRPr="00581F3D">
        <w:rPr>
          <w:rFonts w:cs="Arial"/>
          <w:bCs/>
          <w:color w:val="000000"/>
          <w:sz w:val="16"/>
          <w:szCs w:val="16"/>
        </w:rPr>
        <w:t>;</w:t>
      </w:r>
    </w:p>
    <w:p w:rsidR="00D167A2" w:rsidRPr="00581F3D" w:rsidRDefault="00D167A2" w:rsidP="000E4E30">
      <w:pPr>
        <w:pBdr>
          <w:top w:val="single" w:sz="4" w:space="6" w:color="auto"/>
          <w:left w:val="single" w:sz="4" w:space="6" w:color="auto"/>
          <w:bottom w:val="single" w:sz="4" w:space="6" w:color="auto"/>
          <w:right w:val="single" w:sz="4" w:space="6" w:color="auto"/>
        </w:pBdr>
        <w:spacing w:after="120" w:line="288" w:lineRule="auto"/>
        <w:ind w:left="284" w:hanging="284"/>
        <w:jc w:val="left"/>
        <w:rPr>
          <w:rFonts w:cs="Arial"/>
          <w:snapToGrid w:val="0"/>
          <w:color w:val="000000"/>
          <w:sz w:val="16"/>
          <w:szCs w:val="16"/>
          <w:lang w:eastAsia="en-US"/>
        </w:rPr>
      </w:pPr>
      <w:r w:rsidRPr="00581F3D">
        <w:rPr>
          <w:rFonts w:cs="Arial"/>
          <w:color w:val="000000"/>
          <w:sz w:val="16"/>
          <w:szCs w:val="16"/>
          <w:lang w:val="bg-BG"/>
        </w:rPr>
        <w:t>•</w:t>
      </w:r>
      <w:r w:rsidRPr="00581F3D">
        <w:rPr>
          <w:rFonts w:cs="Arial"/>
          <w:bCs/>
          <w:color w:val="000000"/>
          <w:sz w:val="16"/>
          <w:szCs w:val="16"/>
        </w:rPr>
        <w:tab/>
        <w:t>more than one copy or posters/maps:</w:t>
      </w:r>
      <w:r w:rsidRPr="00581F3D">
        <w:rPr>
          <w:rFonts w:cs="Arial"/>
          <w:bCs/>
          <w:color w:val="000000"/>
          <w:sz w:val="16"/>
          <w:szCs w:val="16"/>
        </w:rPr>
        <w:br/>
      </w:r>
      <w:r w:rsidRPr="00581F3D">
        <w:rPr>
          <w:rFonts w:cs="Arial"/>
          <w:color w:val="000000"/>
          <w:sz w:val="16"/>
          <w:szCs w:val="16"/>
        </w:rPr>
        <w:t>from the E</w:t>
      </w:r>
      <w:r w:rsidR="00930BFF" w:rsidRPr="00581F3D">
        <w:rPr>
          <w:rFonts w:cs="Arial"/>
          <w:color w:val="000000"/>
          <w:sz w:val="16"/>
          <w:szCs w:val="16"/>
        </w:rPr>
        <w:t xml:space="preserve">uropean Union’s representations </w:t>
      </w:r>
      <w:r w:rsidR="004D4006" w:rsidRPr="00581F3D">
        <w:rPr>
          <w:rFonts w:cs="Arial"/>
          <w:color w:val="000000"/>
          <w:sz w:val="16"/>
          <w:szCs w:val="16"/>
        </w:rPr>
        <w:t>(</w:t>
      </w:r>
      <w:r w:rsidRPr="00581F3D">
        <w:rPr>
          <w:rFonts w:cs="Arial"/>
          <w:color w:val="000000"/>
          <w:sz w:val="16"/>
          <w:szCs w:val="16"/>
        </w:rPr>
        <w:t xml:space="preserve">http://ec.europa.eu/represent_en.htm); </w:t>
      </w:r>
      <w:r w:rsidRPr="00581F3D">
        <w:rPr>
          <w:rFonts w:cs="Arial"/>
          <w:color w:val="000000"/>
          <w:sz w:val="16"/>
          <w:szCs w:val="16"/>
        </w:rPr>
        <w:br/>
      </w:r>
      <w:r w:rsidRPr="00581F3D">
        <w:rPr>
          <w:rFonts w:cs="Arial"/>
          <w:color w:val="000000"/>
          <w:spacing w:val="-4"/>
          <w:sz w:val="16"/>
          <w:szCs w:val="16"/>
        </w:rPr>
        <w:t xml:space="preserve">from </w:t>
      </w:r>
      <w:r w:rsidR="00930BFF" w:rsidRPr="00581F3D">
        <w:rPr>
          <w:rFonts w:cs="Arial"/>
          <w:color w:val="000000"/>
          <w:spacing w:val="-4"/>
          <w:sz w:val="16"/>
          <w:szCs w:val="16"/>
        </w:rPr>
        <w:t xml:space="preserve"> </w:t>
      </w:r>
      <w:r w:rsidRPr="00581F3D">
        <w:rPr>
          <w:rFonts w:cs="Arial"/>
          <w:color w:val="000000"/>
          <w:spacing w:val="-4"/>
          <w:sz w:val="16"/>
          <w:szCs w:val="16"/>
        </w:rPr>
        <w:t xml:space="preserve">the </w:t>
      </w:r>
      <w:r w:rsidR="00930BFF" w:rsidRPr="00581F3D">
        <w:rPr>
          <w:rFonts w:cs="Arial"/>
          <w:color w:val="000000"/>
          <w:spacing w:val="-4"/>
          <w:sz w:val="16"/>
          <w:szCs w:val="16"/>
        </w:rPr>
        <w:t>delegations in non-EU countries (</w:t>
      </w:r>
      <w:r w:rsidRPr="00581F3D">
        <w:rPr>
          <w:rFonts w:cs="Arial"/>
          <w:color w:val="000000"/>
          <w:spacing w:val="-4"/>
          <w:sz w:val="16"/>
          <w:szCs w:val="16"/>
        </w:rPr>
        <w:t xml:space="preserve">http://eeas.europa.eu/delegations/index_en.htm); </w:t>
      </w:r>
      <w:r w:rsidRPr="00581F3D">
        <w:rPr>
          <w:rFonts w:cs="Arial"/>
          <w:color w:val="000000"/>
          <w:spacing w:val="-4"/>
          <w:sz w:val="16"/>
          <w:szCs w:val="16"/>
        </w:rPr>
        <w:br/>
      </w:r>
      <w:r w:rsidRPr="00581F3D">
        <w:rPr>
          <w:rFonts w:cs="Arial"/>
          <w:color w:val="000000"/>
          <w:sz w:val="16"/>
          <w:szCs w:val="16"/>
        </w:rPr>
        <w:t>by contacting the Europe Direct service (http://europa.eu/europedirect/index_en.htm) or</w:t>
      </w:r>
      <w:r w:rsidRPr="00581F3D">
        <w:rPr>
          <w:rFonts w:cs="Arial"/>
          <w:color w:val="000000"/>
          <w:sz w:val="16"/>
          <w:szCs w:val="16"/>
        </w:rPr>
        <w:br/>
        <w:t>calling 00 800 6 7 8 9 10 11 (freephone number from anywhere in the EU) (*).</w:t>
      </w:r>
      <w:r w:rsidRPr="00581F3D">
        <w:rPr>
          <w:rFonts w:cs="Arial"/>
          <w:bCs/>
          <w:color w:val="000000"/>
          <w:sz w:val="16"/>
          <w:szCs w:val="16"/>
        </w:rPr>
        <w:br/>
      </w:r>
      <w:r w:rsidRPr="00581F3D">
        <w:rPr>
          <w:rFonts w:cs="Arial"/>
          <w:sz w:val="16"/>
          <w:szCs w:val="16"/>
        </w:rPr>
        <w:br/>
      </w:r>
      <w:hyperlink r:id="rId159" w:anchor="note1#note1" w:tooltip="Back to the text" w:history="1">
        <w:r w:rsidRPr="00581F3D">
          <w:rPr>
            <w:rFonts w:cs="Arial"/>
            <w:sz w:val="16"/>
            <w:szCs w:val="16"/>
          </w:rPr>
          <w:t>(*)</w:t>
        </w:r>
      </w:hyperlink>
      <w:r w:rsidRPr="00581F3D">
        <w:rPr>
          <w:rFonts w:cs="Arial"/>
          <w:sz w:val="16"/>
          <w:szCs w:val="16"/>
        </w:rPr>
        <w:tab/>
        <w:t>The information given is free, as are most calls (though some operators, phone boxes or hotels may charge you).</w:t>
      </w:r>
    </w:p>
    <w:p w:rsidR="00D167A2" w:rsidRPr="00581F3D" w:rsidRDefault="00D167A2" w:rsidP="000E4E30">
      <w:pPr>
        <w:pBdr>
          <w:top w:val="single" w:sz="4" w:space="6" w:color="auto"/>
          <w:left w:val="single" w:sz="4" w:space="6" w:color="auto"/>
          <w:bottom w:val="single" w:sz="4" w:space="6" w:color="auto"/>
          <w:right w:val="single" w:sz="4" w:space="6" w:color="auto"/>
        </w:pBdr>
        <w:spacing w:after="120" w:line="288" w:lineRule="auto"/>
        <w:jc w:val="left"/>
        <w:rPr>
          <w:rFonts w:cs="Arial"/>
          <w:b/>
          <w:bCs/>
          <w:color w:val="000000"/>
          <w:sz w:val="16"/>
          <w:szCs w:val="16"/>
        </w:rPr>
      </w:pPr>
      <w:r w:rsidRPr="00581F3D">
        <w:rPr>
          <w:rFonts w:cs="Arial"/>
          <w:b/>
          <w:color w:val="000000"/>
          <w:sz w:val="16"/>
          <w:szCs w:val="16"/>
        </w:rPr>
        <w:t>Priced publications</w:t>
      </w:r>
      <w:r w:rsidRPr="00581F3D">
        <w:rPr>
          <w:rFonts w:cs="Arial"/>
          <w:b/>
          <w:bCs/>
          <w:color w:val="000000"/>
          <w:sz w:val="16"/>
          <w:szCs w:val="16"/>
        </w:rPr>
        <w:t>:</w:t>
      </w:r>
    </w:p>
    <w:p w:rsidR="00D167A2" w:rsidRPr="00581F3D" w:rsidRDefault="00D167A2" w:rsidP="000E4E30">
      <w:pPr>
        <w:pBdr>
          <w:top w:val="single" w:sz="4" w:space="6" w:color="auto"/>
          <w:left w:val="single" w:sz="4" w:space="6" w:color="auto"/>
          <w:bottom w:val="single" w:sz="4" w:space="6" w:color="auto"/>
          <w:right w:val="single" w:sz="4" w:space="6" w:color="auto"/>
        </w:pBdr>
        <w:spacing w:after="120" w:line="288" w:lineRule="auto"/>
        <w:ind w:left="284" w:hanging="284"/>
        <w:jc w:val="left"/>
        <w:rPr>
          <w:rFonts w:cs="Arial"/>
          <w:bCs/>
          <w:color w:val="000000"/>
          <w:sz w:val="16"/>
          <w:szCs w:val="16"/>
        </w:rPr>
      </w:pPr>
      <w:r w:rsidRPr="00581F3D">
        <w:rPr>
          <w:rFonts w:cs="Arial"/>
          <w:color w:val="000000"/>
          <w:sz w:val="16"/>
          <w:szCs w:val="16"/>
          <w:lang w:val="bg-BG"/>
        </w:rPr>
        <w:t>•</w:t>
      </w:r>
      <w:r w:rsidRPr="00581F3D">
        <w:rPr>
          <w:rFonts w:cs="Arial"/>
          <w:bCs/>
          <w:color w:val="000000"/>
          <w:sz w:val="16"/>
          <w:szCs w:val="16"/>
        </w:rPr>
        <w:tab/>
      </w:r>
      <w:r w:rsidRPr="00581F3D">
        <w:rPr>
          <w:rFonts w:cs="Arial"/>
          <w:color w:val="000000"/>
          <w:sz w:val="16"/>
          <w:szCs w:val="16"/>
        </w:rPr>
        <w:t>via EU Bookshop (http://bookshop.europa.eu).</w:t>
      </w:r>
    </w:p>
    <w:p w:rsidR="00D167A2" w:rsidRPr="00D53037" w:rsidRDefault="00D167A2" w:rsidP="000E4E30">
      <w:pPr>
        <w:spacing w:after="120" w:line="288" w:lineRule="auto"/>
        <w:rPr>
          <w:sz w:val="22"/>
          <w:szCs w:val="22"/>
        </w:rPr>
      </w:pPr>
    </w:p>
    <w:p w:rsidR="00D167A2" w:rsidRDefault="00D167A2" w:rsidP="000E4E30">
      <w:pPr>
        <w:spacing w:after="120" w:line="288" w:lineRule="auto"/>
        <w:ind w:right="28"/>
        <w:rPr>
          <w:rFonts w:ascii="Arial" w:hAnsi="Arial"/>
          <w:sz w:val="24"/>
        </w:rPr>
        <w:sectPr w:rsidR="00D167A2" w:rsidSect="00F2695A">
          <w:headerReference w:type="even" r:id="rId160"/>
          <w:headerReference w:type="default" r:id="rId161"/>
          <w:footerReference w:type="default" r:id="rId162"/>
          <w:pgSz w:w="11907" w:h="16840"/>
          <w:pgMar w:top="1985" w:right="1418" w:bottom="1418" w:left="1701" w:header="720" w:footer="720" w:gutter="0"/>
          <w:cols w:space="720"/>
          <w:docGrid w:linePitch="272"/>
        </w:sect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761E1E" w:rsidP="000E4E30">
      <w:pPr>
        <w:spacing w:after="120" w:line="288" w:lineRule="auto"/>
        <w:ind w:right="28"/>
        <w:rPr>
          <w:rFonts w:ascii="Arial" w:hAnsi="Arial"/>
          <w:sz w:val="18"/>
        </w:rPr>
      </w:pPr>
      <w:r>
        <w:rPr>
          <w:noProof/>
          <w:lang w:val="en-US" w:eastAsia="en-US"/>
        </w:rPr>
        <w:drawing>
          <wp:anchor distT="0" distB="0" distL="114300" distR="114300" simplePos="0" relativeHeight="251675648" behindDoc="1" locked="0" layoutInCell="1" allowOverlap="1" wp14:anchorId="216160DD" wp14:editId="2FCDB908">
            <wp:simplePos x="0" y="0"/>
            <wp:positionH relativeFrom="page">
              <wp:posOffset>-6779</wp:posOffset>
            </wp:positionH>
            <wp:positionV relativeFrom="page">
              <wp:posOffset>1646555</wp:posOffset>
            </wp:positionV>
            <wp:extent cx="5819775" cy="7825105"/>
            <wp:effectExtent l="0" t="0" r="9525" b="4445"/>
            <wp:wrapNone/>
            <wp:docPr id="675" name="Picture 675" descr="U:\C3\DESIGN\_new guidelines EC\EC Word template-EAC\work2014\links\GRIFFE-BACKCOVER.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C3\DESIGN\_new guidelines EC\EC Word template-EAC\work2014\links\GRIFFE-BACKCOVER.wmf"/>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5819775" cy="78251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ind w:right="28"/>
        <w:rPr>
          <w:rFonts w:ascii="Arial" w:hAnsi="Arial"/>
          <w:sz w:val="18"/>
        </w:rPr>
      </w:pPr>
    </w:p>
    <w:p w:rsidR="00D167A2" w:rsidRPr="00863B13" w:rsidRDefault="00D167A2" w:rsidP="000E4E30">
      <w:pPr>
        <w:spacing w:after="120" w:line="288" w:lineRule="auto"/>
        <w:rPr>
          <w:rFonts w:ascii="Arial" w:hAnsi="Arial"/>
          <w:sz w:val="18"/>
        </w:rPr>
      </w:pPr>
    </w:p>
    <w:p w:rsidR="00D167A2" w:rsidRDefault="00D167A2" w:rsidP="000E4E30">
      <w:pPr>
        <w:spacing w:after="120" w:line="288" w:lineRule="auto"/>
        <w:rPr>
          <w:rFonts w:ascii="Arial" w:hAnsi="Arial"/>
          <w:sz w:val="18"/>
        </w:rPr>
      </w:pPr>
    </w:p>
    <w:p w:rsidR="00D167A2" w:rsidRPr="00863B13" w:rsidRDefault="00D167A2" w:rsidP="000E4E30">
      <w:pPr>
        <w:spacing w:after="120" w:line="288" w:lineRule="auto"/>
        <w:rPr>
          <w:rFonts w:ascii="Arial" w:hAnsi="Arial"/>
          <w:sz w:val="18"/>
        </w:rPr>
      </w:pPr>
    </w:p>
    <w:p w:rsidR="00D167A2" w:rsidRPr="00863B13" w:rsidRDefault="00D167A2" w:rsidP="000E4E30">
      <w:pPr>
        <w:spacing w:after="120" w:line="288" w:lineRule="auto"/>
        <w:rPr>
          <w:rFonts w:ascii="Arial" w:hAnsi="Arial"/>
          <w:sz w:val="18"/>
        </w:rPr>
      </w:pPr>
    </w:p>
    <w:p w:rsidR="00D167A2" w:rsidRDefault="00D167A2" w:rsidP="000E4E30">
      <w:pPr>
        <w:spacing w:after="120" w:line="288" w:lineRule="auto"/>
        <w:rPr>
          <w:rFonts w:ascii="Arial" w:hAnsi="Arial"/>
          <w:sz w:val="18"/>
        </w:rPr>
      </w:pPr>
    </w:p>
    <w:p w:rsidR="00D167A2" w:rsidRPr="00863B13" w:rsidRDefault="00224EEB" w:rsidP="000E4E30">
      <w:pPr>
        <w:spacing w:after="120" w:line="288" w:lineRule="auto"/>
        <w:rPr>
          <w:rFonts w:ascii="Arial" w:hAnsi="Arial"/>
          <w:sz w:val="18"/>
        </w:rPr>
      </w:pPr>
      <w:r>
        <w:rPr>
          <w:noProof/>
          <w:lang w:val="en-US" w:eastAsia="en-US"/>
        </w:rPr>
        <w:drawing>
          <wp:anchor distT="0" distB="0" distL="114300" distR="114300" simplePos="0" relativeHeight="251663360" behindDoc="0" locked="0" layoutInCell="1" allowOverlap="1" wp14:anchorId="4F70588C" wp14:editId="2401CEE0">
            <wp:simplePos x="0" y="0"/>
            <wp:positionH relativeFrom="column">
              <wp:posOffset>-69850</wp:posOffset>
            </wp:positionH>
            <wp:positionV relativeFrom="margin">
              <wp:posOffset>8620125</wp:posOffset>
            </wp:positionV>
            <wp:extent cx="1511300" cy="711200"/>
            <wp:effectExtent l="0" t="0" r="0" b="0"/>
            <wp:wrapNone/>
            <wp:docPr id="6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15113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67A2" w:rsidRPr="00863B13" w:rsidRDefault="00D167A2" w:rsidP="000E4E30">
      <w:pPr>
        <w:spacing w:after="120" w:line="288" w:lineRule="auto"/>
        <w:rPr>
          <w:rFonts w:ascii="Arial" w:hAnsi="Arial"/>
          <w:sz w:val="18"/>
        </w:rPr>
      </w:pPr>
    </w:p>
    <w:p w:rsidR="00D167A2" w:rsidRPr="00863B13" w:rsidRDefault="00D167A2" w:rsidP="000E4E30">
      <w:pPr>
        <w:spacing w:after="120" w:line="288" w:lineRule="auto"/>
        <w:rPr>
          <w:rFonts w:ascii="Arial" w:hAnsi="Arial"/>
          <w:sz w:val="18"/>
        </w:rPr>
      </w:pPr>
    </w:p>
    <w:p w:rsidR="00106D5D" w:rsidRDefault="00106D5D" w:rsidP="000E4E30">
      <w:pPr>
        <w:widowControl w:val="0"/>
        <w:tabs>
          <w:tab w:val="left" w:pos="142"/>
          <w:tab w:val="left" w:pos="10065"/>
        </w:tabs>
        <w:spacing w:after="120" w:line="288" w:lineRule="auto"/>
        <w:ind w:right="640"/>
        <w:jc w:val="center"/>
        <w:rPr>
          <w:rFonts w:ascii="Arial" w:hAnsi="Arial" w:cs="Arial"/>
          <w:spacing w:val="-3"/>
          <w:sz w:val="16"/>
          <w:szCs w:val="18"/>
        </w:rPr>
      </w:pPr>
    </w:p>
    <w:p w:rsidR="002F4A39" w:rsidRPr="00F41261" w:rsidRDefault="00106D5D" w:rsidP="000E4E30">
      <w:pPr>
        <w:widowControl w:val="0"/>
        <w:tabs>
          <w:tab w:val="left" w:pos="142"/>
          <w:tab w:val="left" w:pos="10065"/>
        </w:tabs>
        <w:spacing w:after="120" w:line="288" w:lineRule="auto"/>
        <w:ind w:right="640"/>
        <w:jc w:val="right"/>
        <w:rPr>
          <w:rFonts w:ascii="Arial" w:hAnsi="Arial"/>
          <w:sz w:val="16"/>
        </w:rPr>
      </w:pPr>
      <w:r>
        <w:rPr>
          <w:rFonts w:ascii="Arial" w:hAnsi="Arial" w:cs="Arial"/>
          <w:spacing w:val="-3"/>
          <w:sz w:val="16"/>
          <w:szCs w:val="18"/>
        </w:rPr>
        <w:t>ISBN:</w:t>
      </w:r>
      <w:r w:rsidR="00D90F9E">
        <w:rPr>
          <w:rFonts w:ascii="Arial" w:hAnsi="Arial" w:cs="Arial"/>
          <w:spacing w:val="-3"/>
          <w:sz w:val="16"/>
          <w:szCs w:val="18"/>
        </w:rPr>
        <w:t xml:space="preserve">  978-92-79-50996-4</w:t>
      </w:r>
    </w:p>
    <w:sectPr w:rsidR="002F4A39" w:rsidRPr="00F41261" w:rsidSect="00651009">
      <w:headerReference w:type="even" r:id="rId165"/>
      <w:headerReference w:type="default" r:id="rId166"/>
      <w:footerReference w:type="even" r:id="rId167"/>
      <w:pgSz w:w="11907" w:h="16840" w:code="9"/>
      <w:pgMar w:top="1985" w:right="1418" w:bottom="1418" w:left="1701" w:header="0" w:footer="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D1AB0" w:rsidRPr="00D02D0C" w:rsidRDefault="00DD1AB0">
      <w:r w:rsidRPr="00D02D0C">
        <w:separator/>
      </w:r>
    </w:p>
  </w:endnote>
  <w:endnote w:type="continuationSeparator" w:id="0">
    <w:p w:rsidR="00DD1AB0" w:rsidRPr="00D02D0C" w:rsidRDefault="00DD1AB0">
      <w:r w:rsidRPr="00D02D0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ヒラギノ角ゴ Pro W3">
    <w:altName w:val="Times New Roman"/>
    <w:charset w:val="00"/>
    <w:family w:val="roman"/>
    <w:pitch w:val="default"/>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Arial Narrow">
    <w:panose1 w:val="020B0606020202030204"/>
    <w:charset w:val="00"/>
    <w:family w:val="swiss"/>
    <w:pitch w:val="variable"/>
    <w:sig w:usb0="00000287" w:usb1="000008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NewRoman,Italic">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OptimaLTStd">
    <w:altName w:val="MS Gothic"/>
    <w:panose1 w:val="00000000000000000000"/>
    <w:charset w:val="80"/>
    <w:family w:val="swiss"/>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EB32C7" w:rsidRDefault="00394EBA" w:rsidP="00545F64">
    <w:pPr>
      <w:pStyle w:val="Footer"/>
      <w:jc w:val="right"/>
      <w:rPr>
        <w:sz w:val="18"/>
        <w:szCs w:val="18"/>
      </w:rPr>
    </w:pPr>
  </w:p>
  <w:p w:rsidR="00394EBA" w:rsidRDefault="00394EBA">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866E63" w:rsidRDefault="00394EBA" w:rsidP="00854CC6">
    <w:pPr>
      <w:pStyle w:val="Footer"/>
      <w:jc w:val="left"/>
      <w:rPr>
        <w:rStyle w:val="PageNumber"/>
        <w:sz w:val="18"/>
        <w:szCs w:val="18"/>
      </w:rPr>
    </w:pPr>
    <w:r w:rsidRPr="00866E63">
      <w:rPr>
        <w:rStyle w:val="PageNumber"/>
        <w:sz w:val="18"/>
        <w:szCs w:val="18"/>
      </w:rPr>
      <w:t>A</w:t>
    </w:r>
    <w:r w:rsidRPr="00866E63">
      <w:rPr>
        <w:rStyle w:val="PageNumber"/>
        <w:sz w:val="18"/>
        <w:szCs w:val="18"/>
      </w:rPr>
      <w:fldChar w:fldCharType="begin"/>
    </w:r>
    <w:r w:rsidRPr="00866E63">
      <w:rPr>
        <w:rStyle w:val="PageNumber"/>
        <w:sz w:val="18"/>
        <w:szCs w:val="18"/>
      </w:rPr>
      <w:instrText xml:space="preserve"> PAGE </w:instrText>
    </w:r>
    <w:r w:rsidRPr="00866E63">
      <w:rPr>
        <w:rStyle w:val="PageNumber"/>
        <w:sz w:val="18"/>
        <w:szCs w:val="18"/>
      </w:rPr>
      <w:fldChar w:fldCharType="separate"/>
    </w:r>
    <w:r w:rsidR="00337243">
      <w:rPr>
        <w:rStyle w:val="PageNumber"/>
        <w:noProof/>
        <w:sz w:val="18"/>
        <w:szCs w:val="18"/>
      </w:rPr>
      <w:t>38</w:t>
    </w:r>
    <w:r w:rsidRPr="00866E63">
      <w:rPr>
        <w:rStyle w:val="PageNumber"/>
        <w:sz w:val="18"/>
        <w:szCs w:val="18"/>
      </w:rPr>
      <w:fldChar w:fldCharType="end"/>
    </w:r>
    <w:r w:rsidRPr="00866E63">
      <w:rPr>
        <w:rStyle w:val="PageNumber"/>
        <w:sz w:val="18"/>
        <w:szCs w:val="18"/>
      </w:rP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7438631"/>
      <w:docPartObj>
        <w:docPartGallery w:val="Page Numbers (Bottom of Page)"/>
        <w:docPartUnique/>
      </w:docPartObj>
    </w:sdtPr>
    <w:sdtEndPr>
      <w:rPr>
        <w:noProof/>
        <w:sz w:val="18"/>
        <w:szCs w:val="18"/>
      </w:rPr>
    </w:sdtEndPr>
    <w:sdtContent>
      <w:p w:rsidR="00394EBA" w:rsidRPr="003D6176" w:rsidRDefault="00394EBA" w:rsidP="00260DD6">
        <w:pPr>
          <w:pStyle w:val="Footer"/>
          <w:spacing w:line="288" w:lineRule="auto"/>
          <w:jc w:val="right"/>
          <w:rPr>
            <w:noProof/>
            <w:sz w:val="18"/>
            <w:szCs w:val="18"/>
          </w:rPr>
        </w:pPr>
        <w:r w:rsidRPr="003D6176">
          <w:rPr>
            <w:sz w:val="18"/>
            <w:szCs w:val="18"/>
          </w:rPr>
          <w:t>A</w:t>
        </w:r>
        <w:r w:rsidRPr="003D6176">
          <w:rPr>
            <w:sz w:val="18"/>
            <w:szCs w:val="18"/>
          </w:rPr>
          <w:fldChar w:fldCharType="begin"/>
        </w:r>
        <w:r w:rsidRPr="003D6176">
          <w:rPr>
            <w:sz w:val="18"/>
            <w:szCs w:val="18"/>
          </w:rPr>
          <w:instrText xml:space="preserve"> PAGE   \* MERGEFORMAT </w:instrText>
        </w:r>
        <w:r w:rsidRPr="003D6176">
          <w:rPr>
            <w:sz w:val="18"/>
            <w:szCs w:val="18"/>
          </w:rPr>
          <w:fldChar w:fldCharType="separate"/>
        </w:r>
        <w:r w:rsidR="00337243">
          <w:rPr>
            <w:noProof/>
            <w:sz w:val="18"/>
            <w:szCs w:val="18"/>
          </w:rPr>
          <w:t>3</w:t>
        </w:r>
        <w:r w:rsidRPr="003D6176">
          <w:rPr>
            <w:noProof/>
            <w:sz w:val="18"/>
            <w:szCs w:val="18"/>
          </w:rP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452556677"/>
      <w:docPartObj>
        <w:docPartGallery w:val="Page Numbers (Bottom of Page)"/>
        <w:docPartUnique/>
      </w:docPartObj>
    </w:sdtPr>
    <w:sdtEndPr>
      <w:rPr>
        <w:noProof/>
      </w:rPr>
    </w:sdtEndPr>
    <w:sdtContent>
      <w:p w:rsidR="00394EBA" w:rsidRPr="007B11CB" w:rsidRDefault="00394EBA" w:rsidP="00854CC6">
        <w:pPr>
          <w:pStyle w:val="Footer"/>
          <w:spacing w:line="288" w:lineRule="auto"/>
          <w:jc w:val="right"/>
          <w:rPr>
            <w:noProof/>
            <w:sz w:val="18"/>
            <w:szCs w:val="18"/>
          </w:rPr>
        </w:pPr>
        <w:r w:rsidRPr="007B11CB">
          <w:rPr>
            <w:sz w:val="18"/>
            <w:szCs w:val="18"/>
          </w:rPr>
          <w:t>A</w:t>
        </w:r>
        <w:r w:rsidRPr="007B11CB">
          <w:rPr>
            <w:sz w:val="18"/>
            <w:szCs w:val="18"/>
          </w:rPr>
          <w:fldChar w:fldCharType="begin"/>
        </w:r>
        <w:r w:rsidRPr="007B11CB">
          <w:rPr>
            <w:sz w:val="18"/>
            <w:szCs w:val="18"/>
          </w:rPr>
          <w:instrText xml:space="preserve"> PAGE   \* MERGEFORMAT </w:instrText>
        </w:r>
        <w:r w:rsidRPr="007B11CB">
          <w:rPr>
            <w:sz w:val="18"/>
            <w:szCs w:val="18"/>
          </w:rPr>
          <w:fldChar w:fldCharType="separate"/>
        </w:r>
        <w:r w:rsidR="00337243">
          <w:rPr>
            <w:noProof/>
            <w:sz w:val="18"/>
            <w:szCs w:val="18"/>
          </w:rPr>
          <w:t>39</w:t>
        </w:r>
        <w:r w:rsidRPr="007B11CB">
          <w:rPr>
            <w:noProof/>
            <w:sz w:val="18"/>
            <w:szCs w:val="18"/>
          </w:rPr>
          <w:fldChar w:fldCharType="end"/>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3325998"/>
      <w:docPartObj>
        <w:docPartGallery w:val="Page Numbers (Bottom of Page)"/>
        <w:docPartUnique/>
      </w:docPartObj>
    </w:sdtPr>
    <w:sdtEndPr>
      <w:rPr>
        <w:noProof/>
        <w:sz w:val="18"/>
        <w:szCs w:val="18"/>
      </w:rPr>
    </w:sdtEndPr>
    <w:sdtContent>
      <w:p w:rsidR="00394EBA" w:rsidRPr="003D6176" w:rsidRDefault="00394EBA" w:rsidP="00854CC6">
        <w:pPr>
          <w:pStyle w:val="Footer"/>
          <w:spacing w:line="288" w:lineRule="auto"/>
          <w:jc w:val="left"/>
          <w:rPr>
            <w:noProof/>
            <w:sz w:val="18"/>
            <w:szCs w:val="18"/>
          </w:rPr>
        </w:pPr>
        <w:r w:rsidRPr="003D6176">
          <w:rPr>
            <w:sz w:val="18"/>
            <w:szCs w:val="18"/>
          </w:rPr>
          <w:t>A</w:t>
        </w:r>
        <w:r w:rsidRPr="003D6176">
          <w:rPr>
            <w:sz w:val="18"/>
            <w:szCs w:val="18"/>
          </w:rPr>
          <w:fldChar w:fldCharType="begin"/>
        </w:r>
        <w:r w:rsidRPr="003D6176">
          <w:rPr>
            <w:sz w:val="18"/>
            <w:szCs w:val="18"/>
          </w:rPr>
          <w:instrText xml:space="preserve"> PAGE   \* MERGEFORMAT </w:instrText>
        </w:r>
        <w:r w:rsidRPr="003D6176">
          <w:rPr>
            <w:sz w:val="18"/>
            <w:szCs w:val="18"/>
          </w:rPr>
          <w:fldChar w:fldCharType="separate"/>
        </w:r>
        <w:r w:rsidR="00337243">
          <w:rPr>
            <w:noProof/>
            <w:sz w:val="18"/>
            <w:szCs w:val="18"/>
          </w:rPr>
          <w:t>4</w:t>
        </w:r>
        <w:r w:rsidRPr="003D6176">
          <w:rPr>
            <w:noProof/>
            <w:sz w:val="18"/>
            <w:szCs w:val="18"/>
          </w:rPr>
          <w:fldChar w:fldCharType="end"/>
        </w:r>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5187159"/>
      <w:docPartObj>
        <w:docPartGallery w:val="Page Numbers (Bottom of Page)"/>
        <w:docPartUnique/>
      </w:docPartObj>
    </w:sdtPr>
    <w:sdtEndPr>
      <w:rPr>
        <w:noProof/>
        <w:sz w:val="18"/>
        <w:szCs w:val="18"/>
      </w:rPr>
    </w:sdtEndPr>
    <w:sdtContent>
      <w:p w:rsidR="00394EBA" w:rsidRPr="003D6176" w:rsidRDefault="00394EBA" w:rsidP="00854CC6">
        <w:pPr>
          <w:pStyle w:val="Footer"/>
          <w:spacing w:line="288" w:lineRule="auto"/>
          <w:jc w:val="left"/>
          <w:rPr>
            <w:noProof/>
            <w:sz w:val="18"/>
            <w:szCs w:val="18"/>
          </w:rPr>
        </w:pPr>
        <w:r w:rsidRPr="003D6176">
          <w:rPr>
            <w:sz w:val="18"/>
            <w:szCs w:val="18"/>
          </w:rPr>
          <w:t>A</w:t>
        </w:r>
        <w:r w:rsidRPr="003D6176">
          <w:rPr>
            <w:sz w:val="18"/>
            <w:szCs w:val="18"/>
          </w:rPr>
          <w:fldChar w:fldCharType="begin"/>
        </w:r>
        <w:r w:rsidRPr="003D6176">
          <w:rPr>
            <w:sz w:val="18"/>
            <w:szCs w:val="18"/>
          </w:rPr>
          <w:instrText xml:space="preserve"> PAGE   \* MERGEFORMAT </w:instrText>
        </w:r>
        <w:r w:rsidRPr="003D6176">
          <w:rPr>
            <w:sz w:val="18"/>
            <w:szCs w:val="18"/>
          </w:rPr>
          <w:fldChar w:fldCharType="separate"/>
        </w:r>
        <w:r w:rsidR="00337243">
          <w:rPr>
            <w:noProof/>
            <w:sz w:val="18"/>
            <w:szCs w:val="18"/>
          </w:rPr>
          <w:t>40</w:t>
        </w:r>
        <w:r w:rsidRPr="003D6176">
          <w:rPr>
            <w:noProof/>
            <w:sz w:val="18"/>
            <w:szCs w:val="18"/>
          </w:rPr>
          <w:fldChar w:fldCharType="end"/>
        </w:r>
      </w:p>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394EBA" w:rsidRDefault="00394EBA" w:rsidP="00394EBA">
    <w:pPr>
      <w:pStyle w:val="Footer"/>
      <w:rPr>
        <w:rStyle w:val="PageNumber"/>
        <w:color w:val="808080"/>
        <w:sz w:val="16"/>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1716540902"/>
      <w:docPartObj>
        <w:docPartGallery w:val="Page Numbers (Bottom of Page)"/>
        <w:docPartUnique/>
      </w:docPartObj>
    </w:sdtPr>
    <w:sdtEndPr>
      <w:rPr>
        <w:noProof/>
      </w:rPr>
    </w:sdtEndPr>
    <w:sdtContent>
      <w:p w:rsidR="007B11CB" w:rsidRPr="007B11CB" w:rsidRDefault="007B11CB" w:rsidP="007B11CB">
        <w:pPr>
          <w:pStyle w:val="Footer"/>
          <w:spacing w:line="288" w:lineRule="auto"/>
          <w:jc w:val="right"/>
          <w:rPr>
            <w:noProof/>
            <w:sz w:val="18"/>
            <w:szCs w:val="18"/>
          </w:rPr>
        </w:pPr>
        <w:r w:rsidRPr="007B11CB">
          <w:rPr>
            <w:sz w:val="18"/>
            <w:szCs w:val="18"/>
          </w:rPr>
          <w:t>A</w:t>
        </w:r>
        <w:r w:rsidRPr="007B11CB">
          <w:rPr>
            <w:sz w:val="18"/>
            <w:szCs w:val="18"/>
          </w:rPr>
          <w:fldChar w:fldCharType="begin"/>
        </w:r>
        <w:r w:rsidRPr="007B11CB">
          <w:rPr>
            <w:sz w:val="18"/>
            <w:szCs w:val="18"/>
          </w:rPr>
          <w:instrText xml:space="preserve"> PAGE   \* MERGEFORMAT </w:instrText>
        </w:r>
        <w:r w:rsidRPr="007B11CB">
          <w:rPr>
            <w:sz w:val="18"/>
            <w:szCs w:val="18"/>
          </w:rPr>
          <w:fldChar w:fldCharType="separate"/>
        </w:r>
        <w:r w:rsidR="00337243">
          <w:rPr>
            <w:noProof/>
            <w:sz w:val="18"/>
            <w:szCs w:val="18"/>
          </w:rPr>
          <w:t>45</w:t>
        </w:r>
        <w:r w:rsidRPr="007B11CB">
          <w:rPr>
            <w:noProof/>
            <w:sz w:val="18"/>
            <w:szCs w:val="18"/>
          </w:rPr>
          <w:fldChar w:fldCharType="end"/>
        </w:r>
      </w:p>
    </w:sdtContent>
  </w:sdt>
  <w:p w:rsidR="007B11CB" w:rsidRPr="007B11CB" w:rsidRDefault="007B11CB" w:rsidP="007B11CB">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40801770"/>
      <w:docPartObj>
        <w:docPartGallery w:val="Page Numbers (Bottom of Page)"/>
        <w:docPartUnique/>
      </w:docPartObj>
    </w:sdtPr>
    <w:sdtEndPr>
      <w:rPr>
        <w:noProof/>
        <w:sz w:val="18"/>
        <w:szCs w:val="18"/>
      </w:rPr>
    </w:sdtEndPr>
    <w:sdtContent>
      <w:p w:rsidR="007B11CB" w:rsidRPr="003D6176" w:rsidRDefault="007B11CB" w:rsidP="007B11CB">
        <w:pPr>
          <w:pStyle w:val="Footer"/>
          <w:spacing w:line="288" w:lineRule="auto"/>
          <w:jc w:val="left"/>
          <w:rPr>
            <w:noProof/>
            <w:sz w:val="18"/>
            <w:szCs w:val="18"/>
          </w:rPr>
        </w:pPr>
        <w:r w:rsidRPr="003D6176">
          <w:rPr>
            <w:sz w:val="18"/>
            <w:szCs w:val="18"/>
          </w:rPr>
          <w:t>A</w:t>
        </w:r>
        <w:r w:rsidRPr="003D6176">
          <w:rPr>
            <w:sz w:val="18"/>
            <w:szCs w:val="18"/>
          </w:rPr>
          <w:fldChar w:fldCharType="begin"/>
        </w:r>
        <w:r w:rsidRPr="003D6176">
          <w:rPr>
            <w:sz w:val="18"/>
            <w:szCs w:val="18"/>
          </w:rPr>
          <w:instrText xml:space="preserve"> PAGE   \* MERGEFORMAT </w:instrText>
        </w:r>
        <w:r w:rsidRPr="003D6176">
          <w:rPr>
            <w:sz w:val="18"/>
            <w:szCs w:val="18"/>
          </w:rPr>
          <w:fldChar w:fldCharType="separate"/>
        </w:r>
        <w:r w:rsidR="00337243">
          <w:rPr>
            <w:noProof/>
            <w:sz w:val="18"/>
            <w:szCs w:val="18"/>
          </w:rPr>
          <w:t>44</w:t>
        </w:r>
        <w:r w:rsidRPr="003D6176">
          <w:rPr>
            <w:noProof/>
            <w:sz w:val="18"/>
            <w:szCs w:val="18"/>
          </w:rPr>
          <w:fldChar w:fldCharType="end"/>
        </w:r>
      </w:p>
    </w:sdtContent>
  </w:sdt>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866E63" w:rsidRDefault="00394EBA" w:rsidP="008F4AE2">
    <w:pPr>
      <w:pStyle w:val="Footer"/>
      <w:jc w:val="left"/>
      <w:rPr>
        <w:rStyle w:val="PageNumber"/>
        <w:sz w:val="18"/>
        <w:szCs w:val="18"/>
      </w:rPr>
    </w:pPr>
    <w:r w:rsidRPr="00866E63">
      <w:rPr>
        <w:rStyle w:val="PageNumber"/>
        <w:sz w:val="18"/>
        <w:szCs w:val="18"/>
      </w:rPr>
      <w:t>A</w:t>
    </w:r>
    <w:r w:rsidRPr="00866E63">
      <w:rPr>
        <w:rStyle w:val="PageNumber"/>
        <w:sz w:val="18"/>
        <w:szCs w:val="18"/>
      </w:rPr>
      <w:fldChar w:fldCharType="begin"/>
    </w:r>
    <w:r w:rsidRPr="00866E63">
      <w:rPr>
        <w:rStyle w:val="PageNumber"/>
        <w:sz w:val="18"/>
        <w:szCs w:val="18"/>
      </w:rPr>
      <w:instrText xml:space="preserve"> PAGE </w:instrText>
    </w:r>
    <w:r w:rsidRPr="00866E63">
      <w:rPr>
        <w:rStyle w:val="PageNumber"/>
        <w:sz w:val="18"/>
        <w:szCs w:val="18"/>
      </w:rPr>
      <w:fldChar w:fldCharType="separate"/>
    </w:r>
    <w:r w:rsidR="00337243">
      <w:rPr>
        <w:rStyle w:val="PageNumber"/>
        <w:noProof/>
        <w:sz w:val="18"/>
        <w:szCs w:val="18"/>
      </w:rPr>
      <w:t>46</w:t>
    </w:r>
    <w:r w:rsidRPr="00866E63">
      <w:rPr>
        <w:rStyle w:val="PageNumber"/>
        <w:sz w:val="18"/>
        <w:szCs w:val="18"/>
      </w:rPr>
      <w:fldChar w:fldCharType="end"/>
    </w:r>
    <w:r w:rsidRPr="00866E63">
      <w:rPr>
        <w:rStyle w:val="PageNumber"/>
        <w:sz w:val="18"/>
        <w:szCs w:val="18"/>
      </w:rPr>
      <w:t xml:space="preserve"> </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420159" w:rsidRDefault="00394EBA" w:rsidP="00420159">
    <w:pPr>
      <w:pStyle w:val="Footer"/>
      <w:rPr>
        <w:rStyle w:val="PageNumber"/>
        <w:color w:val="808080"/>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545F64">
    <w:pPr>
      <w:pStyle w:val="Footer"/>
      <w:spacing w:after="120" w:line="288" w:lineRule="auto"/>
      <w:rPr>
        <w:noProof/>
        <w:sz w:val="18"/>
        <w:szCs w:val="18"/>
      </w:rPr>
    </w:pPr>
  </w:p>
  <w:p w:rsidR="00394EBA" w:rsidRPr="00420159" w:rsidRDefault="00394EBA" w:rsidP="00682023">
    <w:pPr>
      <w:pStyle w:val="Footer"/>
      <w:rPr>
        <w:rStyle w:val="PageNumber"/>
        <w:color w:val="808080"/>
        <w:sz w:val="16"/>
      </w:rP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7921DC" w:rsidRDefault="00394EBA">
    <w:pPr>
      <w:pStyle w:val="Footer"/>
      <w:rPr>
        <w:lang w:val="fr-B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7510575"/>
      <w:docPartObj>
        <w:docPartGallery w:val="Page Numbers (Bottom of Page)"/>
        <w:docPartUnique/>
      </w:docPartObj>
    </w:sdtPr>
    <w:sdtEndPr>
      <w:rPr>
        <w:noProof/>
        <w:sz w:val="18"/>
        <w:szCs w:val="18"/>
      </w:rPr>
    </w:sdtEndPr>
    <w:sdtContent>
      <w:p w:rsidR="00394EBA" w:rsidRDefault="00394EBA" w:rsidP="003D6176">
        <w:pPr>
          <w:pStyle w:val="Footer"/>
          <w:spacing w:line="288" w:lineRule="auto"/>
          <w:jc w:val="right"/>
          <w:rPr>
            <w:noProof/>
            <w:sz w:val="18"/>
            <w:szCs w:val="18"/>
          </w:rPr>
        </w:pPr>
        <w:r>
          <w:t>A</w:t>
        </w:r>
        <w:r w:rsidRPr="00EB32C7">
          <w:rPr>
            <w:sz w:val="18"/>
            <w:szCs w:val="18"/>
          </w:rPr>
          <w:fldChar w:fldCharType="begin"/>
        </w:r>
        <w:r w:rsidRPr="00EB32C7">
          <w:rPr>
            <w:sz w:val="18"/>
            <w:szCs w:val="18"/>
          </w:rPr>
          <w:instrText xml:space="preserve"> PAGE   \* MERGEFORMAT </w:instrText>
        </w:r>
        <w:r w:rsidRPr="00EB32C7">
          <w:rPr>
            <w:sz w:val="18"/>
            <w:szCs w:val="18"/>
          </w:rPr>
          <w:fldChar w:fldCharType="separate"/>
        </w:r>
        <w:r w:rsidR="00F17E05">
          <w:rPr>
            <w:noProof/>
            <w:sz w:val="18"/>
            <w:szCs w:val="18"/>
          </w:rPr>
          <w:t>1</w:t>
        </w:r>
        <w:r w:rsidRPr="00EB32C7">
          <w:rPr>
            <w:noProof/>
            <w:sz w:val="18"/>
            <w:szCs w:val="18"/>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EB32C7" w:rsidRDefault="00394EBA" w:rsidP="00545F64">
    <w:pPr>
      <w:pStyle w:val="Footer"/>
      <w:jc w:val="right"/>
      <w:rPr>
        <w:sz w:val="18"/>
        <w:szCs w:val="18"/>
      </w:rPr>
    </w:pPr>
  </w:p>
  <w:p w:rsidR="00394EBA" w:rsidRDefault="00394EB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9428726"/>
      <w:docPartObj>
        <w:docPartGallery w:val="Page Numbers (Bottom of Page)"/>
        <w:docPartUnique/>
      </w:docPartObj>
    </w:sdtPr>
    <w:sdtEndPr>
      <w:rPr>
        <w:noProof/>
        <w:sz w:val="18"/>
        <w:szCs w:val="18"/>
      </w:rPr>
    </w:sdtEndPr>
    <w:sdtContent>
      <w:p w:rsidR="00394EBA" w:rsidRPr="00EB32C7" w:rsidRDefault="00394EBA" w:rsidP="00545F64">
        <w:pPr>
          <w:pStyle w:val="Footer"/>
          <w:jc w:val="right"/>
          <w:rPr>
            <w:sz w:val="18"/>
            <w:szCs w:val="18"/>
          </w:rPr>
        </w:pPr>
        <w:r w:rsidRPr="00EB32C7">
          <w:rPr>
            <w:sz w:val="18"/>
            <w:szCs w:val="18"/>
          </w:rPr>
          <w:fldChar w:fldCharType="begin"/>
        </w:r>
        <w:r w:rsidRPr="00EB32C7">
          <w:rPr>
            <w:sz w:val="18"/>
            <w:szCs w:val="18"/>
          </w:rPr>
          <w:instrText xml:space="preserve"> PAGE   \* MERGEFORMAT </w:instrText>
        </w:r>
        <w:r w:rsidRPr="00EB32C7">
          <w:rPr>
            <w:sz w:val="18"/>
            <w:szCs w:val="18"/>
          </w:rPr>
          <w:fldChar w:fldCharType="separate"/>
        </w:r>
        <w:r w:rsidR="00F17E05">
          <w:rPr>
            <w:noProof/>
            <w:sz w:val="18"/>
            <w:szCs w:val="18"/>
          </w:rPr>
          <w:t>102</w:t>
        </w:r>
        <w:r w:rsidRPr="00EB32C7">
          <w:rPr>
            <w:noProof/>
            <w:sz w:val="18"/>
            <w:szCs w:val="18"/>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4722672"/>
      <w:docPartObj>
        <w:docPartGallery w:val="Page Numbers (Bottom of Page)"/>
        <w:docPartUnique/>
      </w:docPartObj>
    </w:sdtPr>
    <w:sdtEndPr>
      <w:rPr>
        <w:noProof/>
        <w:sz w:val="18"/>
        <w:szCs w:val="18"/>
      </w:rPr>
    </w:sdtEndPr>
    <w:sdtContent>
      <w:p w:rsidR="00394EBA" w:rsidRDefault="00394EBA" w:rsidP="003643B0">
        <w:pPr>
          <w:pStyle w:val="Footer"/>
          <w:spacing w:line="288" w:lineRule="auto"/>
          <w:rPr>
            <w:noProof/>
            <w:sz w:val="18"/>
            <w:szCs w:val="18"/>
          </w:rPr>
        </w:pPr>
        <w:r w:rsidRPr="00EB32C7">
          <w:rPr>
            <w:sz w:val="18"/>
            <w:szCs w:val="18"/>
          </w:rPr>
          <w:fldChar w:fldCharType="begin"/>
        </w:r>
        <w:r w:rsidRPr="00EB32C7">
          <w:rPr>
            <w:sz w:val="18"/>
            <w:szCs w:val="18"/>
          </w:rPr>
          <w:instrText xml:space="preserve"> PAGE   \* MERGEFORMAT </w:instrText>
        </w:r>
        <w:r w:rsidRPr="00EB32C7">
          <w:rPr>
            <w:sz w:val="18"/>
            <w:szCs w:val="18"/>
          </w:rPr>
          <w:fldChar w:fldCharType="separate"/>
        </w:r>
        <w:r w:rsidR="00F17E05">
          <w:rPr>
            <w:noProof/>
            <w:sz w:val="18"/>
            <w:szCs w:val="18"/>
          </w:rPr>
          <w:t>103</w:t>
        </w:r>
        <w:r w:rsidRPr="00EB32C7">
          <w:rPr>
            <w:noProof/>
            <w:sz w:val="18"/>
            <w:szCs w:val="18"/>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9427927"/>
      <w:docPartObj>
        <w:docPartGallery w:val="Page Numbers (Bottom of Page)"/>
        <w:docPartUnique/>
      </w:docPartObj>
    </w:sdtPr>
    <w:sdtEndPr>
      <w:rPr>
        <w:noProof/>
        <w:sz w:val="18"/>
        <w:szCs w:val="18"/>
      </w:rPr>
    </w:sdtEndPr>
    <w:sdtContent>
      <w:p w:rsidR="00761E1E" w:rsidRDefault="00761E1E" w:rsidP="00761E1E">
        <w:pPr>
          <w:pStyle w:val="Footer"/>
          <w:spacing w:line="288" w:lineRule="auto"/>
          <w:jc w:val="left"/>
          <w:rPr>
            <w:noProof/>
            <w:sz w:val="18"/>
            <w:szCs w:val="18"/>
          </w:rPr>
        </w:pPr>
        <w:r w:rsidRPr="00EB32C7">
          <w:rPr>
            <w:sz w:val="18"/>
            <w:szCs w:val="18"/>
          </w:rPr>
          <w:fldChar w:fldCharType="begin"/>
        </w:r>
        <w:r w:rsidRPr="00EB32C7">
          <w:rPr>
            <w:sz w:val="18"/>
            <w:szCs w:val="18"/>
          </w:rPr>
          <w:instrText xml:space="preserve"> PAGE   \* MERGEFORMAT </w:instrText>
        </w:r>
        <w:r w:rsidRPr="00EB32C7">
          <w:rPr>
            <w:sz w:val="18"/>
            <w:szCs w:val="18"/>
          </w:rPr>
          <w:fldChar w:fldCharType="separate"/>
        </w:r>
        <w:r w:rsidR="00F17E05">
          <w:rPr>
            <w:noProof/>
            <w:sz w:val="18"/>
            <w:szCs w:val="18"/>
          </w:rPr>
          <w:t>57</w:t>
        </w:r>
        <w:r w:rsidRPr="00EB32C7">
          <w:rPr>
            <w:noProof/>
            <w:sz w:val="18"/>
            <w:szCs w:val="18"/>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866E63" w:rsidRDefault="00394EBA" w:rsidP="0033390A">
    <w:pPr>
      <w:pStyle w:val="Footer"/>
      <w:jc w:val="left"/>
      <w:rPr>
        <w:rStyle w:val="PageNumber"/>
        <w:sz w:val="18"/>
        <w:szCs w:val="18"/>
      </w:rPr>
    </w:pPr>
    <w:r w:rsidRPr="00866E63">
      <w:rPr>
        <w:rStyle w:val="PageNumber"/>
        <w:sz w:val="18"/>
        <w:szCs w:val="18"/>
      </w:rPr>
      <w:t>A</w:t>
    </w:r>
    <w:r w:rsidRPr="00866E63">
      <w:rPr>
        <w:rStyle w:val="PageNumber"/>
        <w:sz w:val="18"/>
        <w:szCs w:val="18"/>
      </w:rPr>
      <w:fldChar w:fldCharType="begin"/>
    </w:r>
    <w:r w:rsidRPr="00866E63">
      <w:rPr>
        <w:rStyle w:val="PageNumber"/>
        <w:sz w:val="18"/>
        <w:szCs w:val="18"/>
      </w:rPr>
      <w:instrText xml:space="preserve"> PAGE </w:instrText>
    </w:r>
    <w:r w:rsidRPr="00866E63">
      <w:rPr>
        <w:rStyle w:val="PageNumber"/>
        <w:sz w:val="18"/>
        <w:szCs w:val="18"/>
      </w:rPr>
      <w:fldChar w:fldCharType="separate"/>
    </w:r>
    <w:r w:rsidR="00337243">
      <w:rPr>
        <w:rStyle w:val="PageNumber"/>
        <w:noProof/>
        <w:sz w:val="18"/>
        <w:szCs w:val="18"/>
      </w:rPr>
      <w:t>2</w:t>
    </w:r>
    <w:r w:rsidRPr="00866E63">
      <w:rPr>
        <w:rStyle w:val="PageNumber"/>
        <w:sz w:val="18"/>
        <w:szCs w:val="18"/>
      </w:rPr>
      <w:fldChar w:fldCharType="end"/>
    </w:r>
    <w:r w:rsidRPr="00866E63">
      <w:rPr>
        <w:rStyle w:val="PageNumber"/>
        <w:sz w:val="18"/>
        <w:szCs w:val="18"/>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297290"/>
      <w:docPartObj>
        <w:docPartGallery w:val="Page Numbers (Bottom of Page)"/>
        <w:docPartUnique/>
      </w:docPartObj>
    </w:sdtPr>
    <w:sdtEndPr>
      <w:rPr>
        <w:noProof/>
        <w:sz w:val="18"/>
        <w:szCs w:val="18"/>
      </w:rPr>
    </w:sdtEndPr>
    <w:sdtContent>
      <w:p w:rsidR="00394EBA" w:rsidRPr="003D6176" w:rsidRDefault="00394EBA" w:rsidP="003057E2">
        <w:pPr>
          <w:pStyle w:val="Footer"/>
          <w:spacing w:line="288" w:lineRule="auto"/>
          <w:jc w:val="left"/>
          <w:rPr>
            <w:noProof/>
            <w:sz w:val="18"/>
            <w:szCs w:val="18"/>
          </w:rPr>
        </w:pPr>
      </w:p>
      <w:p w:rsidR="00394EBA" w:rsidRPr="003D6176" w:rsidRDefault="00394EBA" w:rsidP="0033390A">
        <w:pPr>
          <w:pStyle w:val="Footer"/>
          <w:spacing w:line="288" w:lineRule="auto"/>
          <w:jc w:val="right"/>
          <w:rPr>
            <w:noProof/>
            <w:sz w:val="18"/>
            <w:szCs w:val="18"/>
          </w:rPr>
        </w:pPr>
        <w:r w:rsidRPr="003D6176">
          <w:rPr>
            <w:sz w:val="18"/>
            <w:szCs w:val="18"/>
          </w:rPr>
          <w:t>A</w:t>
        </w:r>
        <w:r w:rsidRPr="003D6176">
          <w:rPr>
            <w:sz w:val="18"/>
            <w:szCs w:val="18"/>
          </w:rPr>
          <w:fldChar w:fldCharType="begin"/>
        </w:r>
        <w:r w:rsidRPr="003D6176">
          <w:rPr>
            <w:sz w:val="18"/>
            <w:szCs w:val="18"/>
          </w:rPr>
          <w:instrText xml:space="preserve"> PAGE   \* MERGEFORMAT </w:instrText>
        </w:r>
        <w:r w:rsidRPr="003D6176">
          <w:rPr>
            <w:sz w:val="18"/>
            <w:szCs w:val="18"/>
          </w:rPr>
          <w:fldChar w:fldCharType="separate"/>
        </w:r>
        <w:r w:rsidR="00337243">
          <w:rPr>
            <w:noProof/>
            <w:sz w:val="18"/>
            <w:szCs w:val="18"/>
          </w:rPr>
          <w:t>1</w:t>
        </w:r>
        <w:r w:rsidRPr="003D6176">
          <w:rPr>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D1AB0" w:rsidRPr="00D02D0C" w:rsidRDefault="00DD1AB0">
      <w:r w:rsidRPr="00D02D0C">
        <w:separator/>
      </w:r>
    </w:p>
  </w:footnote>
  <w:footnote w:type="continuationSeparator" w:id="0">
    <w:p w:rsidR="00DD1AB0" w:rsidRPr="00D02D0C" w:rsidRDefault="00DD1AB0">
      <w:r w:rsidRPr="00D02D0C">
        <w:continuationSeparator/>
      </w:r>
    </w:p>
  </w:footnote>
  <w:footnote w:id="1">
    <w:p w:rsidR="00394EBA" w:rsidRPr="00286E0E" w:rsidRDefault="00394EBA" w:rsidP="00296A50">
      <w:pPr>
        <w:pStyle w:val="FootnoteText"/>
        <w:ind w:left="284" w:hanging="284"/>
        <w:rPr>
          <w:i/>
          <w:sz w:val="16"/>
          <w:szCs w:val="16"/>
        </w:rPr>
      </w:pPr>
      <w:r w:rsidRPr="00286E0E">
        <w:rPr>
          <w:rStyle w:val="FootnoteReference"/>
          <w:i/>
          <w:sz w:val="16"/>
          <w:szCs w:val="16"/>
        </w:rPr>
        <w:footnoteRef/>
      </w:r>
      <w:r w:rsidRPr="00286E0E">
        <w:rPr>
          <w:i/>
          <w:sz w:val="16"/>
          <w:szCs w:val="16"/>
        </w:rPr>
        <w:t xml:space="preserve"> </w:t>
      </w:r>
      <w:r>
        <w:rPr>
          <w:i/>
          <w:sz w:val="16"/>
          <w:szCs w:val="16"/>
        </w:rPr>
        <w:tab/>
      </w:r>
      <w:r w:rsidRPr="00286E0E">
        <w:rPr>
          <w:i/>
          <w:sz w:val="16"/>
          <w:szCs w:val="16"/>
        </w:rPr>
        <w:t>In this report any reference to</w:t>
      </w:r>
      <w:r>
        <w:rPr>
          <w:i/>
          <w:sz w:val="16"/>
          <w:szCs w:val="16"/>
        </w:rPr>
        <w:t xml:space="preserve"> the education level of</w:t>
      </w:r>
      <w:r w:rsidRPr="00286E0E">
        <w:rPr>
          <w:i/>
          <w:sz w:val="16"/>
          <w:szCs w:val="16"/>
        </w:rPr>
        <w:t xml:space="preserve"> </w:t>
      </w:r>
      <w:r>
        <w:rPr>
          <w:i/>
          <w:sz w:val="16"/>
          <w:szCs w:val="16"/>
        </w:rPr>
        <w:t>‘</w:t>
      </w:r>
      <w:r w:rsidRPr="00286E0E">
        <w:rPr>
          <w:i/>
          <w:sz w:val="16"/>
          <w:szCs w:val="16"/>
        </w:rPr>
        <w:t>upper secondary</w:t>
      </w:r>
      <w:r>
        <w:rPr>
          <w:i/>
          <w:sz w:val="16"/>
          <w:szCs w:val="16"/>
        </w:rPr>
        <w:t xml:space="preserve"> education’</w:t>
      </w:r>
      <w:r w:rsidRPr="00286E0E">
        <w:rPr>
          <w:i/>
          <w:sz w:val="16"/>
          <w:szCs w:val="16"/>
        </w:rPr>
        <w:t xml:space="preserve"> includes post-secondary non-tertiary education unless specified otherwise</w:t>
      </w:r>
      <w:r>
        <w:rPr>
          <w:i/>
          <w:sz w:val="16"/>
          <w:szCs w:val="16"/>
        </w:rPr>
        <w:t>.</w:t>
      </w:r>
    </w:p>
  </w:footnote>
  <w:footnote w:id="2">
    <w:p w:rsidR="00394EBA" w:rsidRPr="001C3DCB" w:rsidRDefault="00394EBA" w:rsidP="00296A50">
      <w:pPr>
        <w:pStyle w:val="FootnoteText"/>
        <w:ind w:left="284" w:hanging="284"/>
        <w:rPr>
          <w:i/>
          <w:sz w:val="16"/>
          <w:szCs w:val="16"/>
        </w:rPr>
      </w:pPr>
      <w:r w:rsidRPr="00286E0E">
        <w:rPr>
          <w:rStyle w:val="FootnoteReference"/>
          <w:i/>
          <w:sz w:val="16"/>
          <w:szCs w:val="16"/>
        </w:rPr>
        <w:footnoteRef/>
      </w:r>
      <w:r w:rsidRPr="00286E0E">
        <w:rPr>
          <w:i/>
          <w:sz w:val="16"/>
          <w:szCs w:val="16"/>
        </w:rPr>
        <w:t xml:space="preserve"> </w:t>
      </w:r>
      <w:r>
        <w:rPr>
          <w:i/>
          <w:sz w:val="16"/>
          <w:szCs w:val="16"/>
        </w:rPr>
        <w:tab/>
      </w:r>
      <w:r w:rsidRPr="00286E0E">
        <w:rPr>
          <w:i/>
          <w:sz w:val="16"/>
          <w:szCs w:val="16"/>
        </w:rPr>
        <w:t>The partial effect is the effect of an independent/control</w:t>
      </w:r>
      <w:r w:rsidRPr="001C3DCB">
        <w:rPr>
          <w:i/>
          <w:sz w:val="16"/>
          <w:szCs w:val="16"/>
        </w:rPr>
        <w:t xml:space="preserve"> variable, here educational attainment, on a dependent/outcome variable, here competences as assessed through PIAAC, while controlling for other factors.</w:t>
      </w:r>
    </w:p>
  </w:footnote>
  <w:footnote w:id="3">
    <w:p w:rsidR="00394EBA" w:rsidRPr="001C3DCB" w:rsidRDefault="00394EBA" w:rsidP="00651009">
      <w:pPr>
        <w:pStyle w:val="BodyText"/>
        <w:spacing w:after="0"/>
        <w:ind w:left="284" w:hanging="284"/>
        <w:rPr>
          <w:rFonts w:cs="Arial"/>
          <w:i/>
          <w:sz w:val="16"/>
          <w:szCs w:val="16"/>
          <w:lang w:eastAsia="en-US"/>
        </w:rPr>
      </w:pPr>
      <w:r>
        <w:rPr>
          <w:rFonts w:cs="Arial"/>
          <w:i/>
          <w:sz w:val="16"/>
          <w:szCs w:val="16"/>
          <w:vertAlign w:val="superscript"/>
          <w:lang w:eastAsia="en-US"/>
        </w:rPr>
        <w:t>3</w:t>
      </w:r>
      <w:r>
        <w:rPr>
          <w:rFonts w:cs="Arial"/>
          <w:i/>
          <w:sz w:val="16"/>
          <w:szCs w:val="16"/>
          <w:vertAlign w:val="superscript"/>
          <w:lang w:eastAsia="en-US"/>
        </w:rPr>
        <w:tab/>
      </w:r>
      <w:r w:rsidRPr="001C3DCB">
        <w:rPr>
          <w:rFonts w:cs="Arial"/>
          <w:i/>
          <w:sz w:val="16"/>
          <w:szCs w:val="16"/>
          <w:lang w:eastAsia="en-US"/>
        </w:rPr>
        <w:t>Australia, Austria, Belgium (only Flanders), Canada, Cyprus, the Czech Republic, Denmark, Estonia, Finland, France, Germany, Ireland, Italy, Japan, Korea, the Netherlands, Norway, Poland, Russia, The Slovak Republic, Spain, Sweden, the United Kingdom (only England and Northern Ireland) and the United States.</w:t>
      </w:r>
    </w:p>
  </w:footnote>
  <w:footnote w:id="4">
    <w:p w:rsidR="00394EBA" w:rsidRPr="001C3DCB" w:rsidRDefault="00394EBA" w:rsidP="00D90F9E">
      <w:pPr>
        <w:pStyle w:val="FootnoteText"/>
        <w:ind w:left="284" w:hanging="284"/>
        <w:jc w:val="left"/>
        <w:rPr>
          <w:i/>
          <w:sz w:val="16"/>
          <w:szCs w:val="16"/>
        </w:rPr>
      </w:pPr>
      <w:r w:rsidRPr="001C3DCB">
        <w:rPr>
          <w:rStyle w:val="FootnoteReference"/>
          <w:i/>
          <w:sz w:val="16"/>
          <w:szCs w:val="16"/>
        </w:rPr>
        <w:footnoteRef/>
      </w:r>
      <w:r>
        <w:rPr>
          <w:i/>
          <w:sz w:val="16"/>
          <w:szCs w:val="16"/>
        </w:rPr>
        <w:t xml:space="preserve">    </w:t>
      </w:r>
      <w:r w:rsidRPr="001C3DCB">
        <w:rPr>
          <w:i/>
          <w:sz w:val="16"/>
          <w:szCs w:val="16"/>
        </w:rPr>
        <w:t xml:space="preserve">Eurostat website, </w:t>
      </w:r>
      <w:hyperlink r:id="rId1" w:history="1">
        <w:r w:rsidRPr="001C3DCB">
          <w:rPr>
            <w:rStyle w:val="Hyperlink"/>
            <w:i/>
            <w:sz w:val="16"/>
            <w:szCs w:val="16"/>
          </w:rPr>
          <w:t>http://ec.europa.eu/eurostat/cache/metadata/en/edat_esms.htm</w:t>
        </w:r>
      </w:hyperlink>
      <w:r w:rsidRPr="001C3DCB">
        <w:rPr>
          <w:rStyle w:val="Hyperlink"/>
          <w:i/>
          <w:sz w:val="16"/>
          <w:szCs w:val="16"/>
        </w:rPr>
        <w:t>,</w:t>
      </w:r>
      <w:r w:rsidRPr="001C3DCB">
        <w:rPr>
          <w:i/>
          <w:sz w:val="16"/>
          <w:szCs w:val="16"/>
        </w:rPr>
        <w:t xml:space="preserve"> indicators edat_lfse_05, edat_lfse_06, edat_lfse_07, (accessed 29.06.2015)</w:t>
      </w:r>
    </w:p>
  </w:footnote>
  <w:footnote w:id="5">
    <w:p w:rsidR="00394EBA" w:rsidRPr="001C3DCB" w:rsidRDefault="00394EBA" w:rsidP="00D90F9E">
      <w:pPr>
        <w:pStyle w:val="FootnoteText"/>
        <w:ind w:left="284" w:hanging="284"/>
        <w:jc w:val="left"/>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ibid</w:t>
      </w:r>
    </w:p>
  </w:footnote>
  <w:footnote w:id="6">
    <w:p w:rsidR="00394EBA" w:rsidRPr="001C3DCB" w:rsidRDefault="00394EBA" w:rsidP="00D90F9E">
      <w:pPr>
        <w:pStyle w:val="FootnoteText"/>
        <w:ind w:left="284" w:hanging="284"/>
        <w:jc w:val="left"/>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Data prior to 2014 also includes ISCED 3C short, which refer to ISCED level 3 educational programmes of under two years duration.</w:t>
      </w:r>
    </w:p>
  </w:footnote>
  <w:footnote w:id="7">
    <w:p w:rsidR="00394EBA" w:rsidRPr="001C3DCB" w:rsidRDefault="00394EBA" w:rsidP="00D90F9E">
      <w:pPr>
        <w:pStyle w:val="FootnoteText"/>
        <w:ind w:left="284" w:hanging="284"/>
        <w:jc w:val="left"/>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Data prior to 2014 is coded following the ISCED 1997 classification, including ISCED levels 3A, 3B, 3C long and 4.</w:t>
      </w:r>
    </w:p>
  </w:footnote>
  <w:footnote w:id="8">
    <w:p w:rsidR="00394EBA" w:rsidRPr="001C3DCB" w:rsidRDefault="00394EBA" w:rsidP="00D90F9E">
      <w:pPr>
        <w:pStyle w:val="FootnoteText"/>
        <w:ind w:left="284" w:hanging="284"/>
        <w:jc w:val="left"/>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Data prior to 2014 is coded following the ISCED 1997 classification, including levels 5 and 6.</w:t>
      </w:r>
    </w:p>
  </w:footnote>
  <w:footnote w:id="9">
    <w:p w:rsidR="00394EBA" w:rsidRPr="001C3DCB" w:rsidRDefault="00394EBA" w:rsidP="00651009">
      <w:pPr>
        <w:pStyle w:val="FootnoteText"/>
        <w:ind w:left="284" w:hanging="284"/>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Early school leavers are defined as those young people aged 18-24 who have left school prior to completing upper secondary education (whether general or vocational)</w:t>
      </w:r>
    </w:p>
  </w:footnote>
  <w:footnote w:id="10">
    <w:p w:rsidR="00394EBA" w:rsidRPr="001C3DCB" w:rsidRDefault="00394EBA" w:rsidP="00651009">
      <w:pPr>
        <w:pStyle w:val="FootnoteText"/>
        <w:ind w:left="284" w:hanging="284"/>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Who went through upper secondary education approximately between 1980 and 1995.</w:t>
      </w:r>
    </w:p>
  </w:footnote>
  <w:footnote w:id="11">
    <w:p w:rsidR="00394EBA" w:rsidRPr="001C3DCB" w:rsidRDefault="00394EBA" w:rsidP="00651009">
      <w:pPr>
        <w:pStyle w:val="FootnoteText"/>
        <w:ind w:left="284" w:hanging="284"/>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Who went through upper secondary education approximately between 1995 and 2010.</w:t>
      </w:r>
    </w:p>
  </w:footnote>
  <w:footnote w:id="12">
    <w:p w:rsidR="00394EBA" w:rsidRPr="001C3DCB" w:rsidRDefault="00394EBA" w:rsidP="00651009">
      <w:pPr>
        <w:pStyle w:val="FootnoteText"/>
        <w:ind w:left="284" w:hanging="284"/>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Includes only England and Northern Ireland for PIAAC</w:t>
      </w:r>
    </w:p>
  </w:footnote>
  <w:footnote w:id="13">
    <w:p w:rsidR="00394EBA" w:rsidRPr="001C3DCB" w:rsidRDefault="00394EBA" w:rsidP="00651009">
      <w:pPr>
        <w:pStyle w:val="FootnoteText"/>
        <w:ind w:left="284" w:hanging="284"/>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Includes only England and Northern Ireland in PIAAC</w:t>
      </w:r>
    </w:p>
  </w:footnote>
  <w:footnote w:id="14">
    <w:p w:rsidR="00394EBA" w:rsidRPr="001C3DCB" w:rsidRDefault="00394EBA" w:rsidP="00D90F9E">
      <w:pPr>
        <w:pStyle w:val="FootnoteText"/>
        <w:ind w:left="284" w:hanging="284"/>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Primary education is here not analysed separately due to small sample sizes in this category.</w:t>
      </w:r>
    </w:p>
  </w:footnote>
  <w:footnote w:id="15">
    <w:p w:rsidR="00394EBA" w:rsidRPr="001C3DCB" w:rsidRDefault="00394EBA" w:rsidP="00D90F9E">
      <w:pPr>
        <w:autoSpaceDE w:val="0"/>
        <w:autoSpaceDN w:val="0"/>
        <w:adjustRightInd w:val="0"/>
        <w:ind w:left="284" w:hanging="284"/>
        <w:rPr>
          <w:rFonts w:cs="Arial"/>
          <w:bCs/>
          <w:i/>
          <w:sz w:val="16"/>
          <w:szCs w:val="16"/>
        </w:rPr>
      </w:pPr>
      <w:r w:rsidRPr="001C3DCB">
        <w:rPr>
          <w:bCs/>
          <w:i/>
          <w:sz w:val="16"/>
          <w:szCs w:val="16"/>
          <w:vertAlign w:val="superscript"/>
        </w:rPr>
        <w:footnoteRef/>
      </w:r>
      <w:r w:rsidRPr="001C3DCB">
        <w:rPr>
          <w:rFonts w:cs="Arial"/>
          <w:bCs/>
          <w:i/>
          <w:sz w:val="16"/>
          <w:szCs w:val="16"/>
          <w:vertAlign w:val="superscript"/>
        </w:rPr>
        <w:t xml:space="preserve"> </w:t>
      </w:r>
      <w:r>
        <w:rPr>
          <w:rFonts w:cs="Arial"/>
          <w:bCs/>
          <w:i/>
          <w:sz w:val="16"/>
          <w:szCs w:val="16"/>
          <w:vertAlign w:val="superscript"/>
        </w:rPr>
        <w:tab/>
      </w:r>
      <w:r w:rsidRPr="001C3DCB">
        <w:rPr>
          <w:rFonts w:cs="Arial"/>
          <w:bCs/>
          <w:i/>
          <w:sz w:val="16"/>
          <w:szCs w:val="16"/>
        </w:rPr>
        <w:t>EU-16 average is a non-weighted average; all Member States are given the same weight.</w:t>
      </w:r>
    </w:p>
  </w:footnote>
  <w:footnote w:id="16">
    <w:p w:rsidR="00394EBA" w:rsidRPr="001C3DCB" w:rsidRDefault="00394EBA" w:rsidP="00651009">
      <w:pPr>
        <w:pStyle w:val="FootnoteText"/>
        <w:ind w:left="284" w:hanging="284"/>
        <w:rPr>
          <w:rFonts w:cs="Arial"/>
          <w:i/>
          <w:sz w:val="16"/>
          <w:szCs w:val="16"/>
        </w:rPr>
      </w:pPr>
      <w:r w:rsidRPr="001C3DCB">
        <w:rPr>
          <w:rStyle w:val="FootnoteReference"/>
          <w:rFonts w:cs="Arial"/>
          <w:i/>
          <w:sz w:val="16"/>
          <w:szCs w:val="16"/>
        </w:rPr>
        <w:footnoteRef/>
      </w:r>
      <w:r w:rsidRPr="001C3DCB">
        <w:rPr>
          <w:rFonts w:cs="Arial"/>
          <w:i/>
          <w:sz w:val="16"/>
          <w:szCs w:val="16"/>
        </w:rPr>
        <w:t xml:space="preserve"> </w:t>
      </w:r>
      <w:r>
        <w:rPr>
          <w:rFonts w:cs="Arial"/>
          <w:i/>
          <w:sz w:val="16"/>
          <w:szCs w:val="16"/>
        </w:rPr>
        <w:tab/>
      </w:r>
      <w:r w:rsidRPr="001C3DCB">
        <w:rPr>
          <w:rFonts w:cs="Arial"/>
          <w:i/>
          <w:sz w:val="16"/>
          <w:szCs w:val="16"/>
        </w:rPr>
        <w:t>The gap to lower secondary is selected here instead of the gap to primary due to the generally low precision of the estimates for those with only primary education.</w:t>
      </w:r>
    </w:p>
  </w:footnote>
  <w:footnote w:id="17">
    <w:p w:rsidR="00394EBA" w:rsidRPr="001C3DCB" w:rsidRDefault="00394EBA" w:rsidP="00651009">
      <w:pPr>
        <w:pStyle w:val="FootnoteText"/>
        <w:ind w:left="284" w:hanging="284"/>
        <w:rPr>
          <w:rFonts w:cs="Arial"/>
          <w:i/>
          <w:sz w:val="16"/>
          <w:szCs w:val="16"/>
        </w:rPr>
      </w:pPr>
      <w:r w:rsidRPr="001C3DCB">
        <w:rPr>
          <w:rStyle w:val="FootnoteReference"/>
          <w:rFonts w:cs="Arial"/>
          <w:i/>
          <w:sz w:val="16"/>
          <w:szCs w:val="16"/>
        </w:rPr>
        <w:footnoteRef/>
      </w:r>
      <w:r w:rsidRPr="001C3DCB">
        <w:rPr>
          <w:rFonts w:cs="Arial"/>
          <w:i/>
          <w:sz w:val="16"/>
          <w:szCs w:val="16"/>
        </w:rPr>
        <w:t xml:space="preserve"> </w:t>
      </w:r>
      <w:r>
        <w:rPr>
          <w:rFonts w:cs="Arial"/>
          <w:i/>
          <w:sz w:val="16"/>
          <w:szCs w:val="16"/>
        </w:rPr>
        <w:tab/>
      </w:r>
      <w:r w:rsidRPr="001C3DCB">
        <w:rPr>
          <w:rFonts w:cs="Arial"/>
          <w:i/>
          <w:sz w:val="16"/>
          <w:szCs w:val="16"/>
        </w:rPr>
        <w:t>EU-16 average is a non-weighted average; all Member States are given the same weight.</w:t>
      </w:r>
    </w:p>
  </w:footnote>
  <w:footnote w:id="18">
    <w:p w:rsidR="00394EBA" w:rsidRDefault="00394EBA" w:rsidP="00651009">
      <w:pPr>
        <w:pStyle w:val="FootnoteText"/>
        <w:ind w:left="284" w:hanging="284"/>
      </w:pPr>
      <w:r w:rsidRPr="00651009">
        <w:rPr>
          <w:rStyle w:val="FootnoteReference"/>
          <w:i/>
          <w:sz w:val="16"/>
          <w:szCs w:val="16"/>
        </w:rPr>
        <w:footnoteRef/>
      </w:r>
      <w:r w:rsidRPr="00651009">
        <w:rPr>
          <w:rStyle w:val="FootnoteReference"/>
          <w:i/>
          <w:sz w:val="16"/>
          <w:szCs w:val="16"/>
        </w:rPr>
        <w:t xml:space="preserve"> </w:t>
      </w:r>
      <w:r>
        <w:rPr>
          <w:i/>
          <w:sz w:val="16"/>
          <w:szCs w:val="16"/>
        </w:rPr>
        <w:tab/>
      </w:r>
      <w:r w:rsidRPr="00651009">
        <w:rPr>
          <w:rStyle w:val="FootnoteReference"/>
          <w:i/>
          <w:sz w:val="16"/>
          <w:szCs w:val="16"/>
          <w:vertAlign w:val="baseline"/>
        </w:rPr>
        <w:t>Derived variable included in the PIAAC dataset based on ISCO classification</w:t>
      </w:r>
      <w:r w:rsidRPr="00651009">
        <w:rPr>
          <w:rStyle w:val="FootnoteReference"/>
          <w:i/>
          <w:sz w:val="16"/>
          <w:szCs w:val="16"/>
        </w:rPr>
        <w:t>.</w:t>
      </w:r>
    </w:p>
  </w:footnote>
  <w:footnote w:id="19">
    <w:p w:rsidR="00394EBA" w:rsidRPr="003C75D6" w:rsidRDefault="00394EBA" w:rsidP="00651009">
      <w:pPr>
        <w:pStyle w:val="FootnoteText"/>
        <w:ind w:left="284" w:hanging="284"/>
        <w:rPr>
          <w:i/>
          <w:sz w:val="16"/>
          <w:szCs w:val="16"/>
        </w:rPr>
      </w:pPr>
      <w:r w:rsidRPr="003C75D6">
        <w:rPr>
          <w:rStyle w:val="FootnoteReference"/>
          <w:i/>
          <w:sz w:val="16"/>
          <w:szCs w:val="16"/>
        </w:rPr>
        <w:footnoteRef/>
      </w:r>
      <w:r w:rsidRPr="003C75D6">
        <w:rPr>
          <w:i/>
          <w:sz w:val="16"/>
          <w:szCs w:val="16"/>
        </w:rPr>
        <w:t xml:space="preserve"> </w:t>
      </w:r>
      <w:r>
        <w:rPr>
          <w:i/>
          <w:sz w:val="16"/>
          <w:szCs w:val="16"/>
        </w:rPr>
        <w:tab/>
      </w:r>
      <w:r w:rsidRPr="003C75D6">
        <w:rPr>
          <w:i/>
          <w:sz w:val="16"/>
          <w:szCs w:val="16"/>
        </w:rPr>
        <w:t>Please note that</w:t>
      </w:r>
      <w:r>
        <w:rPr>
          <w:i/>
          <w:sz w:val="16"/>
          <w:szCs w:val="16"/>
        </w:rPr>
        <w:t xml:space="preserve"> this</w:t>
      </w:r>
      <w:r w:rsidRPr="003C75D6">
        <w:rPr>
          <w:i/>
          <w:sz w:val="16"/>
          <w:szCs w:val="16"/>
        </w:rPr>
        <w:t xml:space="preserve"> </w:t>
      </w:r>
      <w:r>
        <w:rPr>
          <w:i/>
          <w:sz w:val="16"/>
          <w:szCs w:val="16"/>
        </w:rPr>
        <w:t>‘gain’ should not be interpreted as the causal effect of educational attainment oncompetences, as highlighted in Section 5.3.2 above.</w:t>
      </w:r>
    </w:p>
  </w:footnote>
  <w:footnote w:id="20">
    <w:p w:rsidR="00394EBA" w:rsidRPr="001C3DCB" w:rsidRDefault="00394EBA" w:rsidP="00D90F9E">
      <w:pPr>
        <w:pStyle w:val="FootnoteText"/>
        <w:ind w:left="284" w:hanging="284"/>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This is an approximation. The correct conversion into percentage would be equivalent to exp(coefficient)-1.</w:t>
      </w:r>
    </w:p>
  </w:footnote>
  <w:footnote w:id="21">
    <w:p w:rsidR="00394EBA" w:rsidRPr="001C3DCB" w:rsidRDefault="00394EBA" w:rsidP="00D90F9E">
      <w:pPr>
        <w:pStyle w:val="FootnoteText"/>
        <w:spacing w:after="120" w:line="288" w:lineRule="auto"/>
        <w:ind w:left="284" w:hanging="284"/>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It should be noted that the applied methodology implies a comparison of average competence levels of young people at different levels of educational attainment. While this implies that results have an easily understandable and intuitive interpretation, it is vulnerable to outliers. Future research could explore the application of quintile regression to circumvent this potential bias.</w:t>
      </w:r>
    </w:p>
  </w:footnote>
  <w:footnote w:id="22">
    <w:p w:rsidR="00394EBA" w:rsidRPr="001C3DCB" w:rsidRDefault="00394EBA" w:rsidP="00651009">
      <w:pPr>
        <w:pStyle w:val="FootnoteText"/>
        <w:ind w:left="284" w:hanging="284"/>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This is an approximation. The correct conversion into percentage would be equivalent to exp(coefficient)-1.</w:t>
      </w:r>
    </w:p>
  </w:footnote>
  <w:footnote w:id="23">
    <w:p w:rsidR="00394EBA" w:rsidRPr="001C3DCB" w:rsidRDefault="00394EBA" w:rsidP="00D90F9E">
      <w:pPr>
        <w:pStyle w:val="FootnoteText"/>
        <w:ind w:left="284" w:hanging="284"/>
        <w:rPr>
          <w:rFonts w:cs="Arial"/>
          <w:i/>
          <w:sz w:val="16"/>
          <w:szCs w:val="16"/>
        </w:rPr>
      </w:pPr>
      <w:r w:rsidRPr="001C3DCB">
        <w:rPr>
          <w:rStyle w:val="FootnoteReference"/>
          <w:i/>
          <w:sz w:val="16"/>
          <w:szCs w:val="16"/>
        </w:rPr>
        <w:footnoteRef/>
      </w:r>
      <w:r w:rsidRPr="001C3DCB">
        <w:rPr>
          <w:rFonts w:cs="Arial"/>
          <w:i/>
          <w:sz w:val="16"/>
          <w:szCs w:val="16"/>
        </w:rPr>
        <w:t xml:space="preserve">  </w:t>
      </w:r>
      <w:r>
        <w:rPr>
          <w:rFonts w:cs="Arial"/>
          <w:i/>
          <w:sz w:val="16"/>
          <w:szCs w:val="16"/>
        </w:rPr>
        <w:tab/>
      </w:r>
      <w:r w:rsidRPr="001C3DCB">
        <w:rPr>
          <w:rFonts w:cs="Arial"/>
          <w:i/>
          <w:sz w:val="16"/>
          <w:szCs w:val="16"/>
        </w:rPr>
        <w:t xml:space="preserve">Hanushek and Woessman also find a correlation at 0.86 in both math and science across the 21 countries participating both in the TIMSS 1999 tests and the PISA 2000/02 tests (Hanushek and Woessman 2010). </w:t>
      </w:r>
    </w:p>
  </w:footnote>
  <w:footnote w:id="24">
    <w:p w:rsidR="00394EBA" w:rsidRPr="001C3DCB" w:rsidRDefault="00394EBA" w:rsidP="00D90F9E">
      <w:pPr>
        <w:pStyle w:val="FootnoteText"/>
        <w:ind w:left="284" w:hanging="284"/>
        <w:rPr>
          <w:i/>
          <w:sz w:val="16"/>
          <w:szCs w:val="16"/>
          <w:lang w:val="en-US"/>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Theoretical limitations and data availability make it very likely that some relevant factors are omitted in our analysis. Given these limitations, an OLS estimator or a simple mean comparison of proficiency at age 27 are likely to be biased as they do not take into account systematic differences between countries at the beginning of upper secondary phase. The advantage of the DID estimator is that it controls for omitted systematic (time-constant) factors that are likely to affect the outcome over and above the impact of the independent variable</w:t>
      </w:r>
      <w:r w:rsidRPr="001C3DCB">
        <w:rPr>
          <w:rFonts w:eastAsia="Batang" w:cs="Arial"/>
          <w:i/>
          <w:color w:val="00000A"/>
          <w:w w:val="110"/>
          <w:sz w:val="16"/>
          <w:szCs w:val="16"/>
        </w:rPr>
        <w:t>.</w:t>
      </w:r>
    </w:p>
  </w:footnote>
  <w:footnote w:id="25">
    <w:p w:rsidR="00394EBA" w:rsidRPr="001C3DCB" w:rsidRDefault="00394EBA" w:rsidP="00D90F9E">
      <w:pPr>
        <w:pStyle w:val="EndnoteText"/>
        <w:ind w:left="284" w:hanging="284"/>
        <w:rPr>
          <w:rFonts w:ascii="Verdana" w:eastAsia="Times New Roman" w:hAnsi="Verdana"/>
          <w:i/>
          <w:color w:val="00000A"/>
          <w:sz w:val="16"/>
          <w:szCs w:val="16"/>
          <w:lang w:val="en-US"/>
        </w:rPr>
      </w:pPr>
      <w:r w:rsidRPr="001C3DCB">
        <w:rPr>
          <w:rStyle w:val="FootnoteReference"/>
          <w:rFonts w:ascii="Verdana" w:hAnsi="Verdana"/>
          <w:i/>
          <w:sz w:val="16"/>
          <w:szCs w:val="16"/>
        </w:rPr>
        <w:footnoteRef/>
      </w:r>
      <w:r w:rsidRPr="002C65C6">
        <w:rPr>
          <w:rFonts w:ascii="Verdana" w:hAnsi="Verdana"/>
          <w:i/>
          <w:sz w:val="16"/>
          <w:szCs w:val="16"/>
          <w:lang w:val="en-GB"/>
        </w:rPr>
        <w:t xml:space="preserve"> </w:t>
      </w:r>
      <w:r w:rsidRPr="002C65C6">
        <w:rPr>
          <w:rFonts w:ascii="Verdana" w:hAnsi="Verdana"/>
          <w:i/>
          <w:sz w:val="16"/>
          <w:szCs w:val="16"/>
          <w:lang w:val="en-GB"/>
        </w:rPr>
        <w:tab/>
        <w:t>Denmark could be considered a borderline case because up to 30% of young people take a form of apprenticeship, but many of the apprentices are not on traditional apprentice contracts as in Dual System apprenticeships.</w:t>
      </w:r>
    </w:p>
    <w:p w:rsidR="00394EBA" w:rsidRPr="001C3DCB" w:rsidRDefault="00394EBA" w:rsidP="00296A50">
      <w:pPr>
        <w:pStyle w:val="FootnoteText"/>
        <w:ind w:left="567" w:hanging="567"/>
        <w:rPr>
          <w:i/>
          <w:sz w:val="16"/>
          <w:szCs w:val="16"/>
        </w:rPr>
      </w:pPr>
    </w:p>
  </w:footnote>
  <w:footnote w:id="26">
    <w:p w:rsidR="00394EBA" w:rsidRPr="001C3DCB" w:rsidRDefault="00394EBA" w:rsidP="00651009">
      <w:pPr>
        <w:pStyle w:val="FootnoteText"/>
        <w:ind w:left="284" w:hanging="284"/>
        <w:jc w:val="left"/>
        <w:rPr>
          <w:i/>
          <w:sz w:val="16"/>
          <w:szCs w:val="16"/>
        </w:rPr>
      </w:pPr>
      <w:r w:rsidRPr="001C3DCB">
        <w:rPr>
          <w:rStyle w:val="FootnoteReference"/>
          <w:i/>
          <w:sz w:val="16"/>
          <w:szCs w:val="16"/>
        </w:rPr>
        <w:footnoteRef/>
      </w:r>
      <w:r w:rsidRPr="001C3DCB">
        <w:rPr>
          <w:i/>
          <w:sz w:val="16"/>
          <w:szCs w:val="16"/>
        </w:rPr>
        <w:t xml:space="preserve"> </w:t>
      </w:r>
      <w:r>
        <w:rPr>
          <w:i/>
          <w:sz w:val="16"/>
          <w:szCs w:val="16"/>
        </w:rPr>
        <w:tab/>
      </w:r>
      <w:r w:rsidRPr="001C3DCB">
        <w:rPr>
          <w:i/>
          <w:sz w:val="16"/>
          <w:szCs w:val="16"/>
        </w:rPr>
        <w:t xml:space="preserve">See Eurostat data at:  </w:t>
      </w:r>
      <w:hyperlink r:id="rId2" w:tgtFrame="_blank" w:history="1">
        <w:r w:rsidRPr="001C3DCB">
          <w:rPr>
            <w:rStyle w:val="Hyperlink"/>
            <w:i/>
            <w:color w:val="0000FF"/>
            <w:sz w:val="16"/>
            <w:szCs w:val="16"/>
          </w:rPr>
          <w:t>http://epp.eurostat.ec.europa.eu/statistics_explained/index.php/School_enrolment_and_early_leavers_from_education_and_training</w:t>
        </w:r>
      </w:hyperlink>
    </w:p>
    <w:p w:rsidR="00394EBA" w:rsidRPr="001C3DCB" w:rsidRDefault="00394EBA" w:rsidP="00296A50">
      <w:pPr>
        <w:pStyle w:val="FootnoteText"/>
        <w:ind w:left="567" w:hanging="567"/>
        <w:rPr>
          <w:i/>
          <w:sz w:val="16"/>
          <w:szCs w:val="16"/>
        </w:rPr>
      </w:pPr>
    </w:p>
  </w:footnote>
  <w:footnote w:id="27">
    <w:p w:rsidR="00394EBA" w:rsidRPr="001C3DCB" w:rsidRDefault="00394EBA" w:rsidP="00D90F9E">
      <w:pPr>
        <w:pStyle w:val="FootnoteText"/>
        <w:ind w:left="284" w:hanging="284"/>
        <w:rPr>
          <w:i/>
          <w:sz w:val="16"/>
          <w:szCs w:val="16"/>
          <w:lang w:val="en-US"/>
        </w:rPr>
      </w:pPr>
      <w:r w:rsidRPr="001C3DCB">
        <w:rPr>
          <w:rStyle w:val="FootnoteReference"/>
          <w:i/>
          <w:sz w:val="16"/>
          <w:szCs w:val="16"/>
        </w:rPr>
        <w:footnoteRef/>
      </w:r>
      <w:r w:rsidRPr="001C3DCB">
        <w:rPr>
          <w:rFonts w:cs="Arial"/>
          <w:i/>
          <w:sz w:val="16"/>
          <w:szCs w:val="16"/>
        </w:rPr>
        <w:t xml:space="preserve"> </w:t>
      </w:r>
      <w:r>
        <w:rPr>
          <w:rFonts w:cs="Arial"/>
          <w:i/>
          <w:sz w:val="16"/>
          <w:szCs w:val="16"/>
        </w:rPr>
        <w:tab/>
      </w:r>
      <w:r w:rsidRPr="001C3DCB">
        <w:rPr>
          <w:rFonts w:cs="Arial"/>
          <w:i/>
          <w:sz w:val="16"/>
          <w:szCs w:val="16"/>
        </w:rPr>
        <w:t>The Trends in International Maths and Science Study (TIMSS), targeting 4</w:t>
      </w:r>
      <w:r w:rsidRPr="001C3DCB">
        <w:rPr>
          <w:rFonts w:cs="Arial"/>
          <w:i/>
          <w:sz w:val="16"/>
          <w:szCs w:val="16"/>
          <w:vertAlign w:val="superscript"/>
        </w:rPr>
        <w:t>th</w:t>
      </w:r>
      <w:r w:rsidRPr="001C3DCB">
        <w:rPr>
          <w:rFonts w:cs="Arial"/>
          <w:i/>
          <w:sz w:val="16"/>
          <w:szCs w:val="16"/>
        </w:rPr>
        <w:t xml:space="preserve"> and 8th grade students in 2003, 2007 and 2011, was preceded by the Third International Maths and Science Study (also known as TIMSS) which focussed on 9, 13 and 18 year olds in 1995 and was repeated with 13 year olds in 1999. Preceding these were the first and second international maths studies in 1964 (FIMS) and 1980 (SIMS) and the first and second international science studies in 1970 (FISS) and in 1983 (SISS). Both of these targeted 10 and 14 year old students.</w:t>
      </w:r>
      <w:r w:rsidRPr="001C3DCB">
        <w:rPr>
          <w:i/>
          <w:sz w:val="16"/>
          <w:szCs w:val="16"/>
        </w:rPr>
        <w:t xml:space="preserve">  </w:t>
      </w:r>
    </w:p>
  </w:footnote>
  <w:footnote w:id="28">
    <w:p w:rsidR="00394EBA" w:rsidRPr="001C3DCB" w:rsidRDefault="00394EBA" w:rsidP="00D90F9E">
      <w:pPr>
        <w:pStyle w:val="FootnoteText"/>
        <w:tabs>
          <w:tab w:val="left" w:pos="0"/>
        </w:tabs>
        <w:ind w:left="284" w:hanging="284"/>
        <w:rPr>
          <w:i/>
          <w:sz w:val="16"/>
          <w:szCs w:val="16"/>
          <w:lang w:val="en-US"/>
        </w:rPr>
      </w:pPr>
      <w:r w:rsidRPr="001C3DCB">
        <w:rPr>
          <w:rStyle w:val="FootnoteReference"/>
          <w:i/>
          <w:sz w:val="16"/>
          <w:szCs w:val="16"/>
        </w:rPr>
        <w:footnoteRef/>
      </w:r>
      <w:r w:rsidRPr="001C3DCB">
        <w:rPr>
          <w:rFonts w:cs="Arial"/>
          <w:i/>
          <w:sz w:val="16"/>
          <w:szCs w:val="16"/>
        </w:rPr>
        <w:t xml:space="preserve"> </w:t>
      </w:r>
      <w:r>
        <w:rPr>
          <w:rFonts w:cs="Arial"/>
          <w:i/>
          <w:sz w:val="16"/>
          <w:szCs w:val="16"/>
        </w:rPr>
        <w:tab/>
      </w:r>
      <w:r w:rsidRPr="001C3DCB">
        <w:rPr>
          <w:rFonts w:cs="Arial"/>
          <w:i/>
          <w:sz w:val="16"/>
          <w:szCs w:val="16"/>
        </w:rPr>
        <w:t>Chart C1.4 in OECD, Education at a Glance, 2001, p. 131</w:t>
      </w:r>
    </w:p>
  </w:footnote>
  <w:footnote w:id="29">
    <w:p w:rsidR="00394EBA" w:rsidRPr="001C3DCB" w:rsidRDefault="00394EBA" w:rsidP="00D90F9E">
      <w:pPr>
        <w:pStyle w:val="FootnoteText"/>
        <w:ind w:left="284" w:hanging="284"/>
        <w:rPr>
          <w:rFonts w:cs="Arial"/>
          <w:b/>
          <w:i/>
          <w:spacing w:val="-18"/>
          <w:sz w:val="16"/>
          <w:szCs w:val="16"/>
        </w:rPr>
      </w:pPr>
      <w:r w:rsidRPr="001C3DCB">
        <w:rPr>
          <w:rStyle w:val="FootnoteReference"/>
          <w:i/>
          <w:sz w:val="16"/>
          <w:szCs w:val="16"/>
        </w:rPr>
        <w:footnoteRef/>
      </w:r>
      <w:r w:rsidRPr="001C3DCB">
        <w:rPr>
          <w:rFonts w:cs="Arial"/>
          <w:i/>
          <w:sz w:val="16"/>
          <w:szCs w:val="16"/>
        </w:rPr>
        <w:t xml:space="preserve"> </w:t>
      </w:r>
      <w:r>
        <w:rPr>
          <w:rFonts w:cs="Arial"/>
          <w:i/>
          <w:sz w:val="16"/>
          <w:szCs w:val="16"/>
        </w:rPr>
        <w:tab/>
      </w:r>
      <w:r w:rsidRPr="001C3DCB">
        <w:rPr>
          <w:rFonts w:cs="Arial"/>
          <w:i/>
          <w:sz w:val="16"/>
          <w:szCs w:val="16"/>
        </w:rPr>
        <w:t>In the case of England, we exclude those whose highest qualification has classified as ISCED 3C (≥2), since this  category includes many qualifications, like GCSEs, GNVQ Intermediate, BTEC First, NVQ 2 and City and Guilds Level 2, which can either be taken during lower secondary education, or require less than two years of full upper secondary education.  For other countries in the survey, qualifications classified to IS</w:t>
      </w:r>
      <w:r>
        <w:rPr>
          <w:rFonts w:cs="Arial"/>
          <w:i/>
          <w:sz w:val="16"/>
          <w:szCs w:val="16"/>
        </w:rPr>
        <w:t>CED</w:t>
      </w:r>
      <w:r w:rsidRPr="001C3DCB">
        <w:rPr>
          <w:rFonts w:cs="Arial"/>
          <w:i/>
          <w:sz w:val="16"/>
          <w:szCs w:val="16"/>
        </w:rPr>
        <w:t xml:space="preserve"> 3 C (≥2) include only those for which the earliest age of completion is 17 or 18 years, whereas for England the minimum age at which the above qualification can be gained is noted (correctly) as 16 years.</w:t>
      </w:r>
      <w:r w:rsidRPr="001C3DCB">
        <w:rPr>
          <w:rFonts w:cs="Arial"/>
          <w:b/>
          <w:i/>
          <w:spacing w:val="-18"/>
          <w:sz w:val="16"/>
          <w:szCs w:val="16"/>
        </w:rPr>
        <w:t xml:space="preserve"> </w:t>
      </w:r>
    </w:p>
    <w:p w:rsidR="00394EBA" w:rsidRPr="001C3DCB" w:rsidRDefault="00394EBA" w:rsidP="00D90F9E">
      <w:pPr>
        <w:pStyle w:val="FootnoteText"/>
        <w:ind w:left="284" w:hanging="284"/>
        <w:rPr>
          <w:i/>
          <w:sz w:val="16"/>
          <w:szCs w:val="16"/>
          <w:lang w:val="en-US"/>
        </w:rPr>
      </w:pPr>
    </w:p>
  </w:footnote>
  <w:footnote w:id="30">
    <w:p w:rsidR="00394EBA" w:rsidRPr="001C3DCB" w:rsidRDefault="00394EBA" w:rsidP="00D90F9E">
      <w:pPr>
        <w:pStyle w:val="FootnoteText"/>
        <w:ind w:left="284" w:hanging="284"/>
        <w:jc w:val="left"/>
        <w:rPr>
          <w:rFonts w:cs="Arial"/>
          <w:i/>
          <w:sz w:val="16"/>
          <w:szCs w:val="16"/>
          <w:lang w:val="en-US"/>
        </w:rPr>
      </w:pPr>
      <w:r w:rsidRPr="001C3DCB">
        <w:rPr>
          <w:rStyle w:val="FootnoteReference"/>
          <w:i/>
          <w:sz w:val="16"/>
          <w:szCs w:val="16"/>
        </w:rPr>
        <w:footnoteRef/>
      </w:r>
      <w:r w:rsidRPr="001C3DCB">
        <w:rPr>
          <w:rFonts w:cs="Arial"/>
          <w:i/>
          <w:sz w:val="16"/>
          <w:szCs w:val="16"/>
        </w:rPr>
        <w:t xml:space="preserve"> </w:t>
      </w:r>
      <w:r>
        <w:rPr>
          <w:rFonts w:cs="Arial"/>
          <w:i/>
          <w:sz w:val="16"/>
          <w:szCs w:val="16"/>
        </w:rPr>
        <w:tab/>
      </w:r>
      <w:r w:rsidRPr="001C3DCB">
        <w:rPr>
          <w:rFonts w:cs="Arial"/>
          <w:i/>
          <w:sz w:val="16"/>
          <w:szCs w:val="16"/>
        </w:rPr>
        <w:t>From: OECD</w:t>
      </w:r>
      <w:r>
        <w:rPr>
          <w:rFonts w:cs="Arial"/>
          <w:i/>
          <w:sz w:val="16"/>
          <w:szCs w:val="16"/>
        </w:rPr>
        <w:t xml:space="preserve"> (2000), Education and a Glance,</w:t>
      </w:r>
      <w:r w:rsidRPr="001C3DCB">
        <w:rPr>
          <w:rFonts w:cs="Arial"/>
          <w:i/>
          <w:sz w:val="16"/>
          <w:szCs w:val="16"/>
        </w:rPr>
        <w:t xml:space="preserve"> dataset a</w:t>
      </w:r>
      <w:r>
        <w:rPr>
          <w:rFonts w:cs="Arial"/>
          <w:i/>
          <w:sz w:val="16"/>
          <w:szCs w:val="16"/>
        </w:rPr>
        <w:t>t</w:t>
      </w:r>
      <w:hyperlink r:id="rId3" w:tgtFrame="_blank" w:history="1">
        <w:r w:rsidRPr="001C3DCB">
          <w:rPr>
            <w:rStyle w:val="Hyperlink"/>
            <w:i/>
            <w:sz w:val="16"/>
            <w:szCs w:val="16"/>
          </w:rPr>
          <w:t>https://stats.oecd.org/Index.aspx?DataSetCode=RENRL</w:t>
        </w:r>
      </w:hyperlink>
    </w:p>
  </w:footnote>
  <w:footnote w:id="31">
    <w:p w:rsidR="00394EBA" w:rsidRPr="001C3DCB" w:rsidRDefault="00394EBA" w:rsidP="00D90F9E">
      <w:pPr>
        <w:pStyle w:val="FootnoteText"/>
        <w:ind w:left="284" w:hanging="284"/>
        <w:rPr>
          <w:i/>
          <w:sz w:val="16"/>
          <w:szCs w:val="16"/>
          <w:lang w:val="en-US"/>
        </w:rPr>
      </w:pPr>
      <w:r w:rsidRPr="001C3DCB">
        <w:rPr>
          <w:rStyle w:val="FootnoteReference"/>
          <w:i/>
          <w:sz w:val="16"/>
          <w:szCs w:val="16"/>
        </w:rPr>
        <w:footnoteRef/>
      </w:r>
      <w:r w:rsidRPr="001C3DCB">
        <w:rPr>
          <w:i/>
          <w:sz w:val="16"/>
          <w:szCs w:val="16"/>
        </w:rPr>
        <w:t xml:space="preserve"> </w:t>
      </w:r>
      <w:r>
        <w:rPr>
          <w:i/>
          <w:sz w:val="16"/>
          <w:szCs w:val="16"/>
        </w:rPr>
        <w:tab/>
      </w:r>
      <w:r w:rsidRPr="001C3DCB">
        <w:rPr>
          <w:rFonts w:cs="Arial"/>
          <w:i/>
          <w:color w:val="000000"/>
          <w:sz w:val="16"/>
          <w:szCs w:val="16"/>
        </w:rPr>
        <w:t>Skills inequality in the non-migrant 16-65 population is negatively and quite strongly correlated with average levels of skills in the OECD Survey of Adult Skills data. The Pearson correlation coefficients are -0.64 in case of literacy and -0.78 in case of numeracy and are both significant at the 0.001 level.</w:t>
      </w:r>
    </w:p>
  </w:footnote>
  <w:footnote w:id="32">
    <w:p w:rsidR="00394EBA" w:rsidRPr="00745C58" w:rsidRDefault="00394EBA" w:rsidP="00D90F9E">
      <w:pPr>
        <w:pStyle w:val="FootnoteText"/>
        <w:ind w:left="284" w:hanging="284"/>
        <w:rPr>
          <w:i/>
          <w:sz w:val="16"/>
          <w:szCs w:val="16"/>
        </w:rPr>
      </w:pPr>
      <w:r w:rsidRPr="00745C58">
        <w:rPr>
          <w:rStyle w:val="FootnoteReference"/>
          <w:i/>
          <w:sz w:val="16"/>
          <w:szCs w:val="16"/>
        </w:rPr>
        <w:footnoteRef/>
      </w:r>
      <w:r w:rsidRPr="00745C58">
        <w:rPr>
          <w:i/>
          <w:sz w:val="16"/>
          <w:szCs w:val="16"/>
        </w:rPr>
        <w:t xml:space="preserve"> </w:t>
      </w:r>
      <w:r>
        <w:rPr>
          <w:i/>
          <w:sz w:val="16"/>
          <w:szCs w:val="16"/>
        </w:rPr>
        <w:tab/>
      </w:r>
      <w:r w:rsidRPr="00745C58">
        <w:rPr>
          <w:i/>
          <w:sz w:val="16"/>
          <w:szCs w:val="16"/>
        </w:rPr>
        <w:t>Above 65 only available for ISCED 0-2</w:t>
      </w:r>
    </w:p>
  </w:footnote>
  <w:footnote w:id="33">
    <w:p w:rsidR="00394EBA" w:rsidRPr="00745C58" w:rsidRDefault="00394EBA" w:rsidP="00D90F9E">
      <w:pPr>
        <w:pStyle w:val="FootnoteText"/>
        <w:ind w:left="284" w:hanging="284"/>
        <w:rPr>
          <w:i/>
          <w:sz w:val="16"/>
          <w:szCs w:val="16"/>
        </w:rPr>
      </w:pPr>
      <w:r w:rsidRPr="00745C58">
        <w:rPr>
          <w:rStyle w:val="FootnoteReference"/>
          <w:i/>
          <w:sz w:val="16"/>
          <w:szCs w:val="16"/>
        </w:rPr>
        <w:footnoteRef/>
      </w:r>
      <w:r w:rsidRPr="00745C58">
        <w:rPr>
          <w:i/>
          <w:sz w:val="16"/>
          <w:szCs w:val="16"/>
        </w:rPr>
        <w:t xml:space="preserve"> </w:t>
      </w:r>
      <w:r>
        <w:rPr>
          <w:i/>
          <w:sz w:val="16"/>
          <w:szCs w:val="16"/>
        </w:rPr>
        <w:tab/>
      </w:r>
      <w:r w:rsidRPr="00745C58">
        <w:rPr>
          <w:i/>
          <w:sz w:val="16"/>
          <w:szCs w:val="16"/>
        </w:rPr>
        <w:t>‘Pseudo-cohort’ as it</w:t>
      </w:r>
      <w:r w:rsidRPr="00745C58">
        <w:rPr>
          <w:i/>
          <w:sz w:val="16"/>
          <w:szCs w:val="16"/>
          <w:lang w:eastAsia="en-US"/>
        </w:rPr>
        <w:t xml:space="preserve"> mimics actual cohort analysis, for example the one conducted by the Danish National Centre for Social Research, which tested young people who took part in PISA in 2000 as 15-year olds, 11 years later using PIAAC to determine competence development beyond age 15.</w:t>
      </w:r>
    </w:p>
  </w:footnote>
  <w:footnote w:id="34">
    <w:p w:rsidR="00394EBA" w:rsidRPr="00745C58" w:rsidRDefault="00394EBA" w:rsidP="00D90F9E">
      <w:pPr>
        <w:pStyle w:val="FootnoteText"/>
        <w:ind w:left="284" w:hanging="284"/>
        <w:rPr>
          <w:i/>
          <w:sz w:val="16"/>
          <w:szCs w:val="16"/>
        </w:rPr>
      </w:pPr>
      <w:r w:rsidRPr="00745C58">
        <w:rPr>
          <w:rStyle w:val="FootnoteReference"/>
          <w:i/>
          <w:sz w:val="16"/>
          <w:szCs w:val="16"/>
        </w:rPr>
        <w:footnoteRef/>
      </w:r>
      <w:r w:rsidRPr="00745C58">
        <w:rPr>
          <w:i/>
          <w:sz w:val="16"/>
          <w:szCs w:val="16"/>
        </w:rPr>
        <w:t xml:space="preserve"> </w:t>
      </w:r>
      <w:r>
        <w:rPr>
          <w:i/>
          <w:sz w:val="16"/>
          <w:szCs w:val="16"/>
        </w:rPr>
        <w:tab/>
      </w:r>
      <w:r w:rsidRPr="00745C58">
        <w:rPr>
          <w:i/>
          <w:sz w:val="16"/>
          <w:szCs w:val="16"/>
        </w:rPr>
        <w:t>After the inclusion of N – 1 country dummies, the country dummies explain all the variance at the country level, and there is no variance left to be explained by additional country-level variables. Instead of modelling the direct effect of country variables, the FEA includes the interaction between those variables and individual variables. Therefore, FEA is suitable to assess the extent to which an individual phenomenon, such the association between competences and formal qualifications, varies by country-level system characteristics, taking into account the country-level heterogeneity. The moderator effect of macro-level characteristics can be estimated using cross-level interaction effects.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157CCC">
    <w:pPr>
      <w:pStyle w:val="Header"/>
      <w:jc w:val="left"/>
      <w:rPr>
        <w:i w:val="0"/>
      </w:rPr>
    </w:pPr>
  </w:p>
  <w:p w:rsidR="00394EBA" w:rsidRPr="00157CCC" w:rsidRDefault="00394EBA" w:rsidP="00157CCC">
    <w:pPr>
      <w:pStyle w:val="Header"/>
      <w:jc w:val="left"/>
      <w:rPr>
        <w:i w:val="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2274E7" w:rsidRDefault="00394EBA">
    <w:pPr>
      <w:pStyle w:val="Header"/>
      <w:rPr>
        <w:lang w:val="fr-BE"/>
      </w:rPr>
    </w:pPr>
    <w:r>
      <w:rPr>
        <w:noProof/>
        <w:lang w:val="en-US" w:eastAsia="en-US"/>
      </w:rPr>
      <mc:AlternateContent>
        <mc:Choice Requires="wpg">
          <w:drawing>
            <wp:anchor distT="0" distB="0" distL="114300" distR="114300" simplePos="0" relativeHeight="251684352" behindDoc="0" locked="0" layoutInCell="1" allowOverlap="1" wp14:anchorId="444FA076" wp14:editId="3DCBB91E">
              <wp:simplePos x="0" y="0"/>
              <wp:positionH relativeFrom="page">
                <wp:posOffset>1064525</wp:posOffset>
              </wp:positionH>
              <wp:positionV relativeFrom="page">
                <wp:posOffset>464024</wp:posOffset>
              </wp:positionV>
              <wp:extent cx="5600700" cy="598805"/>
              <wp:effectExtent l="0" t="0" r="19050" b="10795"/>
              <wp:wrapNone/>
              <wp:docPr id="47" name="Group 47"/>
              <wp:cNvGraphicFramePr/>
              <a:graphic xmlns:a="http://schemas.openxmlformats.org/drawingml/2006/main">
                <a:graphicData uri="http://schemas.microsoft.com/office/word/2010/wordprocessingGroup">
                  <wpg:wgp>
                    <wpg:cNvGrpSpPr/>
                    <wpg:grpSpPr>
                      <a:xfrm>
                        <a:off x="0" y="0"/>
                        <a:ext cx="5600700" cy="598805"/>
                        <a:chOff x="0" y="-78828"/>
                        <a:chExt cx="5600700" cy="599090"/>
                      </a:xfrm>
                    </wpg:grpSpPr>
                    <wps:wsp>
                      <wps:cNvPr id="51" name="Line 31"/>
                      <wps:cNvCnPr>
                        <a:cxnSpLocks noChangeShapeType="1"/>
                      </wps:cNvCnPr>
                      <wps:spPr bwMode="auto">
                        <a:xfrm>
                          <a:off x="0" y="520262"/>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6" name="Picture 56"/>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3929555" y="-78828"/>
                          <a:ext cx="1671145" cy="441434"/>
                        </a:xfrm>
                        <a:prstGeom prst="rect">
                          <a:avLst/>
                        </a:prstGeom>
                      </pic:spPr>
                    </pic:pic>
                  </wpg:wgp>
                </a:graphicData>
              </a:graphic>
              <wp14:sizeRelV relativeFrom="margin">
                <wp14:pctHeight>0</wp14:pctHeight>
              </wp14:sizeRelV>
            </wp:anchor>
          </w:drawing>
        </mc:Choice>
        <mc:Fallback>
          <w:pict>
            <v:group w14:anchorId="2F91371A" id="Group 47" o:spid="_x0000_s1026" style="position:absolute;margin-left:83.8pt;margin-top:36.55pt;width:441pt;height:47.15pt;z-index:251684352;mso-position-horizontal-relative:page;mso-position-vertical-relative:page;mso-height-relative:margin" coordorigin=",-788"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">
              <v:line id="Line 31" o:spid="_x0000_s1027" style="position:absolute;visibility:visible;mso-wrap-style:square" from="0,5202" to="56007,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WLf8MAAADbAAAADwAAAGRycy9kb3ducmV2LnhtbESPS2vDMBCE74H+B7GF3hI5ATfFjWxC&#10;ICG9tXbpeWutH9RaGUvx499XhUKOw8x8wxyy2XRipMG1lhVsNxEI4tLqlmsFn8V5/QLCeWSNnWVS&#10;sJCDLH1YHTDRduIPGnNfiwBhl6CCxvs+kdKVDRl0G9sTB6+yg0Ef5FBLPeAU4KaTuyh6lgZbDgsN&#10;9nRqqPzJb0bBO90K3S/fxfEc5/m8r77eiuqi1NPjfHwF4Wn29/B/+6oVxFv4+xJ+gEx/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Dli3/DAAAA2wAAAA8AAAAAAAAAAAAA&#10;AAAAoQIAAGRycy9kb3ducmV2LnhtbFBLBQYAAAAABAAEAPkAAACRAw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6" o:spid="_x0000_s1028" type="#_x0000_t75" style="position:absolute;left:39295;top:-788;width:16712;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UZCXzDAAAA2wAAAA8AAABkcnMvZG93bnJldi54bWxEj91qAjEUhO8LvkM4gjdFswoVXY2iFaGX&#10;9ecBDpvj7rKbk2WTmtinbwShl8PMfMOst9G04k69qy0rmE4yEMSF1TWXCq6X43gBwnlkja1lUvAg&#10;B9vN4G2NubaBT3Q/+1IkCLscFVTed7mUrqjIoJvYjjh5N9sb9En2pdQ9hgQ3rZxl2VwarDktVNjR&#10;Z0VFc/4xCtr38H26NPvFMRyauDQy7H5jqdRoGHcrEJ6i/w+/2l9awcccnl/SD5Cb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RkJfMMAAADbAAAADwAAAAAAAAAAAAAAAACf&#10;AgAAZHJzL2Rvd25yZXYueG1sUEsFBgAAAAAEAAQA9wAAAI8DAAAAAA==&#10;">
                <v:imagedata r:id="rId2" o:title=""/>
                <v:path arrowok="t"/>
              </v:shape>
              <w10:wrap anchorx="page" anchory="page"/>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157CCC">
    <w:pPr>
      <w:pStyle w:val="Header"/>
      <w:jc w:val="left"/>
      <w:rPr>
        <w:i w:val="0"/>
      </w:rPr>
    </w:pPr>
    <w:r>
      <w:rPr>
        <w:noProof/>
        <w:lang w:val="en-US" w:eastAsia="en-US"/>
      </w:rPr>
      <mc:AlternateContent>
        <mc:Choice Requires="wpg">
          <w:drawing>
            <wp:anchor distT="0" distB="0" distL="114300" distR="114300" simplePos="0" relativeHeight="251703808" behindDoc="0" locked="0" layoutInCell="1" allowOverlap="1" wp14:anchorId="08EF1ACA" wp14:editId="57E37952">
              <wp:simplePos x="0" y="0"/>
              <wp:positionH relativeFrom="page">
                <wp:posOffset>1033153</wp:posOffset>
              </wp:positionH>
              <wp:positionV relativeFrom="page">
                <wp:posOffset>439387</wp:posOffset>
              </wp:positionV>
              <wp:extent cx="5600700" cy="598805"/>
              <wp:effectExtent l="0" t="0" r="19050" b="10795"/>
              <wp:wrapNone/>
              <wp:docPr id="695" name="Group 695"/>
              <wp:cNvGraphicFramePr/>
              <a:graphic xmlns:a="http://schemas.openxmlformats.org/drawingml/2006/main">
                <a:graphicData uri="http://schemas.microsoft.com/office/word/2010/wordprocessingGroup">
                  <wpg:wgp>
                    <wpg:cNvGrpSpPr/>
                    <wpg:grpSpPr>
                      <a:xfrm>
                        <a:off x="0" y="0"/>
                        <a:ext cx="5600700" cy="598805"/>
                        <a:chOff x="0" y="-78828"/>
                        <a:chExt cx="5600700" cy="599090"/>
                      </a:xfrm>
                    </wpg:grpSpPr>
                    <wps:wsp>
                      <wps:cNvPr id="696" name="Line 31"/>
                      <wps:cNvCnPr>
                        <a:cxnSpLocks noChangeShapeType="1"/>
                      </wps:cNvCnPr>
                      <wps:spPr bwMode="auto">
                        <a:xfrm>
                          <a:off x="0" y="520262"/>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97" name="Picture 697"/>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78828"/>
                          <a:ext cx="1671145" cy="441434"/>
                        </a:xfrm>
                        <a:prstGeom prst="rect">
                          <a:avLst/>
                        </a:prstGeom>
                      </pic:spPr>
                    </pic:pic>
                  </wpg:wgp>
                </a:graphicData>
              </a:graphic>
              <wp14:sizeRelV relativeFrom="margin">
                <wp14:pctHeight>0</wp14:pctHeight>
              </wp14:sizeRelV>
            </wp:anchor>
          </w:drawing>
        </mc:Choice>
        <mc:Fallback>
          <w:pict>
            <v:group w14:anchorId="490B1ECB" id="Group 695" o:spid="_x0000_s1026" style="position:absolute;margin-left:81.35pt;margin-top:34.6pt;width:441pt;height:47.15pt;z-index:251703808;mso-position-horizontal-relative:page;mso-position-vertical-relative:page;mso-height-relative:margin" coordorigin=",-788"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">
              <v:line id="Line 31" o:spid="_x0000_s1027" style="position:absolute;visibility:visible;mso-wrap-style:square" from="0,5202" to="56007,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FwIMMAAADcAAAADwAAAGRycy9kb3ducmV2LnhtbESPT4vCMBTE78J+h/AWvGnqglWrUWRB&#10;cW/aiudn8/oHm5fSRK3ffiMs7HGYmd8wq01vGvGgztWWFUzGEQji3OqaSwXnbDeag3AeWWNjmRS8&#10;yMFm/TFYYaLtk0/0SH0pAoRdggoq79tESpdXZNCNbUscvMJ2Bn2QXSl1h88AN438iqJYGqw5LFTY&#10;0ndF+S29GwVHume6fV2z7W6apv2suPxkxV6p4We/XYLw1Pv/8F/7oBXEixjeZ8IRk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QRcCDDAAAA3AAAAA8AAAAAAAAAAAAA&#10;AAAAoQIAAGRycy9kb3ducmV2LnhtbFBLBQYAAAAABAAEAPkAAACRAw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97" o:spid="_x0000_s1028" type="#_x0000_t75" style="position:absolute;top:-788;width:16711;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hMffvEAAAA3AAAAA8AAABkcnMvZG93bnJldi54bWxEj81qwzAQhO+FvIPYQC+lkZNDflzLIWkI&#10;9Ng4fYDF2trG1spYaqT26atCIcdhZr5hin00g7jR5DrLCpaLDARxbXXHjYKP6/l5C8J5ZI2DZVLw&#10;TQ725eyhwFzbwBe6Vb4RCcIuRwWt92MupatbMugWdiRO3qedDPokp0bqCUOCm0GusmwtDXacFloc&#10;6bWluq++jILhKbxfrv1xew6nPu6MDIef2Cj1OI+HFxCeor+H/9tvWsF6t4G/M+kIyPI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hMffvEAAAA3AAAAA8AAAAAAAAAAAAAAAAA&#10;nwIAAGRycy9kb3ducmV2LnhtbFBLBQYAAAAABAAEAPcAAACQAwAAAAA=&#10;">
                <v:imagedata r:id="rId2" o:title=""/>
                <v:path arrowok="t"/>
              </v:shape>
              <w10:wrap anchorx="page" anchory="page"/>
            </v:group>
          </w:pict>
        </mc:Fallback>
      </mc:AlternateContent>
    </w:r>
  </w:p>
  <w:p w:rsidR="00394EBA" w:rsidRPr="00157CCC" w:rsidRDefault="00394EBA" w:rsidP="00157CCC">
    <w:pPr>
      <w:pStyle w:val="Header"/>
      <w:jc w:val="left"/>
      <w:rPr>
        <w:i w:val="0"/>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2274E7" w:rsidRDefault="00394EBA">
    <w:pPr>
      <w:pStyle w:val="Header"/>
      <w:rPr>
        <w:lang w:val="fr-BE"/>
      </w:rPr>
    </w:pPr>
    <w:r>
      <w:rPr>
        <w:noProof/>
        <w:lang w:val="en-US" w:eastAsia="en-US"/>
      </w:rPr>
      <mc:AlternateContent>
        <mc:Choice Requires="wpg">
          <w:drawing>
            <wp:anchor distT="0" distB="0" distL="114300" distR="114300" simplePos="0" relativeHeight="251695616" behindDoc="0" locked="0" layoutInCell="1" allowOverlap="1" wp14:anchorId="4CB229A1" wp14:editId="69F3D0CA">
              <wp:simplePos x="0" y="0"/>
              <wp:positionH relativeFrom="page">
                <wp:posOffset>1064525</wp:posOffset>
              </wp:positionH>
              <wp:positionV relativeFrom="page">
                <wp:posOffset>464024</wp:posOffset>
              </wp:positionV>
              <wp:extent cx="5600700" cy="598805"/>
              <wp:effectExtent l="0" t="0" r="19050" b="10795"/>
              <wp:wrapNone/>
              <wp:docPr id="6184" name="Group 6184"/>
              <wp:cNvGraphicFramePr/>
              <a:graphic xmlns:a="http://schemas.openxmlformats.org/drawingml/2006/main">
                <a:graphicData uri="http://schemas.microsoft.com/office/word/2010/wordprocessingGroup">
                  <wpg:wgp>
                    <wpg:cNvGrpSpPr/>
                    <wpg:grpSpPr>
                      <a:xfrm>
                        <a:off x="0" y="0"/>
                        <a:ext cx="5600700" cy="598805"/>
                        <a:chOff x="0" y="-78828"/>
                        <a:chExt cx="5600700" cy="599090"/>
                      </a:xfrm>
                    </wpg:grpSpPr>
                    <wps:wsp>
                      <wps:cNvPr id="6185" name="Line 31"/>
                      <wps:cNvCnPr>
                        <a:cxnSpLocks noChangeShapeType="1"/>
                      </wps:cNvCnPr>
                      <wps:spPr bwMode="auto">
                        <a:xfrm>
                          <a:off x="0" y="520262"/>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186" name="Picture 6186"/>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3929555" y="-78828"/>
                          <a:ext cx="1671145" cy="441434"/>
                        </a:xfrm>
                        <a:prstGeom prst="rect">
                          <a:avLst/>
                        </a:prstGeom>
                      </pic:spPr>
                    </pic:pic>
                  </wpg:wgp>
                </a:graphicData>
              </a:graphic>
              <wp14:sizeRelV relativeFrom="margin">
                <wp14:pctHeight>0</wp14:pctHeight>
              </wp14:sizeRelV>
            </wp:anchor>
          </w:drawing>
        </mc:Choice>
        <mc:Fallback>
          <w:pict>
            <v:group w14:anchorId="13214C06" id="Group 6184" o:spid="_x0000_s1026" style="position:absolute;margin-left:83.8pt;margin-top:36.55pt;width:441pt;height:47.15pt;z-index:251695616;mso-position-horizontal-relative:page;mso-position-vertical-relative:page;mso-height-relative:margin" coordorigin=",-788"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">
              <v:line id="Line 31" o:spid="_x0000_s1027" style="position:absolute;visibility:visible;mso-wrap-style:square" from="0,5202" to="56007,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vXacQAAADdAAAADwAAAGRycy9kb3ducmV2LnhtbESPT2vCQBTE7wW/w/KE3urGQqzEbEQE&#10;S73VpPT8zL78wezbkF1N/PZuQehxmJnfMOl2Mp240eBaywqWiwgEcWl1y7WCn+LwtgbhPLLGzjIp&#10;uJODbTZ7STHRduQT3XJfiwBhl6CCxvs+kdKVDRl0C9sTB6+yg0Ef5FBLPeAY4KaT71G0kgZbDgsN&#10;9rRvqLzkV6Pgm66F7u/nYneI83z6qH6PRfWp1Ot82m1AeJr8f/jZ/tIKVst1DH9vwhOQ2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u9dpxAAAAN0AAAAPAAAAAAAAAAAA&#10;AAAAAKECAABkcnMvZG93bnJldi54bWxQSwUGAAAAAAQABAD5AAAAkgM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186" o:spid="_x0000_s1028" type="#_x0000_t75" style="position:absolute;left:39295;top:-788;width:16712;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bhBdfEAAAA3QAAAA8AAABkcnMvZG93bnJldi54bWxEj81qwzAQhO+BvIPYQC6hkdODcd0oIW0J&#10;9Ji/B1isrW1srYylRmqevgoEchxm5htmvY2mF1caXWtZwWqZgSCurG65VnA5718KEM4ja+wtk4I/&#10;crDdTCdrLLUNfKTrydciQdiVqKDxfiildFVDBt3SDsTJ+7GjQZ/kWEs9Ykhw08vXLMulwZbTQoMD&#10;fTZUdadfo6BfhMPx3H0U+/DVxTcjw+4Wa6Xms7h7B+Ep+mf40f7WCvJVkcP9TXoCcvM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bhBdfEAAAA3QAAAA8AAAAAAAAAAAAAAAAA&#10;nwIAAGRycy9kb3ducmV2LnhtbFBLBQYAAAAABAAEAPcAAACQAwAAAAA=&#10;">
                <v:imagedata r:id="rId2" o:title=""/>
                <v:path arrowok="t"/>
              </v:shape>
              <w10:wrap anchorx="page" anchory="page"/>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2274E7" w:rsidRDefault="00394EBA">
    <w:pPr>
      <w:pStyle w:val="Header"/>
      <w:rPr>
        <w:lang w:val="fr-BE"/>
      </w:rPr>
    </w:pPr>
    <w:r>
      <w:rPr>
        <w:noProof/>
        <w:lang w:val="en-US" w:eastAsia="en-US"/>
      </w:rPr>
      <mc:AlternateContent>
        <mc:Choice Requires="wpg">
          <w:drawing>
            <wp:anchor distT="0" distB="0" distL="114300" distR="114300" simplePos="0" relativeHeight="251705856" behindDoc="0" locked="0" layoutInCell="1" allowOverlap="1" wp14:anchorId="59C18233" wp14:editId="6FACB178">
              <wp:simplePos x="0" y="0"/>
              <wp:positionH relativeFrom="page">
                <wp:posOffset>1068779</wp:posOffset>
              </wp:positionH>
              <wp:positionV relativeFrom="page">
                <wp:posOffset>463138</wp:posOffset>
              </wp:positionV>
              <wp:extent cx="5600700" cy="598805"/>
              <wp:effectExtent l="0" t="0" r="19050" b="10795"/>
              <wp:wrapNone/>
              <wp:docPr id="699" name="Group 699"/>
              <wp:cNvGraphicFramePr/>
              <a:graphic xmlns:a="http://schemas.openxmlformats.org/drawingml/2006/main">
                <a:graphicData uri="http://schemas.microsoft.com/office/word/2010/wordprocessingGroup">
                  <wpg:wgp>
                    <wpg:cNvGrpSpPr/>
                    <wpg:grpSpPr>
                      <a:xfrm>
                        <a:off x="0" y="0"/>
                        <a:ext cx="5600700" cy="598805"/>
                        <a:chOff x="0" y="-78828"/>
                        <a:chExt cx="5600700" cy="599090"/>
                      </a:xfrm>
                    </wpg:grpSpPr>
                    <wps:wsp>
                      <wps:cNvPr id="700" name="Line 31"/>
                      <wps:cNvCnPr>
                        <a:cxnSpLocks noChangeShapeType="1"/>
                      </wps:cNvCnPr>
                      <wps:spPr bwMode="auto">
                        <a:xfrm>
                          <a:off x="0" y="520262"/>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01" name="Picture 70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78828"/>
                          <a:ext cx="1671145" cy="441434"/>
                        </a:xfrm>
                        <a:prstGeom prst="rect">
                          <a:avLst/>
                        </a:prstGeom>
                      </pic:spPr>
                    </pic:pic>
                  </wpg:wgp>
                </a:graphicData>
              </a:graphic>
              <wp14:sizeRelV relativeFrom="margin">
                <wp14:pctHeight>0</wp14:pctHeight>
              </wp14:sizeRelV>
            </wp:anchor>
          </w:drawing>
        </mc:Choice>
        <mc:Fallback>
          <w:pict>
            <v:group w14:anchorId="5E9424CF" id="Group 699" o:spid="_x0000_s1026" style="position:absolute;margin-left:84.15pt;margin-top:36.45pt;width:441pt;height:47.15pt;z-index:251705856;mso-position-horizontal-relative:page;mso-position-vertical-relative:page;mso-height-relative:margin" coordorigin=",-788"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">
              <v:line id="Line 31" o:spid="_x0000_s1027" style="position:absolute;visibility:visible;mso-wrap-style:square" from="0,5202" to="56007,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X1b8AAADcAAAADwAAAGRycy9kb3ducmV2LnhtbERPy4rCMBTdC/5DuII7TRUch2osRVB0&#10;57SD62tz+8DmpjRR69+bxcAsD+e9TQbTiif1rrGsYDGPQBAXVjdcKfjND7NvEM4ja2wtk4I3OUh2&#10;49EWY21f/EPPzFcihLCLUUHtfRdL6YqaDLq57YgDV9reoA+wr6Tu8RXCTSuXUfQlDTYcGmrsaF9T&#10;cc8eRsGFHrnu3rc8PayybFiX13NeHpWaToZ0A8LT4P/Ff+6TVrCOwvxwJhwBufs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l/X1b8AAADcAAAADwAAAAAAAAAAAAAAAACh&#10;AgAAZHJzL2Rvd25yZXYueG1sUEsFBgAAAAAEAAQA+QAAAI0DA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01" o:spid="_x0000_s1028" type="#_x0000_t75" style="position:absolute;top:-788;width:16711;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C2g7EAAAA3AAAAA8AAABkcnMvZG93bnJldi54bWxEj81uwjAQhO+VeAdrkbhU4MChhYBB/Aip&#10;x/LzAKt4SaLE6yg22PD0daVKPY5m5hvNahNNKx7Uu9qygukkA0FcWF1zqeB6OY7nIJxH1thaJgVP&#10;crBZD95WmGsb+ESPsy9FgrDLUUHlfZdL6YqKDLqJ7YiTd7O9QZ9kX0rdY0hw08pZln1IgzWnhQo7&#10;2ldUNOe7UdC+h+/TpdnNj+HQxIWRYfuKpVKjYdwuQXiK/j/81/7SCj6zKfyeSUdAr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YC2g7EAAAA3AAAAA8AAAAAAAAAAAAAAAAA&#10;nwIAAGRycy9kb3ducmV2LnhtbFBLBQYAAAAABAAEAPcAAACQAwAAAAA=&#10;">
                <v:imagedata r:id="rId2" o:title=""/>
                <v:path arrowok="t"/>
              </v:shape>
              <w10:wrap anchorx="page" anchory="page"/>
            </v:group>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761E1E" w:rsidP="00157CCC">
    <w:pPr>
      <w:pStyle w:val="Header"/>
      <w:jc w:val="left"/>
      <w:rPr>
        <w:i w:val="0"/>
      </w:rPr>
    </w:pPr>
    <w:r>
      <w:rPr>
        <w:noProof/>
        <w:lang w:val="en-US" w:eastAsia="en-US"/>
      </w:rPr>
      <mc:AlternateContent>
        <mc:Choice Requires="wpg">
          <w:drawing>
            <wp:anchor distT="0" distB="0" distL="114300" distR="114300" simplePos="0" relativeHeight="251714048" behindDoc="0" locked="0" layoutInCell="1" allowOverlap="1" wp14:anchorId="2D795FE6" wp14:editId="2460C5B6">
              <wp:simplePos x="0" y="0"/>
              <wp:positionH relativeFrom="page">
                <wp:posOffset>1136840</wp:posOffset>
              </wp:positionH>
              <wp:positionV relativeFrom="page">
                <wp:posOffset>494665</wp:posOffset>
              </wp:positionV>
              <wp:extent cx="5600700" cy="598805"/>
              <wp:effectExtent l="0" t="0" r="19050" b="10795"/>
              <wp:wrapNone/>
              <wp:docPr id="6180" name="Group 6180"/>
              <wp:cNvGraphicFramePr/>
              <a:graphic xmlns:a="http://schemas.openxmlformats.org/drawingml/2006/main">
                <a:graphicData uri="http://schemas.microsoft.com/office/word/2010/wordprocessingGroup">
                  <wpg:wgp>
                    <wpg:cNvGrpSpPr/>
                    <wpg:grpSpPr>
                      <a:xfrm>
                        <a:off x="0" y="0"/>
                        <a:ext cx="5600700" cy="598805"/>
                        <a:chOff x="0" y="-78828"/>
                        <a:chExt cx="5600700" cy="599090"/>
                      </a:xfrm>
                    </wpg:grpSpPr>
                    <wps:wsp>
                      <wps:cNvPr id="6181" name="Line 31"/>
                      <wps:cNvCnPr>
                        <a:cxnSpLocks noChangeShapeType="1"/>
                      </wps:cNvCnPr>
                      <wps:spPr bwMode="auto">
                        <a:xfrm>
                          <a:off x="0" y="520262"/>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182" name="Picture 6182"/>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78828"/>
                          <a:ext cx="1671145" cy="441434"/>
                        </a:xfrm>
                        <a:prstGeom prst="rect">
                          <a:avLst/>
                        </a:prstGeom>
                      </pic:spPr>
                    </pic:pic>
                  </wpg:wgp>
                </a:graphicData>
              </a:graphic>
              <wp14:sizeRelV relativeFrom="margin">
                <wp14:pctHeight>0</wp14:pctHeight>
              </wp14:sizeRelV>
            </wp:anchor>
          </w:drawing>
        </mc:Choice>
        <mc:Fallback>
          <w:pict>
            <v:group w14:anchorId="27D5897E" id="Group 6180" o:spid="_x0000_s1026" style="position:absolute;margin-left:89.5pt;margin-top:38.95pt;width:441pt;height:47.15pt;z-index:251714048;mso-position-horizontal-relative:page;mso-position-vertical-relative:page;mso-height-relative:margin" coordorigin=",-788"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">
              <v:line id="Line 31" o:spid="_x0000_s1027" style="position:absolute;visibility:visible;mso-wrap-style:square" from="0,5202" to="56007,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DRasMAAADdAAAADwAAAGRycy9kb3ducmV2LnhtbESPT4vCMBTE74LfITzBm6YVdKVrFBEU&#10;96ateH42r3/Y5qU0Ueu33wjCHoeZ+Q2z2vSmEQ/qXG1ZQTyNQBDnVtdcKrhk+8kShPPIGhvLpOBF&#10;Djbr4WCFibZPPtMj9aUIEHYJKqi8bxMpXV6RQTe1LXHwCtsZ9EF2pdQdPgPcNHIWRQtpsOawUGFL&#10;u4ry3/RuFJzonun2dcu2+3ma9l/F9ScrDkqNR/32G4Sn3v+HP+2jVrCIlzG834Qn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6A0WrDAAAA3QAAAA8AAAAAAAAAAAAA&#10;AAAAoQIAAGRycy9kb3ducmV2LnhtbFBLBQYAAAAABAAEAPkAAACRAw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182" o:spid="_x0000_s1028" type="#_x0000_t75" style="position:absolute;top:-788;width:16711;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naA9TEAAAA3QAAAA8AAABkcnMvZG93bnJldi54bWxEj92KwjAUhO8XfIdwFrxZNNULqdUououw&#10;l/49wKE525Y2J6XJmqxPvxEEL4eZ+YZZb6PpxI0G11hWMJtmIIhLqxuuFFwvh0kOwnlkjZ1lUvBH&#10;Drab0dsaC20Dn+h29pVIEHYFKqi97wspXVmTQTe1PXHyfuxg0Cc5VFIPGBLcdHKeZQtpsOG0UGNP&#10;nzWV7fnXKOg+wvF0aff5IXy1cWlk2N1jpdT4Pe5WIDxF/wo/299awWKWz+HxJj0Bufk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naA9TEAAAA3QAAAA8AAAAAAAAAAAAAAAAA&#10;nwIAAGRycy9kb3ducmV2LnhtbFBLBQYAAAAABAAEAPcAAACQAwAAAAA=&#10;">
                <v:imagedata r:id="rId2" o:title=""/>
                <v:path arrowok="t"/>
              </v:shape>
              <w10:wrap anchorx="page" anchory="page"/>
            </v:group>
          </w:pict>
        </mc:Fallback>
      </mc:AlternateContent>
    </w:r>
  </w:p>
  <w:p w:rsidR="00394EBA" w:rsidRPr="00157CCC" w:rsidRDefault="00394EBA" w:rsidP="00157CCC">
    <w:pPr>
      <w:pStyle w:val="Header"/>
      <w:jc w:val="left"/>
      <w:rPr>
        <w:i w:val="0"/>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61E1E" w:rsidRDefault="00761E1E" w:rsidP="00157CCC">
    <w:pPr>
      <w:pStyle w:val="Header"/>
      <w:jc w:val="left"/>
      <w:rPr>
        <w:i w:val="0"/>
      </w:rPr>
    </w:pPr>
  </w:p>
  <w:p w:rsidR="00761E1E" w:rsidRPr="00157CCC" w:rsidRDefault="00761E1E" w:rsidP="00157CCC">
    <w:pPr>
      <w:pStyle w:val="Header"/>
      <w:jc w:val="left"/>
      <w:rPr>
        <w:i w:val="0"/>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center"/>
    </w:pPr>
    <w:r>
      <w:rPr>
        <w:rFonts w:cs="Arial"/>
        <w:b/>
        <w:i w:val="0"/>
        <w:noProof/>
        <w:color w:val="auto"/>
        <w:szCs w:val="16"/>
        <w:lang w:val="en-US" w:eastAsia="en-US"/>
      </w:rPr>
      <mc:AlternateContent>
        <mc:Choice Requires="wps">
          <w:drawing>
            <wp:anchor distT="0" distB="0" distL="114300" distR="114300" simplePos="0" relativeHeight="251707904" behindDoc="0" locked="0" layoutInCell="0" allowOverlap="1" wp14:anchorId="6B58F24F" wp14:editId="4E54B1B1">
              <wp:simplePos x="0" y="0"/>
              <wp:positionH relativeFrom="column">
                <wp:posOffset>0</wp:posOffset>
              </wp:positionH>
              <wp:positionV relativeFrom="paragraph">
                <wp:posOffset>325755</wp:posOffset>
              </wp:positionV>
              <wp:extent cx="5600700" cy="0"/>
              <wp:effectExtent l="0" t="0" r="0" b="0"/>
              <wp:wrapNone/>
              <wp:docPr id="45"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B396E7" id="Line 30" o:spid="_x0000_s1026" style="position:absolute;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5.65pt" to="441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" o:allowincell="f"/>
          </w:pict>
        </mc:Fallback>
      </mc:AlternateContent>
    </w:r>
    <w:r>
      <w:rPr>
        <w:rFonts w:cs="Arial"/>
        <w:b/>
        <w:i w:val="0"/>
        <w:noProof/>
        <w:color w:val="auto"/>
        <w:w w:val="80"/>
        <w:szCs w:val="16"/>
        <w:lang w:val="en-US" w:eastAsia="en-US"/>
      </w:rPr>
      <w:drawing>
        <wp:inline distT="0" distB="0" distL="0" distR="0" wp14:anchorId="2231A9D8" wp14:editId="664D9570">
          <wp:extent cx="5749925" cy="7536815"/>
          <wp:effectExtent l="0" t="0" r="3175" b="6985"/>
          <wp:docPr id="57" name="Picture 57" descr="Corporate_Word_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rporate_Word_pa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9925" cy="7536815"/>
                  </a:xfrm>
                  <a:prstGeom prst="rect">
                    <a:avLst/>
                  </a:prstGeom>
                  <a:noFill/>
                  <a:ln>
                    <a:noFill/>
                  </a:ln>
                </pic:spPr>
              </pic:pic>
            </a:graphicData>
          </a:graphic>
        </wp:inline>
      </w:drawing>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2274E7" w:rsidRDefault="00394EBA">
    <w:pPr>
      <w:pStyle w:val="Header"/>
      <w:rPr>
        <w:lang w:val="fr-BE"/>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157CCC">
    <w:pPr>
      <w:pStyle w:val="Header"/>
      <w:jc w:val="left"/>
      <w:rPr>
        <w:i w:val="0"/>
      </w:rPr>
    </w:pPr>
    <w:r>
      <w:rPr>
        <w:noProof/>
        <w:lang w:val="en-US" w:eastAsia="en-US"/>
      </w:rPr>
      <mc:AlternateContent>
        <mc:Choice Requires="wpg">
          <w:drawing>
            <wp:anchor distT="0" distB="0" distL="114300" distR="114300" simplePos="0" relativeHeight="251701760" behindDoc="0" locked="0" layoutInCell="1" allowOverlap="1" wp14:anchorId="16947363" wp14:editId="581B6CFD">
              <wp:simplePos x="0" y="0"/>
              <wp:positionH relativeFrom="page">
                <wp:posOffset>1037230</wp:posOffset>
              </wp:positionH>
              <wp:positionV relativeFrom="page">
                <wp:posOffset>436728</wp:posOffset>
              </wp:positionV>
              <wp:extent cx="5600700" cy="598805"/>
              <wp:effectExtent l="0" t="0" r="19050" b="10795"/>
              <wp:wrapNone/>
              <wp:docPr id="678" name="Group 678"/>
              <wp:cNvGraphicFramePr/>
              <a:graphic xmlns:a="http://schemas.openxmlformats.org/drawingml/2006/main">
                <a:graphicData uri="http://schemas.microsoft.com/office/word/2010/wordprocessingGroup">
                  <wpg:wgp>
                    <wpg:cNvGrpSpPr/>
                    <wpg:grpSpPr>
                      <a:xfrm>
                        <a:off x="0" y="0"/>
                        <a:ext cx="5600700" cy="598805"/>
                        <a:chOff x="0" y="-78828"/>
                        <a:chExt cx="5600700" cy="599090"/>
                      </a:xfrm>
                    </wpg:grpSpPr>
                    <wps:wsp>
                      <wps:cNvPr id="684" name="Line 31"/>
                      <wps:cNvCnPr>
                        <a:cxnSpLocks noChangeShapeType="1"/>
                      </wps:cNvCnPr>
                      <wps:spPr bwMode="auto">
                        <a:xfrm>
                          <a:off x="0" y="520262"/>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85" name="Picture 685"/>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78828"/>
                          <a:ext cx="1671145" cy="441434"/>
                        </a:xfrm>
                        <a:prstGeom prst="rect">
                          <a:avLst/>
                        </a:prstGeom>
                      </pic:spPr>
                    </pic:pic>
                  </wpg:wgp>
                </a:graphicData>
              </a:graphic>
              <wp14:sizeRelV relativeFrom="margin">
                <wp14:pctHeight>0</wp14:pctHeight>
              </wp14:sizeRelV>
            </wp:anchor>
          </w:drawing>
        </mc:Choice>
        <mc:Fallback>
          <w:pict>
            <v:group w14:anchorId="742EFF3F" id="Group 678" o:spid="_x0000_s1026" style="position:absolute;margin-left:81.65pt;margin-top:34.4pt;width:441pt;height:47.15pt;z-index:251701760;mso-position-horizontal-relative:page;mso-position-vertical-relative:page;mso-height-relative:margin" coordorigin=",-788"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">
              <v:line id="Line 31" o:spid="_x0000_s1027" style="position:absolute;visibility:visible;mso-wrap-style:square" from="0,5202" to="56007,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bdEcMAAADcAAAADwAAAGRycy9kb3ducmV2LnhtbESPS4vCQBCE74L/YWhhb2aysj6IjiKC&#10;y3pbE/HcZjoPNtMTMqPGf+8ICx6LqvqKWm1604gbda62rOAzikEQ51bXXCo4ZfvxAoTzyBoby6Tg&#10;QQ426+FghYm2dz7SLfWlCBB2CSqovG8TKV1ekUEX2ZY4eIXtDPogu1LqDu8Bbho5ieOZNFhzWKiw&#10;pV1F+V96NQp+6Zrp9nHJtvtpmvbz4nzIim+lPkb9dgnCU+/f4f/2j1YwW3zB60w4AnL9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5W3RHDAAAA3AAAAA8AAAAAAAAAAAAA&#10;AAAAoQIAAGRycy9kb3ducmV2LnhtbFBLBQYAAAAABAAEAPkAAACRAw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85" o:spid="_x0000_s1028" type="#_x0000_t75" style="position:absolute;top:-788;width:16711;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IL0MrEAAAA3AAAAA8AAABkcnMvZG93bnJldi54bWxEj81qwzAQhO+FvoPYQi4lkRNIcNwoIT8E&#10;cmx+HmCxtraxtTKWEil9+qpQ6HGYmW+Y1SaaTjxocI1lBdNJBoK4tLrhSsHtehznIJxH1thZJgVP&#10;crBZv76ssNA28JkeF1+JBGFXoILa+76Q0pU1GXQT2xMn78sOBn2SQyX1gCHBTSdnWbaQBhtOCzX2&#10;tK+pbC93o6B7D5/na7vLj+HQxqWRYfsdK6VGb3H7AcJT9P/hv/ZJK1jkc/g9k46AX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IL0MrEAAAA3AAAAA8AAAAAAAAAAAAAAAAA&#10;nwIAAGRycy9kb3ducmV2LnhtbFBLBQYAAAAABAAEAPcAAACQAwAAAAA=&#10;">
                <v:imagedata r:id="rId2" o:title=""/>
                <v:path arrowok="t"/>
              </v:shape>
              <w10:wrap anchorx="page" anchory="page"/>
            </v:group>
          </w:pict>
        </mc:Fallback>
      </mc:AlternateContent>
    </w:r>
  </w:p>
  <w:p w:rsidR="00394EBA" w:rsidRPr="00157CCC" w:rsidRDefault="00394EBA" w:rsidP="00157CCC">
    <w:pPr>
      <w:pStyle w:val="Header"/>
      <w:jc w:val="left"/>
      <w:rPr>
        <w:i w:val="0"/>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B11CB" w:rsidRDefault="007B11CB"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r>
      <w:rPr>
        <w:noProof/>
        <w:lang w:val="en-US" w:eastAsia="en-US"/>
      </w:rPr>
      <mc:AlternateContent>
        <mc:Choice Requires="wpg">
          <w:drawing>
            <wp:anchor distT="0" distB="0" distL="114300" distR="114300" simplePos="0" relativeHeight="251712000" behindDoc="0" locked="0" layoutInCell="1" allowOverlap="1" wp14:anchorId="084F5EED" wp14:editId="67F970C1">
              <wp:simplePos x="0" y="0"/>
              <wp:positionH relativeFrom="page">
                <wp:posOffset>1065085</wp:posOffset>
              </wp:positionH>
              <wp:positionV relativeFrom="page">
                <wp:posOffset>446405</wp:posOffset>
              </wp:positionV>
              <wp:extent cx="5600700" cy="598805"/>
              <wp:effectExtent l="0" t="0" r="19050" b="10795"/>
              <wp:wrapNone/>
              <wp:docPr id="6174" name="Group 6174"/>
              <wp:cNvGraphicFramePr/>
              <a:graphic xmlns:a="http://schemas.openxmlformats.org/drawingml/2006/main">
                <a:graphicData uri="http://schemas.microsoft.com/office/word/2010/wordprocessingGroup">
                  <wpg:wgp>
                    <wpg:cNvGrpSpPr/>
                    <wpg:grpSpPr>
                      <a:xfrm>
                        <a:off x="0" y="0"/>
                        <a:ext cx="5600700" cy="598805"/>
                        <a:chOff x="0" y="0"/>
                        <a:chExt cx="5600700" cy="599090"/>
                      </a:xfrm>
                    </wpg:grpSpPr>
                    <wps:wsp>
                      <wps:cNvPr id="6178" name="Line 31"/>
                      <wps:cNvCnPr>
                        <a:cxnSpLocks noChangeShapeType="1"/>
                      </wps:cNvCnPr>
                      <wps:spPr bwMode="auto">
                        <a:xfrm>
                          <a:off x="0" y="599090"/>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179" name="Picture 6179"/>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3929555" y="0"/>
                          <a:ext cx="1671145" cy="441434"/>
                        </a:xfrm>
                        <a:prstGeom prst="rect">
                          <a:avLst/>
                        </a:prstGeom>
                      </pic:spPr>
                    </pic:pic>
                  </wpg:wgp>
                </a:graphicData>
              </a:graphic>
            </wp:anchor>
          </w:drawing>
        </mc:Choice>
        <mc:Fallback>
          <w:pict>
            <v:group w14:anchorId="2CB75712" id="Group 6174" o:spid="_x0000_s1026" style="position:absolute;margin-left:83.85pt;margin-top:35.15pt;width:441pt;height:47.15pt;z-index:251712000;mso-position-horizontal-relative:page;mso-position-vertical-relative:page"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">
              <v:line id="Line 31" o:spid="_x0000_s1027" style="position:absolute;visibility:visible;mso-wrap-style:square" from="0,5990" to="56007,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8I0MEAAADdAAAADwAAAGRycy9kb3ducmV2LnhtbERPy4rCMBTdC/MP4Q64s2kFH3SMRQTF&#10;2Wkrs77T3D6Y5qY0UevfTxaCy8N5b7LRdOJOg2stK0iiGARxaXXLtYJrcZitQTiPrLGzTAqe5CDb&#10;fkw2mGr74Avdc1+LEMIuRQWN930qpSsbMugi2xMHrrKDQR/gUEs94COEm07O43gpDbYcGhrsad9Q&#10;+ZffjIIz3QrdP3+L3WGR5+Oq+vkuqqNS089x9wXC0+jf4pf7pBUsk1WYG96EJyC3/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bwjQwQAAAN0AAAAPAAAAAAAAAAAAAAAA&#10;AKECAABkcnMvZG93bnJldi54bWxQSwUGAAAAAAQABAD5AAAAjwM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179" o:spid="_x0000_s1028" type="#_x0000_t75" style="position:absolute;left:39295;width:16712;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Kr4YLFAAAA3QAAAA8AAABkcnMvZG93bnJldi54bWxEj81uwjAQhO+VeAdrK/VSgQMHCikG8SOk&#10;Hvl7gFW8JFHidRQb7PL0uBJSj6OZ+UazWEXTijv1rrasYDzKQBAXVtdcKric98MZCOeRNbaWScEv&#10;OVgtB28LzLUNfKT7yZciQdjlqKDyvsuldEVFBt3IdsTJu9reoE+yL6XuMSS4aeUky6bSYM1pocKO&#10;thUVzelmFLSf4XA8N5vZPuyaODcyrB+xVOrjPa6/QXiK/j/8av9oBdPx1xz+3qQnIJd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Sq+GCxQAAAN0AAAAPAAAAAAAAAAAAAAAA&#10;AJ8CAABkcnMvZG93bnJldi54bWxQSwUGAAAAAAQABAD3AAAAkQMAAAAA&#10;">
                <v:imagedata r:id="rId2" o:title=""/>
                <v:path arrowok="t"/>
              </v:shape>
              <w10:wrap anchorx="page" anchory="page"/>
            </v:group>
          </w:pict>
        </mc:Fallback>
      </mc:AlternateContent>
    </w:r>
  </w:p>
  <w:p w:rsidR="007B11CB" w:rsidRDefault="007B11CB"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7B11CB" w:rsidRDefault="007B11CB" w:rsidP="00F73F01">
    <w:pPr>
      <w:pStyle w:val="Footer"/>
      <w:pBdr>
        <w:bottom w:val="single" w:sz="4" w:space="1" w:color="7B6F46"/>
      </w:pBdr>
      <w:tabs>
        <w:tab w:val="clear" w:pos="8306"/>
        <w:tab w:val="right" w:pos="8820"/>
      </w:tabs>
      <w:ind w:right="3027"/>
      <w:jc w:val="right"/>
      <w:rPr>
        <w:rFonts w:cs="Arial"/>
        <w:noProof/>
        <w:color w:val="auto"/>
        <w:szCs w:val="16"/>
      </w:rPr>
    </w:pPr>
  </w:p>
  <w:p w:rsidR="007B11CB" w:rsidRDefault="007B11CB" w:rsidP="00F73F01">
    <w:pPr>
      <w:pStyle w:val="Footer"/>
      <w:pBdr>
        <w:bottom w:val="single" w:sz="4" w:space="1" w:color="7B6F46"/>
      </w:pBdr>
      <w:tabs>
        <w:tab w:val="clear" w:pos="8306"/>
        <w:tab w:val="right" w:pos="8820"/>
      </w:tabs>
      <w:ind w:right="3027"/>
      <w:jc w:val="right"/>
      <w:rPr>
        <w:rFonts w:cs="Arial"/>
        <w:noProof/>
        <w:color w:val="auto"/>
        <w:szCs w:val="16"/>
      </w:rPr>
    </w:pPr>
  </w:p>
  <w:p w:rsidR="007B11CB" w:rsidRDefault="007B11CB"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7B11CB" w:rsidRDefault="007B11CB" w:rsidP="00F73F01">
    <w:pPr>
      <w:pStyle w:val="Footer"/>
      <w:pBdr>
        <w:bottom w:val="single" w:sz="4" w:space="1" w:color="7B6F46"/>
      </w:pBdr>
      <w:tabs>
        <w:tab w:val="clear" w:pos="8306"/>
        <w:tab w:val="right" w:pos="8820"/>
      </w:tabs>
      <w:ind w:right="3027"/>
      <w:jc w:val="center"/>
    </w:pPr>
    <w:r>
      <w:rPr>
        <w:rFonts w:cs="Arial"/>
        <w:b/>
        <w:i w:val="0"/>
        <w:noProof/>
        <w:color w:val="auto"/>
        <w:szCs w:val="16"/>
        <w:lang w:val="en-US" w:eastAsia="en-US"/>
      </w:rPr>
      <mc:AlternateContent>
        <mc:Choice Requires="wps">
          <w:drawing>
            <wp:anchor distT="0" distB="0" distL="114300" distR="114300" simplePos="0" relativeHeight="251709952" behindDoc="0" locked="0" layoutInCell="0" allowOverlap="1" wp14:anchorId="536E9E87" wp14:editId="55C479AF">
              <wp:simplePos x="0" y="0"/>
              <wp:positionH relativeFrom="column">
                <wp:posOffset>0</wp:posOffset>
              </wp:positionH>
              <wp:positionV relativeFrom="paragraph">
                <wp:posOffset>325755</wp:posOffset>
              </wp:positionV>
              <wp:extent cx="5600700" cy="0"/>
              <wp:effectExtent l="0" t="0" r="0" b="0"/>
              <wp:wrapNone/>
              <wp:docPr id="313"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9FBF6B" id="Line 30" o:spid="_x0000_s1026" style="position:absolute;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5.65pt" to="441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" o:allowincell="f"/>
          </w:pict>
        </mc:Fallback>
      </mc:AlternateContent>
    </w:r>
    <w:r>
      <w:rPr>
        <w:rFonts w:cs="Arial"/>
        <w:b/>
        <w:i w:val="0"/>
        <w:noProof/>
        <w:color w:val="auto"/>
        <w:w w:val="80"/>
        <w:szCs w:val="16"/>
        <w:lang w:val="en-US" w:eastAsia="en-US"/>
      </w:rPr>
      <w:drawing>
        <wp:inline distT="0" distB="0" distL="0" distR="0" wp14:anchorId="6D7D03D7" wp14:editId="70094411">
          <wp:extent cx="5749925" cy="7536815"/>
          <wp:effectExtent l="0" t="0" r="3175" b="6985"/>
          <wp:docPr id="314" name="Picture 314" descr="Corporate_Word_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rporate_Word_pag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749925" cy="753681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Pr="00A82D08"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center"/>
    </w:pPr>
    <w:r>
      <w:rPr>
        <w:rFonts w:cs="Arial"/>
        <w:b/>
        <w:i w:val="0"/>
        <w:noProof/>
        <w:color w:val="auto"/>
        <w:szCs w:val="16"/>
        <w:lang w:val="en-US" w:eastAsia="en-US"/>
      </w:rPr>
      <mc:AlternateContent>
        <mc:Choice Requires="wps">
          <w:drawing>
            <wp:anchor distT="0" distB="0" distL="114300" distR="114300" simplePos="0" relativeHeight="251652608" behindDoc="0" locked="0" layoutInCell="0" allowOverlap="1" wp14:anchorId="2A5C6F21" wp14:editId="37200BCC">
              <wp:simplePos x="0" y="0"/>
              <wp:positionH relativeFrom="column">
                <wp:posOffset>0</wp:posOffset>
              </wp:positionH>
              <wp:positionV relativeFrom="paragraph">
                <wp:posOffset>325755</wp:posOffset>
              </wp:positionV>
              <wp:extent cx="5600700" cy="0"/>
              <wp:effectExtent l="0" t="0" r="0" b="0"/>
              <wp:wrapNone/>
              <wp:docPr id="15"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C825AA" id="Line 10"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5.65pt" to="441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" o:allowincell="f"/>
          </w:pict>
        </mc:Fallback>
      </mc:AlternateContent>
    </w:r>
    <w:r>
      <w:rPr>
        <w:rFonts w:cs="Arial"/>
        <w:b/>
        <w:i w:val="0"/>
        <w:noProof/>
        <w:color w:val="auto"/>
        <w:w w:val="80"/>
        <w:szCs w:val="16"/>
        <w:lang w:val="en-US" w:eastAsia="en-US"/>
      </w:rPr>
      <w:drawing>
        <wp:inline distT="0" distB="0" distL="0" distR="0" wp14:anchorId="63715D89" wp14:editId="0F1E351A">
          <wp:extent cx="5749925" cy="7536815"/>
          <wp:effectExtent l="0" t="0" r="3175" b="6985"/>
          <wp:docPr id="674" name="Picture 674" descr="Corporate_Word_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orporate_Word_pa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9925" cy="7536815"/>
                  </a:xfrm>
                  <a:prstGeom prst="rect">
                    <a:avLst/>
                  </a:prstGeom>
                  <a:noFill/>
                  <a:ln>
                    <a:noFill/>
                  </a:ln>
                </pic:spPr>
              </pic:pic>
            </a:graphicData>
          </a:graphic>
        </wp:inline>
      </w:drawing>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2274E7" w:rsidRDefault="00394EBA">
    <w:pPr>
      <w:pStyle w:val="Header"/>
      <w:rPr>
        <w:lang w:val="fr-BE"/>
      </w:rPr>
    </w:pPr>
    <w:r>
      <w:rPr>
        <w:noProof/>
        <w:lang w:val="en-US" w:eastAsia="en-US"/>
      </w:rPr>
      <mc:AlternateContent>
        <mc:Choice Requires="wpg">
          <w:drawing>
            <wp:anchor distT="0" distB="0" distL="114300" distR="114300" simplePos="0" relativeHeight="251691520" behindDoc="0" locked="0" layoutInCell="1" allowOverlap="1" wp14:anchorId="2F30FF73" wp14:editId="05C4BAF1">
              <wp:simplePos x="0" y="0"/>
              <wp:positionH relativeFrom="page">
                <wp:posOffset>1068779</wp:posOffset>
              </wp:positionH>
              <wp:positionV relativeFrom="page">
                <wp:posOffset>463138</wp:posOffset>
              </wp:positionV>
              <wp:extent cx="5600700" cy="598805"/>
              <wp:effectExtent l="0" t="0" r="19050" b="10795"/>
              <wp:wrapNone/>
              <wp:docPr id="6175" name="Group 6175"/>
              <wp:cNvGraphicFramePr/>
              <a:graphic xmlns:a="http://schemas.openxmlformats.org/drawingml/2006/main">
                <a:graphicData uri="http://schemas.microsoft.com/office/word/2010/wordprocessingGroup">
                  <wpg:wgp>
                    <wpg:cNvGrpSpPr/>
                    <wpg:grpSpPr>
                      <a:xfrm>
                        <a:off x="0" y="0"/>
                        <a:ext cx="5600700" cy="598805"/>
                        <a:chOff x="0" y="-78828"/>
                        <a:chExt cx="5600700" cy="599090"/>
                      </a:xfrm>
                    </wpg:grpSpPr>
                    <wps:wsp>
                      <wps:cNvPr id="6176" name="Line 31"/>
                      <wps:cNvCnPr>
                        <a:cxnSpLocks noChangeShapeType="1"/>
                      </wps:cNvCnPr>
                      <wps:spPr bwMode="auto">
                        <a:xfrm>
                          <a:off x="0" y="520262"/>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177" name="Picture 6177"/>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78828"/>
                          <a:ext cx="1671145" cy="441434"/>
                        </a:xfrm>
                        <a:prstGeom prst="rect">
                          <a:avLst/>
                        </a:prstGeom>
                      </pic:spPr>
                    </pic:pic>
                  </wpg:wgp>
                </a:graphicData>
              </a:graphic>
              <wp14:sizeRelV relativeFrom="margin">
                <wp14:pctHeight>0</wp14:pctHeight>
              </wp14:sizeRelV>
            </wp:anchor>
          </w:drawing>
        </mc:Choice>
        <mc:Fallback>
          <w:pict>
            <v:group w14:anchorId="385A1CC1" id="Group 6175" o:spid="_x0000_s1026" style="position:absolute;margin-left:84.15pt;margin-top:36.45pt;width:441pt;height:47.15pt;z-index:251691520;mso-position-horizontal-relative:page;mso-position-vertical-relative:page;mso-height-relative:margin" coordorigin=",-788"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">
              <v:line id="Line 31" o:spid="_x0000_s1027" style="position:absolute;visibility:visible;mso-wrap-style:square" from="0,5202" to="56007,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w5OcMAAADdAAAADwAAAGRycy9kb3ducmV2LnhtbESPT4vCMBTE7wt+h/AEb2uqYJVqFBEU&#10;va2teH42r3+weSlN1PrtNwsLHoeZ+Q2z2vSmEU/qXG1ZwWQcgSDOra65VHDJ9t8LEM4ja2wsk4I3&#10;OdisB18rTLR98ZmeqS9FgLBLUEHlfZtI6fKKDLqxbYmDV9jOoA+yK6Xu8BXgppHTKIqlwZrDQoUt&#10;7SrK7+nDKPihR6bb9y3b7mdp2s+L6ykrDkqNhv12CcJT7z/h//ZRK4gn8xj+3oQnI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S8OTnDAAAA3QAAAA8AAAAAAAAAAAAA&#10;AAAAoQIAAGRycy9kb3ducmV2LnhtbFBLBQYAAAAABAAEAPkAAACRAw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177" o:spid="_x0000_s1028" type="#_x0000_t75" style="position:absolute;top:-788;width:16711;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x40GvFAAAA3QAAAA8AAABkcnMvZG93bnJldi54bWxEj81qwzAQhO+FvIPYQC8lkdNDfpzIJmkJ&#10;9Nj8PMBibWxja2UsJVL79FWh0OMwM98wuzKaXjxodK1lBYt5BoK4srrlWsH1cpytQTiPrLG3TAq+&#10;yEFZTJ52mGsb+ESPs69FgrDLUUHj/ZBL6aqGDLq5HYiTd7OjQZ/kWEs9Ykhw08vXLFtKgy2nhQYH&#10;emuo6s53o6B/CZ+nS3dYH8N7FzdGhv13rJV6nsb9FoSn6P/Df+0PrWC5WK3g9016ArL4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MeNBrxQAAAN0AAAAPAAAAAAAAAAAAAAAA&#10;AJ8CAABkcnMvZG93bnJldi54bWxQSwUGAAAAAAQABAD3AAAAkQMAAAAA&#10;">
                <v:imagedata r:id="rId2" o:title=""/>
                <v:path arrowok="t"/>
              </v:shape>
              <w10:wrap anchorx="page" anchory="page"/>
            </v:group>
          </w:pict>
        </mc:Fallback>
      </mc:AlternateConten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157CCC">
    <w:pPr>
      <w:pStyle w:val="Header"/>
      <w:jc w:val="left"/>
      <w:rPr>
        <w:i w:val="0"/>
      </w:rPr>
    </w:pPr>
  </w:p>
  <w:p w:rsidR="00394EBA" w:rsidRPr="00157CCC" w:rsidRDefault="00394EBA" w:rsidP="00157CCC">
    <w:pPr>
      <w:pStyle w:val="Header"/>
      <w:jc w:val="left"/>
      <w:rPr>
        <w:i w:val="0"/>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Pr="00A82D08"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center"/>
    </w:pPr>
    <w:r>
      <w:rPr>
        <w:rFonts w:cs="Arial"/>
        <w:b/>
        <w:i w:val="0"/>
        <w:noProof/>
        <w:color w:val="auto"/>
        <w:szCs w:val="16"/>
        <w:lang w:val="en-US" w:eastAsia="en-US"/>
      </w:rPr>
      <mc:AlternateContent>
        <mc:Choice Requires="wps">
          <w:drawing>
            <wp:anchor distT="0" distB="0" distL="114300" distR="114300" simplePos="0" relativeHeight="251655680" behindDoc="0" locked="0" layoutInCell="0" allowOverlap="1" wp14:anchorId="246FD72B" wp14:editId="719E55F9">
              <wp:simplePos x="0" y="0"/>
              <wp:positionH relativeFrom="column">
                <wp:posOffset>0</wp:posOffset>
              </wp:positionH>
              <wp:positionV relativeFrom="paragraph">
                <wp:posOffset>325755</wp:posOffset>
              </wp:positionV>
              <wp:extent cx="5600700" cy="0"/>
              <wp:effectExtent l="0" t="0" r="0" b="0"/>
              <wp:wrapNone/>
              <wp:docPr id="8"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01F515" id="Line 33"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5.65pt" to="441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SkBEwIAACk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" o:allowincell="f"/>
          </w:pict>
        </mc:Fallback>
      </mc:AlternateContent>
    </w:r>
    <w:r>
      <w:rPr>
        <w:rFonts w:cs="Arial"/>
        <w:b/>
        <w:i w:val="0"/>
        <w:noProof/>
        <w:color w:val="auto"/>
        <w:w w:val="80"/>
        <w:szCs w:val="16"/>
        <w:lang w:val="en-US" w:eastAsia="en-US"/>
      </w:rPr>
      <w:drawing>
        <wp:inline distT="0" distB="0" distL="0" distR="0" wp14:anchorId="62552AFD" wp14:editId="785F1D93">
          <wp:extent cx="5749925" cy="7536815"/>
          <wp:effectExtent l="0" t="0" r="3175" b="6985"/>
          <wp:docPr id="676" name="Picture 676" descr="Corporate_Word_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rporate_Word_pa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9925" cy="7536815"/>
                  </a:xfrm>
                  <a:prstGeom prst="rect">
                    <a:avLst/>
                  </a:prstGeom>
                  <a:noFill/>
                  <a:ln>
                    <a:noFill/>
                  </a:ln>
                </pic:spPr>
              </pic:pic>
            </a:graphicData>
          </a:graphic>
        </wp:inline>
      </w:drawing>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157CCC">
    <w:pPr>
      <w:pStyle w:val="Header"/>
      <w:jc w:val="left"/>
      <w:rPr>
        <w:i w:val="0"/>
      </w:rPr>
    </w:pPr>
  </w:p>
  <w:p w:rsidR="00394EBA" w:rsidRPr="00157CCC" w:rsidRDefault="00394EBA" w:rsidP="00157CCC">
    <w:pPr>
      <w:pStyle w:val="Header"/>
      <w:jc w:val="left"/>
      <w:rPr>
        <w:i w:val="0"/>
      </w:rPr>
    </w:pPr>
    <w:r>
      <w:rPr>
        <w:i w:val="0"/>
        <w:noProof/>
        <w:lang w:val="en-US" w:eastAsia="en-US"/>
      </w:rPr>
      <mc:AlternateContent>
        <mc:Choice Requires="wps">
          <w:drawing>
            <wp:anchor distT="0" distB="0" distL="114300" distR="114300" simplePos="0" relativeHeight="251662848" behindDoc="0" locked="0" layoutInCell="1" allowOverlap="1" wp14:anchorId="0B5480ED" wp14:editId="43E2BEFE">
              <wp:simplePos x="0" y="0"/>
              <wp:positionH relativeFrom="margin">
                <wp:posOffset>5624195</wp:posOffset>
              </wp:positionH>
              <wp:positionV relativeFrom="page">
                <wp:posOffset>133350</wp:posOffset>
              </wp:positionV>
              <wp:extent cx="622300" cy="1362710"/>
              <wp:effectExtent l="0" t="0" r="6350" b="8890"/>
              <wp:wrapNone/>
              <wp:docPr id="7"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300" cy="1362710"/>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4EBA" w:rsidRPr="007921DC" w:rsidRDefault="00394EBA" w:rsidP="007921DC">
                          <w:pPr>
                            <w:rPr>
                              <w:color w:val="FFFFFF"/>
                              <w:sz w:val="16"/>
                              <w:lang w:val="fr-BE"/>
                            </w:rPr>
                          </w:pPr>
                          <w:r>
                            <w:rPr>
                              <w:color w:val="FFFFFF"/>
                              <w:sz w:val="16"/>
                              <w:lang w:val="fr-BE"/>
                            </w:rPr>
                            <w:t>doi: 10.2766/598317</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5480ED" id="_x0000_t202" coordsize="21600,21600" o:spt="202" path="m,l,21600r21600,l21600,xe">
              <v:stroke joinstyle="miter"/>
              <v:path gradientshapeok="t" o:connecttype="rect"/>
            </v:shapetype>
            <v:shape id="_x0000_s1061" type="#_x0000_t202" style="position:absolute;margin-left:442.85pt;margin-top:10.5pt;width:49pt;height:107.3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" filled="f" fillcolor="black" stroked="f">
              <v:textbox style="layout-flow:vertical" inset="0,0,0,0">
                <w:txbxContent>
                  <w:p w:rsidR="00394EBA" w:rsidRPr="007921DC" w:rsidRDefault="00394EBA" w:rsidP="007921DC">
                    <w:pPr>
                      <w:rPr>
                        <w:color w:val="FFFFFF"/>
                        <w:sz w:val="16"/>
                        <w:lang w:val="fr-BE"/>
                      </w:rPr>
                    </w:pPr>
                    <w:r>
                      <w:rPr>
                        <w:color w:val="FFFFFF"/>
                        <w:sz w:val="16"/>
                        <w:lang w:val="fr-BE"/>
                      </w:rPr>
                      <w:t>doi: 10.2766/598317</w:t>
                    </w:r>
                  </w:p>
                </w:txbxContent>
              </v:textbox>
              <w10:wrap anchorx="margin" anchory="page"/>
            </v:shape>
          </w:pict>
        </mc:Fallback>
      </mc:AlternateContent>
    </w:r>
    <w:r>
      <w:rPr>
        <w:i w:val="0"/>
        <w:noProof/>
        <w:lang w:val="en-US" w:eastAsia="en-US"/>
      </w:rPr>
      <mc:AlternateContent>
        <mc:Choice Requires="wps">
          <w:drawing>
            <wp:anchor distT="0" distB="0" distL="114300" distR="114300" simplePos="0" relativeHeight="251661824" behindDoc="1" locked="0" layoutInCell="1" allowOverlap="1" wp14:anchorId="6CC5E745" wp14:editId="7F462977">
              <wp:simplePos x="0" y="0"/>
              <wp:positionH relativeFrom="page">
                <wp:posOffset>0</wp:posOffset>
              </wp:positionH>
              <wp:positionV relativeFrom="page">
                <wp:posOffset>-1270</wp:posOffset>
              </wp:positionV>
              <wp:extent cx="7676515" cy="1362075"/>
              <wp:effectExtent l="0" t="0" r="0" b="0"/>
              <wp:wrapNone/>
              <wp:docPr id="6"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76515" cy="1362075"/>
                      </a:xfrm>
                      <a:prstGeom prst="rect">
                        <a:avLst/>
                      </a:prstGeom>
                      <a:solidFill>
                        <a:srgbClr val="009EC7"/>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10F43A" id="Rectangle 55" o:spid="_x0000_s1026" style="position:absolute;margin-left:0;margin-top:-.1pt;width:604.45pt;height:107.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" fillcolor="#009ec7" stroked="f">
              <w10:wrap anchorx="page" anchory="page"/>
            </v:rect>
          </w:pict>
        </mc:Fallback>
      </mc:AlternateConten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r>
      <w:rPr>
        <w:rFonts w:cs="Arial"/>
        <w:noProof/>
        <w:color w:val="auto"/>
        <w:szCs w:val="16"/>
        <w:lang w:val="en-US" w:eastAsia="en-US"/>
      </w:rPr>
      <mc:AlternateContent>
        <mc:Choice Requires="wps">
          <w:drawing>
            <wp:anchor distT="0" distB="0" distL="114300" distR="114300" simplePos="0" relativeHeight="251660800" behindDoc="0" locked="0" layoutInCell="1" allowOverlap="1" wp14:anchorId="41B1AD8C" wp14:editId="585B9C50">
              <wp:simplePos x="0" y="0"/>
              <wp:positionH relativeFrom="margin">
                <wp:posOffset>5718810</wp:posOffset>
              </wp:positionH>
              <wp:positionV relativeFrom="page">
                <wp:posOffset>250190</wp:posOffset>
              </wp:positionV>
              <wp:extent cx="622300" cy="1229360"/>
              <wp:effectExtent l="0" t="0" r="0" b="0"/>
              <wp:wrapNone/>
              <wp:docPr id="5"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300" cy="1229360"/>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4EBA" w:rsidRPr="00581F3D" w:rsidRDefault="00394EBA" w:rsidP="00581F3D">
                          <w:pPr>
                            <w:rPr>
                              <w:color w:val="FFFFFF"/>
                              <w:sz w:val="16"/>
                              <w:lang w:val="fr-BE"/>
                            </w:rPr>
                          </w:pPr>
                          <w:r w:rsidRPr="00581F3D">
                            <w:rPr>
                              <w:color w:val="FFFFFF"/>
                              <w:sz w:val="16"/>
                              <w:lang w:val="fr-BE"/>
                            </w:rPr>
                            <w:t>[Catalogue number]</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B1AD8C" id="_x0000_t202" coordsize="21600,21600" o:spt="202" path="m,l,21600r21600,l21600,xe">
              <v:stroke joinstyle="miter"/>
              <v:path gradientshapeok="t" o:connecttype="rect"/>
            </v:shapetype>
            <v:shape id="Text Box 53" o:spid="_x0000_s1062" type="#_x0000_t202" style="position:absolute;left:0;text-align:left;margin-left:450.3pt;margin-top:19.7pt;width:49pt;height:96.8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" filled="f" fillcolor="black" stroked="f">
              <v:textbox style="layout-flow:vertical" inset="0,0,0,0">
                <w:txbxContent>
                  <w:p w:rsidR="00394EBA" w:rsidRPr="00581F3D" w:rsidRDefault="00394EBA" w:rsidP="00581F3D">
                    <w:pPr>
                      <w:rPr>
                        <w:color w:val="FFFFFF"/>
                        <w:sz w:val="16"/>
                        <w:lang w:val="fr-BE"/>
                      </w:rPr>
                    </w:pPr>
                    <w:r w:rsidRPr="00581F3D">
                      <w:rPr>
                        <w:color w:val="FFFFFF"/>
                        <w:sz w:val="16"/>
                        <w:lang w:val="fr-BE"/>
                      </w:rPr>
                      <w:t>[Catalogue number]</w:t>
                    </w:r>
                  </w:p>
                </w:txbxContent>
              </v:textbox>
              <w10:wrap anchorx="margin" anchory="page"/>
            </v:shape>
          </w:pict>
        </mc:Fallback>
      </mc:AlternateContent>
    </w: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Pr="00A82D08"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center"/>
    </w:pPr>
    <w:r>
      <w:rPr>
        <w:rFonts w:cs="Arial"/>
        <w:b/>
        <w:i w:val="0"/>
        <w:noProof/>
        <w:color w:val="auto"/>
        <w:szCs w:val="16"/>
        <w:lang w:val="en-US" w:eastAsia="en-US"/>
      </w:rPr>
      <mc:AlternateContent>
        <mc:Choice Requires="wps">
          <w:drawing>
            <wp:anchor distT="0" distB="0" distL="114300" distR="114300" simplePos="0" relativeHeight="251659776" behindDoc="0" locked="0" layoutInCell="0" allowOverlap="1" wp14:anchorId="4D889BB4" wp14:editId="0CCA1EC9">
              <wp:simplePos x="0" y="0"/>
              <wp:positionH relativeFrom="column">
                <wp:posOffset>0</wp:posOffset>
              </wp:positionH>
              <wp:positionV relativeFrom="paragraph">
                <wp:posOffset>325755</wp:posOffset>
              </wp:positionV>
              <wp:extent cx="5600700" cy="0"/>
              <wp:effectExtent l="0" t="0" r="0" b="0"/>
              <wp:wrapNone/>
              <wp:docPr id="1"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7C73F2" id="Line 50"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5.65pt" to="441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" o:allowincell="f"/>
          </w:pict>
        </mc:Fallback>
      </mc:AlternateContent>
    </w:r>
    <w:r>
      <w:rPr>
        <w:rFonts w:cs="Arial"/>
        <w:b/>
        <w:i w:val="0"/>
        <w:noProof/>
        <w:color w:val="auto"/>
        <w:w w:val="80"/>
        <w:szCs w:val="16"/>
        <w:lang w:val="en-US" w:eastAsia="en-US"/>
      </w:rPr>
      <w:drawing>
        <wp:inline distT="0" distB="0" distL="0" distR="0" wp14:anchorId="410BC90E" wp14:editId="7C2CF539">
          <wp:extent cx="5749925" cy="7536815"/>
          <wp:effectExtent l="0" t="0" r="3175" b="6985"/>
          <wp:docPr id="4" name="Picture 4" descr="Corporate_Word_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rporate_Word_pag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9925" cy="753681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D76F28" w:rsidRDefault="00394EBA" w:rsidP="000E4E30">
    <w:pPr>
      <w:pStyle w:val="Header"/>
    </w:pPr>
  </w:p>
  <w:p w:rsidR="00394EBA" w:rsidRDefault="00394EBA"/>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157CCC">
    <w:pPr>
      <w:pStyle w:val="Header"/>
      <w:jc w:val="left"/>
      <w:rPr>
        <w:i w:val="0"/>
      </w:rPr>
    </w:pPr>
    <w:r>
      <w:rPr>
        <w:noProof/>
        <w:lang w:val="en-US" w:eastAsia="en-US"/>
      </w:rPr>
      <mc:AlternateContent>
        <mc:Choice Requires="wpg">
          <w:drawing>
            <wp:anchor distT="0" distB="0" distL="114300" distR="114300" simplePos="0" relativeHeight="251680256" behindDoc="0" locked="0" layoutInCell="1" allowOverlap="1" wp14:anchorId="77F3E984" wp14:editId="635259F9">
              <wp:simplePos x="0" y="0"/>
              <wp:positionH relativeFrom="page">
                <wp:posOffset>1031875</wp:posOffset>
              </wp:positionH>
              <wp:positionV relativeFrom="page">
                <wp:posOffset>434340</wp:posOffset>
              </wp:positionV>
              <wp:extent cx="5600700" cy="598805"/>
              <wp:effectExtent l="0" t="0" r="19050" b="10795"/>
              <wp:wrapNone/>
              <wp:docPr id="702" name="Group 702"/>
              <wp:cNvGraphicFramePr/>
              <a:graphic xmlns:a="http://schemas.openxmlformats.org/drawingml/2006/main">
                <a:graphicData uri="http://schemas.microsoft.com/office/word/2010/wordprocessingGroup">
                  <wpg:wgp>
                    <wpg:cNvGrpSpPr/>
                    <wpg:grpSpPr>
                      <a:xfrm>
                        <a:off x="0" y="0"/>
                        <a:ext cx="5600700" cy="598805"/>
                        <a:chOff x="0" y="-78828"/>
                        <a:chExt cx="5600700" cy="599090"/>
                      </a:xfrm>
                    </wpg:grpSpPr>
                    <wps:wsp>
                      <wps:cNvPr id="703" name="Line 31"/>
                      <wps:cNvCnPr>
                        <a:cxnSpLocks noChangeShapeType="1"/>
                      </wps:cNvCnPr>
                      <wps:spPr bwMode="auto">
                        <a:xfrm>
                          <a:off x="0" y="520262"/>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8" name="Picture 38"/>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3929555" y="-78828"/>
                          <a:ext cx="1671145" cy="441434"/>
                        </a:xfrm>
                        <a:prstGeom prst="rect">
                          <a:avLst/>
                        </a:prstGeom>
                      </pic:spPr>
                    </pic:pic>
                  </wpg:wgp>
                </a:graphicData>
              </a:graphic>
              <wp14:sizeRelV relativeFrom="margin">
                <wp14:pctHeight>0</wp14:pctHeight>
              </wp14:sizeRelV>
            </wp:anchor>
          </w:drawing>
        </mc:Choice>
        <mc:Fallback>
          <w:pict>
            <v:group w14:anchorId="1E337272" id="Group 702" o:spid="_x0000_s1026" style="position:absolute;margin-left:81.25pt;margin-top:34.2pt;width:441pt;height:47.15pt;z-index:251680256;mso-position-horizontal-relative:page;mso-position-vertical-relative:page;mso-height-relative:margin" coordorigin=",-788"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">
              <v:line id="Line 31" o:spid="_x0000_s1027" style="position:absolute;visibility:visible;mso-wrap-style:square" from="0,5202" to="56007,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1JosQAAADcAAAADwAAAGRycy9kb3ducmV2LnhtbESPS2vDMBCE74H8B7GF3BK5DY2LGyWE&#10;QEp7a+yQ89ZaP6i1Mpb8+vdVodDjMDPfMPvjZBoxUOdqywoeNxEI4tzqmksFt+yyfgHhPLLGxjIp&#10;mMnB8bBc7DHRduQrDakvRYCwS1BB5X2bSOnyigy6jW2Jg1fYzqAPsiul7nAMcNPIpyjaSYM1h4UK&#10;WzpXlH+nvVHwSX2m2/krO12e03SKi/tHVrwptXqYTq8gPE3+P/zXftcK4mgLv2fCEZCH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jUmixAAAANwAAAAPAAAAAAAAAAAA&#10;AAAAAKECAABkcnMvZG93bnJldi54bWxQSwUGAAAAAAQABAD5AAAAkgM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8" o:spid="_x0000_s1028" type="#_x0000_t75" style="position:absolute;left:39295;top:-788;width:16712;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YV3TW/AAAA2wAAAA8AAABkcnMvZG93bnJldi54bWxET8uKwjAU3Qv+Q7iCGxnTGUGcahTHQXDp&#10;6wMuzbUtbW5KE030681iYJaH815tomnFg3pXW1bwOc1AEBdW11wquF72HwsQziNrbC2Tgic52KyH&#10;gxXm2gY+0ePsS5FC2OWooPK+y6V0RUUG3dR2xIm72d6gT7Avpe4xpHDTyq8sm0uDNaeGCjvaVVQ0&#10;57tR0E7C8XRpfhb78NvEbyPD9hVLpcajuF2C8BT9v/jPfdAKZmls+pJ+gFy/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2Fd01vwAAANsAAAAPAAAAAAAAAAAAAAAAAJ8CAABk&#10;cnMvZG93bnJldi54bWxQSwUGAAAAAAQABAD3AAAAiwMAAAAA&#10;">
                <v:imagedata r:id="rId2" o:title=""/>
                <v:path arrowok="t"/>
              </v:shape>
              <w10:wrap anchorx="page" anchory="page"/>
            </v:group>
          </w:pict>
        </mc:Fallback>
      </mc:AlternateContent>
    </w:r>
  </w:p>
  <w:p w:rsidR="00394EBA" w:rsidRPr="00157CCC" w:rsidRDefault="00394EBA" w:rsidP="00157CCC">
    <w:pPr>
      <w:pStyle w:val="Header"/>
      <w:jc w:val="left"/>
      <w:rPr>
        <w:i w:val="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D76F28" w:rsidRDefault="00394EBA" w:rsidP="000E4E30">
    <w:pPr>
      <w:pStyle w:val="Header"/>
    </w:pPr>
  </w:p>
  <w:p w:rsidR="00394EBA" w:rsidRDefault="00394EBA">
    <w:r>
      <w:rPr>
        <w:noProof/>
        <w:lang w:val="en-US" w:eastAsia="en-US"/>
      </w:rPr>
      <mc:AlternateContent>
        <mc:Choice Requires="wpg">
          <w:drawing>
            <wp:anchor distT="0" distB="0" distL="114300" distR="114300" simplePos="0" relativeHeight="251682304" behindDoc="0" locked="0" layoutInCell="1" allowOverlap="1" wp14:anchorId="69528A62" wp14:editId="1E93C525">
              <wp:simplePos x="0" y="0"/>
              <wp:positionH relativeFrom="page">
                <wp:posOffset>1088077</wp:posOffset>
              </wp:positionH>
              <wp:positionV relativeFrom="page">
                <wp:posOffset>483235</wp:posOffset>
              </wp:positionV>
              <wp:extent cx="5600700" cy="598805"/>
              <wp:effectExtent l="0" t="0" r="19050" b="10795"/>
              <wp:wrapNone/>
              <wp:docPr id="39" name="Group 39"/>
              <wp:cNvGraphicFramePr/>
              <a:graphic xmlns:a="http://schemas.openxmlformats.org/drawingml/2006/main">
                <a:graphicData uri="http://schemas.microsoft.com/office/word/2010/wordprocessingGroup">
                  <wpg:wgp>
                    <wpg:cNvGrpSpPr/>
                    <wpg:grpSpPr>
                      <a:xfrm>
                        <a:off x="0" y="0"/>
                        <a:ext cx="5600700" cy="598805"/>
                        <a:chOff x="0" y="0"/>
                        <a:chExt cx="5600700" cy="599090"/>
                      </a:xfrm>
                    </wpg:grpSpPr>
                    <wps:wsp>
                      <wps:cNvPr id="40" name="Line 31"/>
                      <wps:cNvCnPr>
                        <a:cxnSpLocks noChangeShapeType="1"/>
                      </wps:cNvCnPr>
                      <wps:spPr bwMode="auto">
                        <a:xfrm>
                          <a:off x="0" y="599090"/>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1" name="Picture 4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71145" cy="441434"/>
                        </a:xfrm>
                        <a:prstGeom prst="rect">
                          <a:avLst/>
                        </a:prstGeom>
                      </pic:spPr>
                    </pic:pic>
                  </wpg:wgp>
                </a:graphicData>
              </a:graphic>
            </wp:anchor>
          </w:drawing>
        </mc:Choice>
        <mc:Fallback>
          <w:pict>
            <v:group w14:anchorId="3D59CAD5" id="Group 39" o:spid="_x0000_s1026" style="position:absolute;margin-left:85.7pt;margin-top:38.05pt;width:441pt;height:47.15pt;z-index:251682304;mso-position-horizontal-relative:page;mso-position-vertical-relative:page"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">
              <v:line id="Line 31" o:spid="_x0000_s1027" style="position:absolute;visibility:visible;mso-wrap-style:square" from="0,5990" to="56007,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C4Ob8AAADbAAAADwAAAGRycy9kb3ducmV2LnhtbERPy4rCMBTdC/MP4Q6403QGH0M1LTKg&#10;6E5bmfW1uX0wzU1pota/NwvB5eG81+lgWnGj3jWWFXxNIxDEhdUNVwrO+XbyA8J5ZI2tZVLwIAdp&#10;8jFaY6ztnU90y3wlQgi7GBXU3nexlK6oyaCb2o44cKXtDfoA+0rqHu8h3LTyO4oW0mDDoaHGjn5r&#10;Kv6zq1FwpGuuu8cl32znWTYsy79DXu6UGn8OmxUIT4N/i1/uvVYwC+vDl/ADZPIE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nC4Ob8AAADbAAAADwAAAAAAAAAAAAAAAACh&#10;AgAAZHJzL2Rvd25yZXYueG1sUEsFBgAAAAAEAAQA+QAAAI0DA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1" o:spid="_x0000_s1028" type="#_x0000_t75" style="position:absolute;width:16711;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8pB9XDAAAA2wAAAA8AAABkcnMvZG93bnJldi54bWxEj91qAjEUhO8LvkM4gjdFs0opuhrFH4Re&#10;1p8HOGyOu8tuTpZNNNGnbwqFXg4z8w2z2kTTigf1rrasYDrJQBAXVtdcKrhejuM5COeRNbaWScGT&#10;HGzWg7cV5toGPtHj7EuRIOxyVFB53+VSuqIig25iO+Lk3Wxv0CfZl1L3GBLctHKWZZ/SYM1pocKO&#10;9hUVzfluFLTv4ft0aXbzYzg0cWFk2L5iqdRoGLdLEJ6i/w//tb+0go8p/H5JP0Cu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ykH1cMAAADbAAAADwAAAAAAAAAAAAAAAACf&#10;AgAAZHJzL2Rvd25yZXYueG1sUEsFBgAAAAAEAAQA9wAAAI8DAAAAAA==&#10;">
                <v:imagedata r:id="rId2" o:title=""/>
                <v:path arrowok="t"/>
              </v:shape>
              <w10:wrap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r>
      <w:rPr>
        <w:noProof/>
        <w:lang w:val="en-US" w:eastAsia="en-US"/>
      </w:rPr>
      <mc:AlternateContent>
        <mc:Choice Requires="wpg">
          <w:drawing>
            <wp:anchor distT="0" distB="0" distL="114300" distR="114300" simplePos="0" relativeHeight="251676160" behindDoc="0" locked="0" layoutInCell="1" allowOverlap="1" wp14:anchorId="25FED35E" wp14:editId="3BFF7618">
              <wp:simplePos x="0" y="0"/>
              <wp:positionH relativeFrom="page">
                <wp:posOffset>1132840</wp:posOffset>
              </wp:positionH>
              <wp:positionV relativeFrom="page">
                <wp:posOffset>428938</wp:posOffset>
              </wp:positionV>
              <wp:extent cx="5600700" cy="598805"/>
              <wp:effectExtent l="0" t="0" r="19050" b="10795"/>
              <wp:wrapNone/>
              <wp:docPr id="692" name="Group 692"/>
              <wp:cNvGraphicFramePr/>
              <a:graphic xmlns:a="http://schemas.openxmlformats.org/drawingml/2006/main">
                <a:graphicData uri="http://schemas.microsoft.com/office/word/2010/wordprocessingGroup">
                  <wpg:wgp>
                    <wpg:cNvGrpSpPr/>
                    <wpg:grpSpPr>
                      <a:xfrm>
                        <a:off x="0" y="0"/>
                        <a:ext cx="5600700" cy="598805"/>
                        <a:chOff x="0" y="0"/>
                        <a:chExt cx="5600700" cy="599090"/>
                      </a:xfrm>
                    </wpg:grpSpPr>
                    <wps:wsp>
                      <wps:cNvPr id="693" name="Line 31"/>
                      <wps:cNvCnPr>
                        <a:cxnSpLocks noChangeShapeType="1"/>
                      </wps:cNvCnPr>
                      <wps:spPr bwMode="auto">
                        <a:xfrm>
                          <a:off x="0" y="599090"/>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94" name="Picture 69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71145" cy="441434"/>
                        </a:xfrm>
                        <a:prstGeom prst="rect">
                          <a:avLst/>
                        </a:prstGeom>
                      </pic:spPr>
                    </pic:pic>
                  </wpg:wgp>
                </a:graphicData>
              </a:graphic>
            </wp:anchor>
          </w:drawing>
        </mc:Choice>
        <mc:Fallback>
          <w:pict>
            <v:group w14:anchorId="13B5714E" id="Group 692" o:spid="_x0000_s1026" style="position:absolute;margin-left:89.2pt;margin-top:33.75pt;width:441pt;height:47.15pt;z-index:251676160;mso-position-horizontal-relative:page;mso-position-vertical-relative:page"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">
              <v:line id="Line 31" o:spid="_x0000_s1027" style="position:absolute;visibility:visible;mso-wrap-style:square" from="0,5990" to="56007,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bTuMMAAADcAAAADwAAAGRycy9kb3ducmV2LnhtbESPT4vCMBTE74LfITxhb5rqsq5Wo8iC&#10;y3rTdvH8bF7/YPNSmqj12xtB8DjMzG+Y5boztbhS6yrLCsajCARxZnXFhYL/dDucgXAeWWNtmRTc&#10;ycF61e8tMdb2xge6Jr4QAcIuRgWl900spctKMuhGtiEOXm5bgz7ItpC6xVuAm1pOomgqDVYcFkps&#10;6Kek7JxcjII9XVLd3E/pZvuVJN13ftyl+a9SH4NuswDhqfPv8Kv9pxVM55/wPBOO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Rm07jDAAAA3AAAAA8AAAAAAAAAAAAA&#10;AAAAoQIAAGRycy9kb3ducmV2LnhtbFBLBQYAAAAABAAEAPkAAACRAw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94" o:spid="_x0000_s1028" type="#_x0000_t75" style="position:absolute;width:16711;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e44zEAAAA3AAAAA8AAABkcnMvZG93bnJldi54bWxEj91qAjEUhO8LvkM4gjelZhURXY3iD4KX&#10;VfsAh81xd9nNybKJJvbpm0Khl8PMfMOst9G04km9qy0rmIwzEMSF1TWXCr5up48FCOeRNbaWScGL&#10;HGw3g7c15toGvtDz6kuRIOxyVFB53+VSuqIig25sO+Lk3W1v0CfZl1L3GBLctHKaZXNpsOa0UGFH&#10;h4qK5vowCtr38Hm5NfvFKRybuDQy7L5jqdRoGHcrEJ6i/w//tc9awXw5g98z6QjIzQ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ie44zEAAAA3AAAAA8AAAAAAAAAAAAAAAAA&#10;nwIAAGRycy9kb3ducmV2LnhtbFBLBQYAAAAABAAEAPcAAACQAwAAAAA=&#10;">
                <v:imagedata r:id="rId2" o:title=""/>
                <v:path arrowok="t"/>
              </v:shape>
              <w10:wrap anchorx="page" anchory="page"/>
            </v:group>
          </w:pict>
        </mc:Fallback>
      </mc:AlternateContent>
    </w: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center"/>
    </w:pPr>
    <w:r>
      <w:rPr>
        <w:rFonts w:cs="Arial"/>
        <w:b/>
        <w:i w:val="0"/>
        <w:noProof/>
        <w:color w:val="auto"/>
        <w:szCs w:val="16"/>
        <w:lang w:val="en-US" w:eastAsia="en-US"/>
      </w:rPr>
      <mc:AlternateContent>
        <mc:Choice Requires="wps">
          <w:drawing>
            <wp:anchor distT="0" distB="0" distL="114300" distR="114300" simplePos="0" relativeHeight="251653632" behindDoc="0" locked="0" layoutInCell="0" allowOverlap="1" wp14:anchorId="5262525B" wp14:editId="20FE4C85">
              <wp:simplePos x="0" y="0"/>
              <wp:positionH relativeFrom="column">
                <wp:posOffset>0</wp:posOffset>
              </wp:positionH>
              <wp:positionV relativeFrom="paragraph">
                <wp:posOffset>325755</wp:posOffset>
              </wp:positionV>
              <wp:extent cx="5600700" cy="0"/>
              <wp:effectExtent l="0" t="0" r="0" b="0"/>
              <wp:wrapNone/>
              <wp:docPr id="11"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AD186A" id="Line 30"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5.65pt" to="441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" o:allowincell="f"/>
          </w:pict>
        </mc:Fallback>
      </mc:AlternateContent>
    </w:r>
    <w:r>
      <w:rPr>
        <w:rFonts w:cs="Arial"/>
        <w:b/>
        <w:i w:val="0"/>
        <w:noProof/>
        <w:color w:val="auto"/>
        <w:w w:val="80"/>
        <w:szCs w:val="16"/>
        <w:lang w:val="en-US" w:eastAsia="en-US"/>
      </w:rPr>
      <w:drawing>
        <wp:inline distT="0" distB="0" distL="0" distR="0" wp14:anchorId="56CA4D87" wp14:editId="2A0D0B43">
          <wp:extent cx="5749925" cy="7536815"/>
          <wp:effectExtent l="0" t="0" r="3175" b="6985"/>
          <wp:docPr id="46" name="Picture 46" descr="Corporate_Word_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rporate_Word_pag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749925" cy="7536815"/>
                  </a:xfrm>
                  <a:prstGeom prst="rect">
                    <a:avLst/>
                  </a:prstGeom>
                  <a:noFill/>
                  <a:ln>
                    <a:noFill/>
                  </a:ln>
                </pic:spPr>
              </pic:pic>
            </a:graphicData>
          </a:graphic>
        </wp:inline>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Pr="002274E7" w:rsidRDefault="00394EBA">
    <w:pPr>
      <w:pStyle w:val="Header"/>
      <w:rPr>
        <w:lang w:val="fr-BE"/>
      </w:rPr>
    </w:pPr>
    <w:r>
      <w:rPr>
        <w:noProof/>
        <w:lang w:val="en-US" w:eastAsia="en-US"/>
      </w:rPr>
      <mc:AlternateContent>
        <mc:Choice Requires="wpg">
          <w:drawing>
            <wp:anchor distT="0" distB="0" distL="114300" distR="114300" simplePos="0" relativeHeight="251672064" behindDoc="0" locked="0" layoutInCell="1" allowOverlap="1" wp14:anchorId="5175CD4D" wp14:editId="2F51D326">
              <wp:simplePos x="0" y="0"/>
              <wp:positionH relativeFrom="page">
                <wp:posOffset>1158240</wp:posOffset>
              </wp:positionH>
              <wp:positionV relativeFrom="page">
                <wp:posOffset>435932</wp:posOffset>
              </wp:positionV>
              <wp:extent cx="5600700" cy="598805"/>
              <wp:effectExtent l="0" t="0" r="19050" b="10795"/>
              <wp:wrapNone/>
              <wp:docPr id="686" name="Group 686"/>
              <wp:cNvGraphicFramePr/>
              <a:graphic xmlns:a="http://schemas.openxmlformats.org/drawingml/2006/main">
                <a:graphicData uri="http://schemas.microsoft.com/office/word/2010/wordprocessingGroup">
                  <wpg:wgp>
                    <wpg:cNvGrpSpPr/>
                    <wpg:grpSpPr>
                      <a:xfrm>
                        <a:off x="0" y="0"/>
                        <a:ext cx="5600700" cy="598805"/>
                        <a:chOff x="0" y="0"/>
                        <a:chExt cx="5600700" cy="599090"/>
                      </a:xfrm>
                    </wpg:grpSpPr>
                    <wps:wsp>
                      <wps:cNvPr id="687" name="Line 31"/>
                      <wps:cNvCnPr>
                        <a:cxnSpLocks noChangeShapeType="1"/>
                      </wps:cNvCnPr>
                      <wps:spPr bwMode="auto">
                        <a:xfrm>
                          <a:off x="0" y="599090"/>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88" name="Picture 688"/>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71145" cy="441434"/>
                        </a:xfrm>
                        <a:prstGeom prst="rect">
                          <a:avLst/>
                        </a:prstGeom>
                      </pic:spPr>
                    </pic:pic>
                  </wpg:wgp>
                </a:graphicData>
              </a:graphic>
            </wp:anchor>
          </w:drawing>
        </mc:Choice>
        <mc:Fallback>
          <w:pict>
            <v:group w14:anchorId="5EE2BE03" id="Group 686" o:spid="_x0000_s1026" style="position:absolute;margin-left:91.2pt;margin-top:34.35pt;width:441pt;height:47.15pt;z-index:251672064;mso-position-horizontal-relative:page;mso-position-vertical-relative:page"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">
              <v:line id="Line 31" o:spid="_x0000_s1027" style="position:absolute;visibility:visible;mso-wrap-style:square" from="0,5990" to="56007,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RDZsIAAADcAAAADwAAAGRycy9kb3ducmV2LnhtbESPS6vCMBSE94L/IRzBnaZe8EE1ighe&#10;dHdtxfWxOX1gc1KaqPXf3wiCy2FmvmFWm87U4kGtqywrmIwjEMSZ1RUXCs7pfrQA4TyyxtoyKXiR&#10;g82631thrO2TT/RIfCEChF2MCkrvm1hKl5Vk0I1tQxy83LYGfZBtIXWLzwA3tfyJopk0WHFYKLGh&#10;XUnZLbkbBX90T3Xzuqbb/TRJunl+Oab5r1LDQbddgvDU+W/40z5oBbPFHN5nwhGQ6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oRDZsIAAADcAAAADwAAAAAAAAAAAAAA&#10;AAChAgAAZHJzL2Rvd25yZXYueG1sUEsFBgAAAAAEAAQA+QAAAJADA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88" o:spid="_x0000_s1028" type="#_x0000_t75" style="position:absolute;width:16711;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wKf1TAAAAA3AAAAA8AAABkcnMvZG93bnJldi54bWxET8uKwjAU3Q/4D+EKbgZNx4XUahQdEWY5&#10;Pj7g0lzb0uamNNFEv94sBmZ5OO/1NppOPGhwjWUFX7MMBHFpdcOVguvlOM1BOI+ssbNMCp7kYLsZ&#10;fayx0DbwiR5nX4kUwq5ABbX3fSGlK2sy6Ga2J07czQ4GfYJDJfWAIYWbTs6zbCENNpwaauzpu6ay&#10;Pd+Ngu4z/J4u7T4/hkMbl0aG3StWSk3GcbcC4Sn6f/Gf+0crWORpbTqTjoDcvA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HAp/VMAAAADcAAAADwAAAAAAAAAAAAAAAACfAgAA&#10;ZHJzL2Rvd25yZXYueG1sUEsFBgAAAAAEAAQA9wAAAIwDAAAAAA==&#10;">
                <v:imagedata r:id="rId2" o:title=""/>
                <v:path arrowok="t"/>
              </v:shape>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157CCC">
    <w:pPr>
      <w:pStyle w:val="Header"/>
      <w:jc w:val="left"/>
      <w:rPr>
        <w:i w:val="0"/>
      </w:rPr>
    </w:pPr>
    <w:r>
      <w:rPr>
        <w:noProof/>
        <w:lang w:val="en-US" w:eastAsia="en-US"/>
      </w:rPr>
      <mc:AlternateContent>
        <mc:Choice Requires="wpg">
          <w:drawing>
            <wp:anchor distT="0" distB="0" distL="114300" distR="114300" simplePos="0" relativeHeight="251686400" behindDoc="0" locked="0" layoutInCell="1" allowOverlap="1" wp14:anchorId="47FCABA8" wp14:editId="43521683">
              <wp:simplePos x="0" y="0"/>
              <wp:positionH relativeFrom="page">
                <wp:posOffset>1037230</wp:posOffset>
              </wp:positionH>
              <wp:positionV relativeFrom="page">
                <wp:posOffset>436728</wp:posOffset>
              </wp:positionV>
              <wp:extent cx="5600700" cy="598805"/>
              <wp:effectExtent l="0" t="0" r="19050" b="10795"/>
              <wp:wrapNone/>
              <wp:docPr id="59" name="Group 59"/>
              <wp:cNvGraphicFramePr/>
              <a:graphic xmlns:a="http://schemas.openxmlformats.org/drawingml/2006/main">
                <a:graphicData uri="http://schemas.microsoft.com/office/word/2010/wordprocessingGroup">
                  <wpg:wgp>
                    <wpg:cNvGrpSpPr/>
                    <wpg:grpSpPr>
                      <a:xfrm>
                        <a:off x="0" y="0"/>
                        <a:ext cx="5600700" cy="598805"/>
                        <a:chOff x="0" y="-78828"/>
                        <a:chExt cx="5600700" cy="599090"/>
                      </a:xfrm>
                    </wpg:grpSpPr>
                    <wps:wsp>
                      <wps:cNvPr id="62" name="Line 31"/>
                      <wps:cNvCnPr>
                        <a:cxnSpLocks noChangeShapeType="1"/>
                      </wps:cNvCnPr>
                      <wps:spPr bwMode="auto">
                        <a:xfrm>
                          <a:off x="0" y="520262"/>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3" name="Picture 63"/>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78828"/>
                          <a:ext cx="1671145" cy="441434"/>
                        </a:xfrm>
                        <a:prstGeom prst="rect">
                          <a:avLst/>
                        </a:prstGeom>
                      </pic:spPr>
                    </pic:pic>
                  </wpg:wgp>
                </a:graphicData>
              </a:graphic>
              <wp14:sizeRelV relativeFrom="margin">
                <wp14:pctHeight>0</wp14:pctHeight>
              </wp14:sizeRelV>
            </wp:anchor>
          </w:drawing>
        </mc:Choice>
        <mc:Fallback>
          <w:pict>
            <v:group w14:anchorId="64BA265B" id="Group 59" o:spid="_x0000_s1026" style="position:absolute;margin-left:81.65pt;margin-top:34.4pt;width:441pt;height:47.15pt;z-index:251686400;mso-position-horizontal-relative:page;mso-position-vertical-relative:page;mso-height-relative:margin" coordorigin=",-788"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">
              <v:line id="Line 31" o:spid="_x0000_s1027" style="position:absolute;visibility:visible;mso-wrap-style:square" from="0,5202" to="56007,5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vftcMAAADbAAAADwAAAGRycy9kb3ducmV2LnhtbESPzWrDMBCE74W8g9hCbo1cQ9LiRjYm&#10;kNLeErv0vLXWP9RaGUuxnbevAoEeh5n5htlni+nFRKPrLCt43kQgiCurO24UfJXHp1cQziNr7C2T&#10;gis5yNLVwx4TbWc+01T4RgQIuwQVtN4PiZSuasmg29iBOHi1HQ36IMdG6hHnADe9jKNoJw12HBZa&#10;HOjQUvVbXIyCE11KPVx/yvy4LYrlpf7+LOt3pdaPS/4GwtPi/8P39odWsIvh9iX8AJn+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5b37XDAAAA2wAAAA8AAAAAAAAAAAAA&#10;AAAAoQIAAGRycy9kb3ducmV2LnhtbFBLBQYAAAAABAAEAPkAAACRAw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3" o:spid="_x0000_s1028" type="#_x0000_t75" style="position:absolute;top:-788;width:16711;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sCYFnDAAAA2wAAAA8AAABkcnMvZG93bnJldi54bWxEj91qAjEUhO8LvkM4gjdFs1oQXY2iFaGX&#10;9ecBDpvj7rKbk2WTmtinbwShl8PMfMOst9G04k69qy0rmE4yEMSF1TWXCq6X43gBwnlkja1lUvAg&#10;B9vN4G2NubaBT3Q/+1IkCLscFVTed7mUrqjIoJvYjjh5N9sb9En2pdQ9hgQ3rZxl2VwarDktVNjR&#10;Z0VFc/4xCtr38H26NPvFMRyauDQy7H5jqdRoGHcrEJ6i/w+/2l9awfwDnl/SD5Cb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6wJgWcMAAADbAAAADwAAAAAAAAAAAAAAAACf&#10;AgAAZHJzL2Rvd25yZXYueG1sUEsFBgAAAAAEAAQA9wAAAI8DAAAAAA==&#10;">
                <v:imagedata r:id="rId2" o:title=""/>
                <v:path arrowok="t"/>
              </v:shape>
              <w10:wrap anchorx="page" anchory="page"/>
            </v:group>
          </w:pict>
        </mc:Fallback>
      </mc:AlternateContent>
    </w:r>
  </w:p>
  <w:p w:rsidR="00394EBA" w:rsidRPr="00157CCC" w:rsidRDefault="00394EBA" w:rsidP="00157CCC">
    <w:pPr>
      <w:pStyle w:val="Header"/>
      <w:jc w:val="left"/>
      <w:rPr>
        <w:i w:val="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r>
      <w:rPr>
        <w:noProof/>
        <w:lang w:val="en-US" w:eastAsia="en-US"/>
      </w:rPr>
      <mc:AlternateContent>
        <mc:Choice Requires="wpg">
          <w:drawing>
            <wp:anchor distT="0" distB="0" distL="114300" distR="114300" simplePos="0" relativeHeight="251689472" behindDoc="0" locked="0" layoutInCell="1" allowOverlap="1" wp14:anchorId="3F366832" wp14:editId="25482061">
              <wp:simplePos x="0" y="0"/>
              <wp:positionH relativeFrom="page">
                <wp:posOffset>1033153</wp:posOffset>
              </wp:positionH>
              <wp:positionV relativeFrom="page">
                <wp:posOffset>451262</wp:posOffset>
              </wp:positionV>
              <wp:extent cx="5600700" cy="598805"/>
              <wp:effectExtent l="0" t="0" r="19050" b="10795"/>
              <wp:wrapNone/>
              <wp:docPr id="300" name="Group 300"/>
              <wp:cNvGraphicFramePr/>
              <a:graphic xmlns:a="http://schemas.openxmlformats.org/drawingml/2006/main">
                <a:graphicData uri="http://schemas.microsoft.com/office/word/2010/wordprocessingGroup">
                  <wpg:wgp>
                    <wpg:cNvGrpSpPr/>
                    <wpg:grpSpPr>
                      <a:xfrm>
                        <a:off x="0" y="0"/>
                        <a:ext cx="5600700" cy="598805"/>
                        <a:chOff x="0" y="0"/>
                        <a:chExt cx="5600700" cy="599090"/>
                      </a:xfrm>
                    </wpg:grpSpPr>
                    <wps:wsp>
                      <wps:cNvPr id="6168" name="Line 31"/>
                      <wps:cNvCnPr>
                        <a:cxnSpLocks noChangeShapeType="1"/>
                      </wps:cNvCnPr>
                      <wps:spPr bwMode="auto">
                        <a:xfrm>
                          <a:off x="0" y="599090"/>
                          <a:ext cx="5600700" cy="0"/>
                        </a:xfrm>
                        <a:prstGeom prst="line">
                          <a:avLst/>
                        </a:prstGeom>
                        <a:noFill/>
                        <a:ln w="9525">
                          <a:solidFill>
                            <a:srgbClr val="26367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170" name="Picture 6170"/>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3929555" y="0"/>
                          <a:ext cx="1671145" cy="441434"/>
                        </a:xfrm>
                        <a:prstGeom prst="rect">
                          <a:avLst/>
                        </a:prstGeom>
                      </pic:spPr>
                    </pic:pic>
                  </wpg:wgp>
                </a:graphicData>
              </a:graphic>
            </wp:anchor>
          </w:drawing>
        </mc:Choice>
        <mc:Fallback>
          <w:pict>
            <v:group w14:anchorId="2D874120" id="Group 300" o:spid="_x0000_s1026" style="position:absolute;margin-left:81.35pt;margin-top:35.55pt;width:441pt;height:47.15pt;z-index:251689472;mso-position-horizontal-relative:page;mso-position-vertical-relative:page" coordsize="56007,59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">
              <v:line id="Line 31" o:spid="_x0000_s1027" style="position:absolute;visibility:visible;mso-wrap-style:square" from="0,5990" to="56007,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aeDcEAAADdAAAADwAAAGRycy9kb3ducmV2LnhtbERPyWrDMBC9B/oPYgK9JXICdYsb2YSC&#10;Q3tr7dDz1BovxBoZS17y99Wh0OPj7adsNb2YaXSdZQWHfQSCuLK640bBtcx3LyCcR9bYWyYFd3KQ&#10;pQ+bEybaLvxFc+EbEULYJaig9X5IpHRVSwbd3g7EgavtaNAHODZSj7iEcNPLYxTF0mDHoaHFgd5a&#10;qm7FZBR80lTq4f5TnvOnolif6++Psr4o9bhdz68gPK3+X/znftcK4kMc5oY34QnI9B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tp4NwQAAAN0AAAAPAAAAAAAAAAAAAAAA&#10;AKECAABkcnMvZG93bnJldi54bWxQSwUGAAAAAAQABAD5AAAAjwMAAAAA&#10;" strokecolor="#263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170" o:spid="_x0000_s1028" type="#_x0000_t75" style="position:absolute;left:39295;width:16712;height:4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ORSB/BAAAA3QAAAA8AAABkcnMvZG93bnJldi54bWxET8luwjAQvSP1H6yp1AsChx5YAgaxCIkj&#10;2weM4iGJEo+j2GC3X48PlXp8evtqE00rXtS72rKCyTgDQVxYXXOp4H47juYgnEfW2FomBT/kYLP+&#10;GKww1zbwhV5XX4oUwi5HBZX3XS6lKyoy6Ma2I07cw/YGfYJ9KXWPIYWbVn5n2VQarDk1VNjRvqKi&#10;uT6NgnYYzpdbs5sfw6GJCyPD9jeWSn19xu0ShKfo/8V/7pNWMJ3M0v70Jj0BuX4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ORSB/BAAAA3QAAAA8AAAAAAAAAAAAAAAAAnwIA&#10;AGRycy9kb3ducmV2LnhtbFBLBQYAAAAABAAEAPcAAACNAwAAAAA=&#10;">
                <v:imagedata r:id="rId2" o:title=""/>
                <v:path arrowok="t"/>
              </v:shape>
              <w10:wrap anchorx="page" anchory="page"/>
            </v:group>
          </w:pict>
        </mc:Fallback>
      </mc:AlternateContent>
    </w: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noProof/>
        <w:color w:val="auto"/>
        <w:szCs w:val="16"/>
      </w:rPr>
    </w:pPr>
  </w:p>
  <w:p w:rsidR="00394EBA" w:rsidRDefault="00394EBA" w:rsidP="00F73F01">
    <w:pPr>
      <w:pStyle w:val="Footer"/>
      <w:pBdr>
        <w:bottom w:val="single" w:sz="4" w:space="1" w:color="7B6F46"/>
      </w:pBdr>
      <w:tabs>
        <w:tab w:val="clear" w:pos="8306"/>
        <w:tab w:val="right" w:pos="8820"/>
      </w:tabs>
      <w:ind w:right="3027"/>
      <w:jc w:val="right"/>
      <w:rPr>
        <w:rFonts w:cs="Arial"/>
        <w:b/>
        <w:i w:val="0"/>
        <w:noProof/>
        <w:color w:val="auto"/>
        <w:w w:val="80"/>
        <w:szCs w:val="16"/>
      </w:rPr>
    </w:pPr>
  </w:p>
  <w:p w:rsidR="00394EBA" w:rsidRDefault="00394EBA" w:rsidP="00F73F01">
    <w:pPr>
      <w:pStyle w:val="Footer"/>
      <w:pBdr>
        <w:bottom w:val="single" w:sz="4" w:space="1" w:color="7B6F46"/>
      </w:pBdr>
      <w:tabs>
        <w:tab w:val="clear" w:pos="8306"/>
        <w:tab w:val="right" w:pos="8820"/>
      </w:tabs>
      <w:ind w:right="3027"/>
      <w:jc w:val="center"/>
    </w:pPr>
    <w:r>
      <w:rPr>
        <w:rFonts w:cs="Arial"/>
        <w:b/>
        <w:i w:val="0"/>
        <w:noProof/>
        <w:color w:val="auto"/>
        <w:szCs w:val="16"/>
        <w:lang w:val="en-US" w:eastAsia="en-US"/>
      </w:rPr>
      <mc:AlternateContent>
        <mc:Choice Requires="wps">
          <w:drawing>
            <wp:anchor distT="0" distB="0" distL="114300" distR="114300" simplePos="0" relativeHeight="251688448" behindDoc="0" locked="0" layoutInCell="0" allowOverlap="1" wp14:anchorId="5B0EF763" wp14:editId="68357C1C">
              <wp:simplePos x="0" y="0"/>
              <wp:positionH relativeFrom="column">
                <wp:posOffset>0</wp:posOffset>
              </wp:positionH>
              <wp:positionV relativeFrom="paragraph">
                <wp:posOffset>325755</wp:posOffset>
              </wp:positionV>
              <wp:extent cx="5600700" cy="0"/>
              <wp:effectExtent l="0" t="0" r="0" b="0"/>
              <wp:wrapNone/>
              <wp:docPr id="6171"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09407A" id="Line 30" o:spid="_x0000_s1026" style="position:absolute;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5.65pt" to="441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" o:allowincell="f"/>
          </w:pict>
        </mc:Fallback>
      </mc:AlternateContent>
    </w:r>
    <w:r>
      <w:rPr>
        <w:rFonts w:cs="Arial"/>
        <w:b/>
        <w:i w:val="0"/>
        <w:noProof/>
        <w:color w:val="auto"/>
        <w:w w:val="80"/>
        <w:szCs w:val="16"/>
        <w:lang w:val="en-US" w:eastAsia="en-US"/>
      </w:rPr>
      <w:drawing>
        <wp:inline distT="0" distB="0" distL="0" distR="0" wp14:anchorId="66E734A2" wp14:editId="4EDB0B5C">
          <wp:extent cx="5749925" cy="7536815"/>
          <wp:effectExtent l="0" t="0" r="3175" b="6985"/>
          <wp:docPr id="42" name="Picture 42" descr="Corporate_Word_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rporate_Word_pag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749925" cy="75368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EE80"/>
      </v:shape>
    </w:pict>
  </w:numPicBullet>
  <w:abstractNum w:abstractNumId="0" w15:restartNumberingAfterBreak="0">
    <w:nsid w:val="FFFFFF7C"/>
    <w:multiLevelType w:val="singleLevel"/>
    <w:tmpl w:val="E384D4E2"/>
    <w:lvl w:ilvl="0">
      <w:start w:val="1"/>
      <w:numFmt w:val="decimal"/>
      <w:pStyle w:val="ListNumber5"/>
      <w:lvlText w:val="%1."/>
      <w:lvlJc w:val="left"/>
      <w:pPr>
        <w:tabs>
          <w:tab w:val="num" w:pos="1492"/>
        </w:tabs>
        <w:ind w:left="1492" w:hanging="358"/>
      </w:pPr>
      <w:rPr>
        <w:rFonts w:ascii="Century Gothic" w:hAnsi="Century Gothic" w:hint="default"/>
        <w:color w:val="333333"/>
        <w:sz w:val="20"/>
      </w:rPr>
    </w:lvl>
  </w:abstractNum>
  <w:abstractNum w:abstractNumId="1" w15:restartNumberingAfterBreak="0">
    <w:nsid w:val="FFFFFF7D"/>
    <w:multiLevelType w:val="singleLevel"/>
    <w:tmpl w:val="14380DEA"/>
    <w:lvl w:ilvl="0">
      <w:start w:val="1"/>
      <w:numFmt w:val="decimal"/>
      <w:pStyle w:val="ListNumber4"/>
      <w:lvlText w:val="%1."/>
      <w:lvlJc w:val="left"/>
      <w:pPr>
        <w:tabs>
          <w:tab w:val="num" w:pos="1209"/>
        </w:tabs>
        <w:ind w:left="1209" w:hanging="360"/>
      </w:pPr>
      <w:rPr>
        <w:rFonts w:ascii="Century Gothic" w:hAnsi="Century Gothic" w:hint="default"/>
        <w:color w:val="333333"/>
        <w:sz w:val="20"/>
      </w:rPr>
    </w:lvl>
  </w:abstractNum>
  <w:abstractNum w:abstractNumId="2" w15:restartNumberingAfterBreak="0">
    <w:nsid w:val="FFFFFF7E"/>
    <w:multiLevelType w:val="singleLevel"/>
    <w:tmpl w:val="CEDC45F6"/>
    <w:lvl w:ilvl="0">
      <w:start w:val="1"/>
      <w:numFmt w:val="decimal"/>
      <w:pStyle w:val="ListNumber3"/>
      <w:lvlText w:val="%1."/>
      <w:lvlJc w:val="left"/>
      <w:pPr>
        <w:tabs>
          <w:tab w:val="num" w:pos="926"/>
        </w:tabs>
        <w:ind w:left="926" w:hanging="360"/>
      </w:pPr>
      <w:rPr>
        <w:rFonts w:ascii="Century Gothic" w:hAnsi="Century Gothic" w:hint="default"/>
        <w:color w:val="333333"/>
        <w:sz w:val="20"/>
      </w:rPr>
    </w:lvl>
  </w:abstractNum>
  <w:abstractNum w:abstractNumId="3" w15:restartNumberingAfterBreak="0">
    <w:nsid w:val="FFFFFF7F"/>
    <w:multiLevelType w:val="singleLevel"/>
    <w:tmpl w:val="81F4EBAC"/>
    <w:lvl w:ilvl="0">
      <w:start w:val="1"/>
      <w:numFmt w:val="decimal"/>
      <w:pStyle w:val="ListNumber2"/>
      <w:lvlText w:val="%1."/>
      <w:lvlJc w:val="left"/>
      <w:pPr>
        <w:tabs>
          <w:tab w:val="num" w:pos="567"/>
        </w:tabs>
        <w:ind w:left="567" w:hanging="284"/>
      </w:pPr>
      <w:rPr>
        <w:rFonts w:hint="default"/>
      </w:rPr>
    </w:lvl>
  </w:abstractNum>
  <w:abstractNum w:abstractNumId="4" w15:restartNumberingAfterBreak="0">
    <w:nsid w:val="FFFFFF81"/>
    <w:multiLevelType w:val="singleLevel"/>
    <w:tmpl w:val="09AA2612"/>
    <w:lvl w:ilvl="0">
      <w:start w:val="1"/>
      <w:numFmt w:val="bullet"/>
      <w:pStyle w:val="Gliederung3"/>
      <w:lvlText w:val=""/>
      <w:lvlJc w:val="left"/>
      <w:pPr>
        <w:tabs>
          <w:tab w:val="num" w:pos="1209"/>
        </w:tabs>
        <w:ind w:left="1209" w:hanging="360"/>
      </w:pPr>
      <w:rPr>
        <w:rFonts w:ascii="Symbol" w:hAnsi="Symbol" w:hint="default"/>
      </w:rPr>
    </w:lvl>
  </w:abstractNum>
  <w:abstractNum w:abstractNumId="5" w15:restartNumberingAfterBreak="0">
    <w:nsid w:val="FFFFFF88"/>
    <w:multiLevelType w:val="singleLevel"/>
    <w:tmpl w:val="0A6AECDE"/>
    <w:lvl w:ilvl="0">
      <w:start w:val="1"/>
      <w:numFmt w:val="decimal"/>
      <w:pStyle w:val="ListNumber"/>
      <w:lvlText w:val="%1."/>
      <w:lvlJc w:val="left"/>
      <w:pPr>
        <w:tabs>
          <w:tab w:val="num" w:pos="284"/>
        </w:tabs>
        <w:ind w:left="284" w:hanging="284"/>
      </w:pPr>
      <w:rPr>
        <w:rFonts w:ascii="Century Gothic" w:hAnsi="Century Gothic" w:hint="default"/>
        <w:color w:val="333333"/>
        <w:sz w:val="20"/>
      </w:rPr>
    </w:lvl>
  </w:abstractNum>
  <w:abstractNum w:abstractNumId="6" w15:restartNumberingAfterBreak="0">
    <w:nsid w:val="FFFFFF89"/>
    <w:multiLevelType w:val="singleLevel"/>
    <w:tmpl w:val="170217A2"/>
    <w:lvl w:ilvl="0">
      <w:start w:val="1"/>
      <w:numFmt w:val="bullet"/>
      <w:pStyle w:val="StyleListBulletListBulletJustifiedLeft"/>
      <w:lvlText w:val=""/>
      <w:lvlJc w:val="left"/>
      <w:pPr>
        <w:tabs>
          <w:tab w:val="num" w:pos="227"/>
        </w:tabs>
        <w:ind w:left="227" w:hanging="227"/>
      </w:pPr>
      <w:rPr>
        <w:rFonts w:ascii="Wingdings" w:hAnsi="Wingdings" w:hint="default"/>
        <w:color w:val="7B6F46"/>
      </w:rPr>
    </w:lvl>
  </w:abstractNum>
  <w:abstractNum w:abstractNumId="7" w15:restartNumberingAfterBreak="0">
    <w:nsid w:val="07BE464A"/>
    <w:multiLevelType w:val="hybridMultilevel"/>
    <w:tmpl w:val="960CB2E0"/>
    <w:lvl w:ilvl="0" w:tplc="49B87094">
      <w:start w:val="1"/>
      <w:numFmt w:val="bullet"/>
      <w:lvlText w:val=""/>
      <w:lvlJc w:val="left"/>
      <w:pPr>
        <w:ind w:left="360" w:hanging="360"/>
      </w:pPr>
      <w:rPr>
        <w:rFonts w:ascii="Symbol" w:hAnsi="Symbol" w:hint="default"/>
        <w:color w:val="003C64"/>
        <w:sz w:val="20"/>
        <w:vertAlign w:val="baseline"/>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34E428D"/>
    <w:multiLevelType w:val="multilevel"/>
    <w:tmpl w:val="B1B28B22"/>
    <w:styleLink w:val="Style2"/>
    <w:lvl w:ilvl="0">
      <w:start w:val="1"/>
      <w:numFmt w:val="bullet"/>
      <w:lvlText w:val=""/>
      <w:lvlJc w:val="left"/>
      <w:pPr>
        <w:tabs>
          <w:tab w:val="num" w:pos="227"/>
        </w:tabs>
        <w:ind w:left="227" w:hanging="227"/>
      </w:pPr>
      <w:rPr>
        <w:rFonts w:ascii="Wingdings" w:hAnsi="Wingdings" w:hint="default"/>
        <w:color w:val="00000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6D63954"/>
    <w:multiLevelType w:val="hybridMultilevel"/>
    <w:tmpl w:val="06740AE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EA332B"/>
    <w:multiLevelType w:val="hybridMultilevel"/>
    <w:tmpl w:val="AB567E52"/>
    <w:lvl w:ilvl="0" w:tplc="7A8827EC">
      <w:start w:val="1"/>
      <w:numFmt w:val="decimal"/>
      <w:lvlText w:val="%1."/>
      <w:lvlJc w:val="left"/>
      <w:pPr>
        <w:ind w:left="360" w:hanging="360"/>
      </w:pPr>
      <w:rPr>
        <w:b/>
        <w:color w:val="1F497D" w:themeColor="text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8801C73"/>
    <w:multiLevelType w:val="hybridMultilevel"/>
    <w:tmpl w:val="051A2626"/>
    <w:lvl w:ilvl="0" w:tplc="E83AA954">
      <w:start w:val="1"/>
      <w:numFmt w:val="bullet"/>
      <w:pStyle w:val="StyleStyleBulleted10ptCustomColorRGB12311170Left"/>
      <w:lvlText w:val=""/>
      <w:lvlJc w:val="left"/>
      <w:pPr>
        <w:tabs>
          <w:tab w:val="num" w:pos="1800"/>
        </w:tabs>
        <w:ind w:left="1800" w:hanging="360"/>
      </w:pPr>
      <w:rPr>
        <w:rFonts w:ascii="Wingdings" w:hAnsi="Wingdings" w:hint="default"/>
        <w:color w:val="7B6F4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8AA64F7"/>
    <w:multiLevelType w:val="hybridMultilevel"/>
    <w:tmpl w:val="3392BCD6"/>
    <w:lvl w:ilvl="0" w:tplc="D82A80C8">
      <w:start w:val="1"/>
      <w:numFmt w:val="bullet"/>
      <w:lvlText w:val=""/>
      <w:lvlJc w:val="left"/>
      <w:pPr>
        <w:ind w:left="360" w:hanging="360"/>
      </w:pPr>
      <w:rPr>
        <w:rFonts w:ascii="Symbol" w:hAnsi="Symbol" w:hint="default"/>
        <w:color w:val="003C6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A9D2680"/>
    <w:multiLevelType w:val="hybridMultilevel"/>
    <w:tmpl w:val="99024FF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B7F1ADE"/>
    <w:multiLevelType w:val="hybridMultilevel"/>
    <w:tmpl w:val="9E9AE83C"/>
    <w:lvl w:ilvl="0" w:tplc="E47018F4">
      <w:start w:val="1"/>
      <w:numFmt w:val="decimal"/>
      <w:lvlText w:val="(%1)"/>
      <w:lvlJc w:val="left"/>
      <w:pPr>
        <w:ind w:left="720" w:hanging="360"/>
      </w:pPr>
      <w:rPr>
        <w:rFonts w:ascii="Century Schoolbook" w:hAnsi="Century Schoolbook" w:cs="Century Schoolbook"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DD64B27"/>
    <w:multiLevelType w:val="hybridMultilevel"/>
    <w:tmpl w:val="A348B098"/>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E671151"/>
    <w:multiLevelType w:val="hybridMultilevel"/>
    <w:tmpl w:val="2A56A58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F37420E"/>
    <w:multiLevelType w:val="multilevel"/>
    <w:tmpl w:val="A8C2921C"/>
    <w:styleLink w:val="NumbLstAnnex"/>
    <w:lvl w:ilvl="0">
      <w:start w:val="1"/>
      <w:numFmt w:val="decimal"/>
      <w:pStyle w:val="AnnexHeading"/>
      <w:lvlText w:val="Annex %1"/>
      <w:lvlJc w:val="left"/>
      <w:pPr>
        <w:tabs>
          <w:tab w:val="num" w:pos="1304"/>
        </w:tabs>
        <w:ind w:left="1304" w:hanging="1304"/>
      </w:pPr>
      <w:rPr>
        <w:rFonts w:hint="default"/>
      </w:rPr>
    </w:lvl>
    <w:lvl w:ilvl="1">
      <w:start w:val="1"/>
      <w:numFmt w:val="decimal"/>
      <w:pStyle w:val="AnnexH2"/>
      <w:lvlText w:val="A%1.%2"/>
      <w:lvlJc w:val="left"/>
      <w:pPr>
        <w:tabs>
          <w:tab w:val="num" w:pos="851"/>
        </w:tabs>
        <w:ind w:left="851" w:hanging="851"/>
      </w:pPr>
      <w:rPr>
        <w:rFonts w:hint="default"/>
      </w:rPr>
    </w:lvl>
    <w:lvl w:ilvl="2">
      <w:start w:val="1"/>
      <w:numFmt w:val="decimal"/>
      <w:pStyle w:val="AnnexH3"/>
      <w:lvlText w:val="A%1.%2.%3"/>
      <w:lvlJc w:val="left"/>
      <w:pPr>
        <w:tabs>
          <w:tab w:val="num" w:pos="851"/>
        </w:tabs>
        <w:ind w:left="851" w:hanging="851"/>
      </w:pPr>
      <w:rPr>
        <w:rFonts w:hint="default"/>
      </w:rPr>
    </w:lvl>
    <w:lvl w:ilvl="3">
      <w:start w:val="1"/>
      <w:numFmt w:val="decimal"/>
      <w:pStyle w:val="AnnexH4"/>
      <w:lvlText w:val="A%1.%2.%3.%4"/>
      <w:lvlJc w:val="left"/>
      <w:pPr>
        <w:tabs>
          <w:tab w:val="num" w:pos="851"/>
        </w:tabs>
        <w:ind w:left="851" w:hanging="851"/>
      </w:pPr>
      <w:rPr>
        <w:rFonts w:hint="default"/>
      </w:rPr>
    </w:lvl>
    <w:lvl w:ilvl="4">
      <w:start w:val="1"/>
      <w:numFmt w:val="decimal"/>
      <w:lvlRestart w:val="1"/>
      <w:pStyle w:val="AnnexTable"/>
      <w:lvlText w:val="Table A%1.%5"/>
      <w:lvlJc w:val="left"/>
      <w:pPr>
        <w:tabs>
          <w:tab w:val="num" w:pos="1247"/>
        </w:tabs>
        <w:ind w:left="1247" w:hanging="1247"/>
      </w:pPr>
      <w:rPr>
        <w:rFonts w:hint="default"/>
      </w:rPr>
    </w:lvl>
    <w:lvl w:ilvl="5">
      <w:start w:val="1"/>
      <w:numFmt w:val="decimal"/>
      <w:lvlRestart w:val="1"/>
      <w:pStyle w:val="AnnexFigure"/>
      <w:lvlText w:val="Figure A%1.%6"/>
      <w:lvlJc w:val="left"/>
      <w:pPr>
        <w:tabs>
          <w:tab w:val="num" w:pos="1247"/>
        </w:tabs>
        <w:ind w:left="1247" w:hanging="1247"/>
      </w:pPr>
      <w:rPr>
        <w:rFonts w:hint="default"/>
      </w:rPr>
    </w:lvl>
    <w:lvl w:ilvl="6">
      <w:start w:val="1"/>
      <w:numFmt w:val="none"/>
      <w:suff w:val="nothing"/>
      <w:lvlText w:val=""/>
      <w:lvlJc w:val="left"/>
      <w:pPr>
        <w:ind w:left="851" w:firstLine="0"/>
      </w:pPr>
      <w:rPr>
        <w:rFonts w:hint="default"/>
      </w:rPr>
    </w:lvl>
    <w:lvl w:ilvl="7">
      <w:start w:val="1"/>
      <w:numFmt w:val="none"/>
      <w:suff w:val="nothing"/>
      <w:lvlText w:val=""/>
      <w:lvlJc w:val="left"/>
      <w:pPr>
        <w:ind w:left="851" w:firstLine="0"/>
      </w:pPr>
      <w:rPr>
        <w:rFonts w:hint="default"/>
      </w:rPr>
    </w:lvl>
    <w:lvl w:ilvl="8">
      <w:start w:val="1"/>
      <w:numFmt w:val="none"/>
      <w:suff w:val="nothing"/>
      <w:lvlText w:val=""/>
      <w:lvlJc w:val="left"/>
      <w:pPr>
        <w:ind w:left="851" w:firstLine="0"/>
      </w:pPr>
      <w:rPr>
        <w:rFonts w:hint="default"/>
      </w:rPr>
    </w:lvl>
  </w:abstractNum>
  <w:abstractNum w:abstractNumId="18" w15:restartNumberingAfterBreak="0">
    <w:nsid w:val="2095352C"/>
    <w:multiLevelType w:val="hybridMultilevel"/>
    <w:tmpl w:val="E086048C"/>
    <w:lvl w:ilvl="0" w:tplc="0E08B0D8">
      <w:start w:val="1"/>
      <w:numFmt w:val="decimal"/>
      <w:pStyle w:val="BodyTextnumbered"/>
      <w:lvlText w:val="%1"/>
      <w:lvlJc w:val="left"/>
      <w:pPr>
        <w:tabs>
          <w:tab w:val="num" w:pos="414"/>
        </w:tabs>
        <w:ind w:left="414" w:hanging="414"/>
      </w:pPr>
      <w:rPr>
        <w:rFonts w:hint="default"/>
        <w:sz w:val="20"/>
        <w:szCs w:val="24"/>
      </w:rPr>
    </w:lvl>
    <w:lvl w:ilvl="1" w:tplc="04090019">
      <w:start w:val="1"/>
      <w:numFmt w:val="lowerLetter"/>
      <w:lvlText w:val="%2."/>
      <w:lvlJc w:val="left"/>
      <w:pPr>
        <w:tabs>
          <w:tab w:val="num" w:pos="1309"/>
        </w:tabs>
        <w:ind w:left="1309" w:hanging="360"/>
      </w:pPr>
    </w:lvl>
    <w:lvl w:ilvl="2" w:tplc="0409001B">
      <w:start w:val="1"/>
      <w:numFmt w:val="lowerRoman"/>
      <w:lvlText w:val="%3."/>
      <w:lvlJc w:val="right"/>
      <w:pPr>
        <w:tabs>
          <w:tab w:val="num" w:pos="2029"/>
        </w:tabs>
        <w:ind w:left="2029" w:hanging="180"/>
      </w:pPr>
    </w:lvl>
    <w:lvl w:ilvl="3" w:tplc="0409000F" w:tentative="1">
      <w:start w:val="1"/>
      <w:numFmt w:val="decimal"/>
      <w:lvlText w:val="%4."/>
      <w:lvlJc w:val="left"/>
      <w:pPr>
        <w:tabs>
          <w:tab w:val="num" w:pos="2749"/>
        </w:tabs>
        <w:ind w:left="2749" w:hanging="360"/>
      </w:pPr>
    </w:lvl>
    <w:lvl w:ilvl="4" w:tplc="04090019" w:tentative="1">
      <w:start w:val="1"/>
      <w:numFmt w:val="lowerLetter"/>
      <w:lvlText w:val="%5."/>
      <w:lvlJc w:val="left"/>
      <w:pPr>
        <w:tabs>
          <w:tab w:val="num" w:pos="3469"/>
        </w:tabs>
        <w:ind w:left="3469" w:hanging="360"/>
      </w:pPr>
    </w:lvl>
    <w:lvl w:ilvl="5" w:tplc="0409001B" w:tentative="1">
      <w:start w:val="1"/>
      <w:numFmt w:val="lowerRoman"/>
      <w:lvlText w:val="%6."/>
      <w:lvlJc w:val="right"/>
      <w:pPr>
        <w:tabs>
          <w:tab w:val="num" w:pos="4189"/>
        </w:tabs>
        <w:ind w:left="4189" w:hanging="180"/>
      </w:pPr>
    </w:lvl>
    <w:lvl w:ilvl="6" w:tplc="0409000F" w:tentative="1">
      <w:start w:val="1"/>
      <w:numFmt w:val="decimal"/>
      <w:lvlText w:val="%7."/>
      <w:lvlJc w:val="left"/>
      <w:pPr>
        <w:tabs>
          <w:tab w:val="num" w:pos="4909"/>
        </w:tabs>
        <w:ind w:left="4909" w:hanging="360"/>
      </w:pPr>
    </w:lvl>
    <w:lvl w:ilvl="7" w:tplc="04090019" w:tentative="1">
      <w:start w:val="1"/>
      <w:numFmt w:val="lowerLetter"/>
      <w:lvlText w:val="%8."/>
      <w:lvlJc w:val="left"/>
      <w:pPr>
        <w:tabs>
          <w:tab w:val="num" w:pos="5629"/>
        </w:tabs>
        <w:ind w:left="5629" w:hanging="360"/>
      </w:pPr>
    </w:lvl>
    <w:lvl w:ilvl="8" w:tplc="0409001B" w:tentative="1">
      <w:start w:val="1"/>
      <w:numFmt w:val="lowerRoman"/>
      <w:lvlText w:val="%9."/>
      <w:lvlJc w:val="right"/>
      <w:pPr>
        <w:tabs>
          <w:tab w:val="num" w:pos="6349"/>
        </w:tabs>
        <w:ind w:left="6349" w:hanging="180"/>
      </w:pPr>
    </w:lvl>
  </w:abstractNum>
  <w:abstractNum w:abstractNumId="19" w15:restartNumberingAfterBreak="0">
    <w:nsid w:val="21FD1E9F"/>
    <w:multiLevelType w:val="hybridMultilevel"/>
    <w:tmpl w:val="E14E152E"/>
    <w:lvl w:ilvl="0" w:tplc="08090005">
      <w:start w:val="1"/>
      <w:numFmt w:val="bullet"/>
      <w:lvlText w:val=""/>
      <w:lvlJc w:val="left"/>
      <w:pPr>
        <w:ind w:left="360" w:hanging="360"/>
      </w:pPr>
      <w:rPr>
        <w:rFonts w:ascii="Wingdings" w:hAnsi="Wingdings" w:hint="default"/>
        <w:color w:val="003C6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3B62451"/>
    <w:multiLevelType w:val="hybridMultilevel"/>
    <w:tmpl w:val="712ADB2E"/>
    <w:lvl w:ilvl="0" w:tplc="F2A4148A">
      <w:start w:val="1"/>
      <w:numFmt w:val="decimal"/>
      <w:lvlText w:val="%1."/>
      <w:lvlJc w:val="left"/>
      <w:pPr>
        <w:ind w:left="6" w:hanging="360"/>
      </w:pPr>
      <w:rPr>
        <w:b/>
        <w:color w:val="003C64"/>
      </w:rPr>
    </w:lvl>
    <w:lvl w:ilvl="1" w:tplc="08090019" w:tentative="1">
      <w:start w:val="1"/>
      <w:numFmt w:val="lowerLetter"/>
      <w:lvlText w:val="%2."/>
      <w:lvlJc w:val="left"/>
      <w:pPr>
        <w:ind w:left="726" w:hanging="360"/>
      </w:pPr>
    </w:lvl>
    <w:lvl w:ilvl="2" w:tplc="0809001B" w:tentative="1">
      <w:start w:val="1"/>
      <w:numFmt w:val="lowerRoman"/>
      <w:lvlText w:val="%3."/>
      <w:lvlJc w:val="right"/>
      <w:pPr>
        <w:ind w:left="1446" w:hanging="180"/>
      </w:pPr>
    </w:lvl>
    <w:lvl w:ilvl="3" w:tplc="0809000F" w:tentative="1">
      <w:start w:val="1"/>
      <w:numFmt w:val="decimal"/>
      <w:lvlText w:val="%4."/>
      <w:lvlJc w:val="left"/>
      <w:pPr>
        <w:ind w:left="2166" w:hanging="360"/>
      </w:pPr>
    </w:lvl>
    <w:lvl w:ilvl="4" w:tplc="08090019" w:tentative="1">
      <w:start w:val="1"/>
      <w:numFmt w:val="lowerLetter"/>
      <w:lvlText w:val="%5."/>
      <w:lvlJc w:val="left"/>
      <w:pPr>
        <w:ind w:left="2886" w:hanging="360"/>
      </w:pPr>
    </w:lvl>
    <w:lvl w:ilvl="5" w:tplc="0809001B" w:tentative="1">
      <w:start w:val="1"/>
      <w:numFmt w:val="lowerRoman"/>
      <w:lvlText w:val="%6."/>
      <w:lvlJc w:val="right"/>
      <w:pPr>
        <w:ind w:left="3606" w:hanging="180"/>
      </w:pPr>
    </w:lvl>
    <w:lvl w:ilvl="6" w:tplc="0809000F" w:tentative="1">
      <w:start w:val="1"/>
      <w:numFmt w:val="decimal"/>
      <w:lvlText w:val="%7."/>
      <w:lvlJc w:val="left"/>
      <w:pPr>
        <w:ind w:left="4326" w:hanging="360"/>
      </w:pPr>
    </w:lvl>
    <w:lvl w:ilvl="7" w:tplc="08090019" w:tentative="1">
      <w:start w:val="1"/>
      <w:numFmt w:val="lowerLetter"/>
      <w:lvlText w:val="%8."/>
      <w:lvlJc w:val="left"/>
      <w:pPr>
        <w:ind w:left="5046" w:hanging="360"/>
      </w:pPr>
    </w:lvl>
    <w:lvl w:ilvl="8" w:tplc="0809001B" w:tentative="1">
      <w:start w:val="1"/>
      <w:numFmt w:val="lowerRoman"/>
      <w:lvlText w:val="%9."/>
      <w:lvlJc w:val="right"/>
      <w:pPr>
        <w:ind w:left="5766" w:hanging="180"/>
      </w:pPr>
    </w:lvl>
  </w:abstractNum>
  <w:abstractNum w:abstractNumId="21" w15:restartNumberingAfterBreak="0">
    <w:nsid w:val="249B77E4"/>
    <w:multiLevelType w:val="hybridMultilevel"/>
    <w:tmpl w:val="0E8C8E16"/>
    <w:lvl w:ilvl="0" w:tplc="829C3BEC">
      <w:start w:val="3"/>
      <w:numFmt w:val="decimal"/>
      <w:lvlText w:val="(%1)"/>
      <w:lvlJc w:val="left"/>
      <w:pPr>
        <w:ind w:left="720" w:hanging="360"/>
      </w:pPr>
      <w:rPr>
        <w:rFonts w:ascii="Century Schoolbook" w:hAnsi="Century Schoolbook" w:cs="Century Schoolbook"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4C12E5B"/>
    <w:multiLevelType w:val="hybridMultilevel"/>
    <w:tmpl w:val="4E601552"/>
    <w:lvl w:ilvl="0" w:tplc="08090005">
      <w:start w:val="1"/>
      <w:numFmt w:val="bullet"/>
      <w:lvlText w:val=""/>
      <w:lvlJc w:val="left"/>
      <w:pPr>
        <w:ind w:left="360" w:hanging="360"/>
      </w:pPr>
      <w:rPr>
        <w:rFonts w:ascii="Wingdings" w:hAnsi="Wingdings"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76E55BD"/>
    <w:multiLevelType w:val="hybridMultilevel"/>
    <w:tmpl w:val="0C20A83A"/>
    <w:lvl w:ilvl="0" w:tplc="0407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0FA17F9"/>
    <w:multiLevelType w:val="hybridMultilevel"/>
    <w:tmpl w:val="F9280B70"/>
    <w:lvl w:ilvl="0" w:tplc="0CE61FBE">
      <w:start w:val="1"/>
      <w:numFmt w:val="bullet"/>
      <w:pStyle w:val="ListemitLeerraum"/>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5" w15:restartNumberingAfterBreak="0">
    <w:nsid w:val="31DF6E8D"/>
    <w:multiLevelType w:val="hybridMultilevel"/>
    <w:tmpl w:val="278CA47C"/>
    <w:lvl w:ilvl="0" w:tplc="C378641A">
      <w:start w:val="1"/>
      <w:numFmt w:val="bullet"/>
      <w:lvlText w:val=""/>
      <w:lvlJc w:val="left"/>
      <w:pPr>
        <w:ind w:left="-720" w:hanging="360"/>
      </w:pPr>
      <w:rPr>
        <w:rFonts w:ascii="Symbol" w:hAnsi="Symbol" w:hint="default"/>
        <w:color w:val="003C64"/>
      </w:rPr>
    </w:lvl>
    <w:lvl w:ilvl="1" w:tplc="08090003">
      <w:start w:val="1"/>
      <w:numFmt w:val="bullet"/>
      <w:lvlText w:val="o"/>
      <w:lvlJc w:val="left"/>
      <w:pPr>
        <w:ind w:left="0" w:hanging="360"/>
      </w:pPr>
      <w:rPr>
        <w:rFonts w:ascii="Courier New" w:hAnsi="Courier New" w:cs="Courier New" w:hint="default"/>
      </w:rPr>
    </w:lvl>
    <w:lvl w:ilvl="2" w:tplc="08090005" w:tentative="1">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tentative="1">
      <w:start w:val="1"/>
      <w:numFmt w:val="bullet"/>
      <w:lvlText w:val=""/>
      <w:lvlJc w:val="left"/>
      <w:pPr>
        <w:ind w:left="5040" w:hanging="360"/>
      </w:pPr>
      <w:rPr>
        <w:rFonts w:ascii="Wingdings" w:hAnsi="Wingdings" w:hint="default"/>
      </w:rPr>
    </w:lvl>
  </w:abstractNum>
  <w:abstractNum w:abstractNumId="26" w15:restartNumberingAfterBreak="0">
    <w:nsid w:val="37D17A88"/>
    <w:multiLevelType w:val="hybridMultilevel"/>
    <w:tmpl w:val="14CEA0E6"/>
    <w:lvl w:ilvl="0" w:tplc="08090005">
      <w:start w:val="1"/>
      <w:numFmt w:val="bullet"/>
      <w:lvlText w:val=""/>
      <w:lvlJc w:val="left"/>
      <w:pPr>
        <w:ind w:left="360" w:hanging="360"/>
      </w:pPr>
      <w:rPr>
        <w:rFonts w:ascii="Wingdings" w:hAnsi="Wingdings" w:hint="default"/>
        <w:color w:val="003C6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9A53B33"/>
    <w:multiLevelType w:val="hybridMultilevel"/>
    <w:tmpl w:val="94646A0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39FD55B7"/>
    <w:multiLevelType w:val="hybridMultilevel"/>
    <w:tmpl w:val="219EFBA6"/>
    <w:lvl w:ilvl="0" w:tplc="08090005">
      <w:start w:val="1"/>
      <w:numFmt w:val="bullet"/>
      <w:lvlText w:val=""/>
      <w:lvlJc w:val="left"/>
      <w:pPr>
        <w:ind w:left="654" w:hanging="360"/>
      </w:pPr>
      <w:rPr>
        <w:rFonts w:ascii="Wingdings" w:hAnsi="Wingdings" w:hint="default"/>
      </w:rPr>
    </w:lvl>
    <w:lvl w:ilvl="1" w:tplc="08090003" w:tentative="1">
      <w:start w:val="1"/>
      <w:numFmt w:val="bullet"/>
      <w:lvlText w:val="o"/>
      <w:lvlJc w:val="left"/>
      <w:pPr>
        <w:ind w:left="1374" w:hanging="360"/>
      </w:pPr>
      <w:rPr>
        <w:rFonts w:ascii="Courier New" w:hAnsi="Courier New" w:cs="Courier New" w:hint="default"/>
      </w:rPr>
    </w:lvl>
    <w:lvl w:ilvl="2" w:tplc="08090005" w:tentative="1">
      <w:start w:val="1"/>
      <w:numFmt w:val="bullet"/>
      <w:lvlText w:val=""/>
      <w:lvlJc w:val="left"/>
      <w:pPr>
        <w:ind w:left="2094" w:hanging="360"/>
      </w:pPr>
      <w:rPr>
        <w:rFonts w:ascii="Wingdings" w:hAnsi="Wingdings" w:hint="default"/>
      </w:rPr>
    </w:lvl>
    <w:lvl w:ilvl="3" w:tplc="08090001" w:tentative="1">
      <w:start w:val="1"/>
      <w:numFmt w:val="bullet"/>
      <w:lvlText w:val=""/>
      <w:lvlJc w:val="left"/>
      <w:pPr>
        <w:ind w:left="2814" w:hanging="360"/>
      </w:pPr>
      <w:rPr>
        <w:rFonts w:ascii="Symbol" w:hAnsi="Symbol" w:hint="default"/>
      </w:rPr>
    </w:lvl>
    <w:lvl w:ilvl="4" w:tplc="08090003" w:tentative="1">
      <w:start w:val="1"/>
      <w:numFmt w:val="bullet"/>
      <w:lvlText w:val="o"/>
      <w:lvlJc w:val="left"/>
      <w:pPr>
        <w:ind w:left="3534" w:hanging="360"/>
      </w:pPr>
      <w:rPr>
        <w:rFonts w:ascii="Courier New" w:hAnsi="Courier New" w:cs="Courier New" w:hint="default"/>
      </w:rPr>
    </w:lvl>
    <w:lvl w:ilvl="5" w:tplc="08090005" w:tentative="1">
      <w:start w:val="1"/>
      <w:numFmt w:val="bullet"/>
      <w:lvlText w:val=""/>
      <w:lvlJc w:val="left"/>
      <w:pPr>
        <w:ind w:left="4254" w:hanging="360"/>
      </w:pPr>
      <w:rPr>
        <w:rFonts w:ascii="Wingdings" w:hAnsi="Wingdings" w:hint="default"/>
      </w:rPr>
    </w:lvl>
    <w:lvl w:ilvl="6" w:tplc="08090001" w:tentative="1">
      <w:start w:val="1"/>
      <w:numFmt w:val="bullet"/>
      <w:lvlText w:val=""/>
      <w:lvlJc w:val="left"/>
      <w:pPr>
        <w:ind w:left="4974" w:hanging="360"/>
      </w:pPr>
      <w:rPr>
        <w:rFonts w:ascii="Symbol" w:hAnsi="Symbol" w:hint="default"/>
      </w:rPr>
    </w:lvl>
    <w:lvl w:ilvl="7" w:tplc="08090003" w:tentative="1">
      <w:start w:val="1"/>
      <w:numFmt w:val="bullet"/>
      <w:lvlText w:val="o"/>
      <w:lvlJc w:val="left"/>
      <w:pPr>
        <w:ind w:left="5694" w:hanging="360"/>
      </w:pPr>
      <w:rPr>
        <w:rFonts w:ascii="Courier New" w:hAnsi="Courier New" w:cs="Courier New" w:hint="default"/>
      </w:rPr>
    </w:lvl>
    <w:lvl w:ilvl="8" w:tplc="08090005" w:tentative="1">
      <w:start w:val="1"/>
      <w:numFmt w:val="bullet"/>
      <w:lvlText w:val=""/>
      <w:lvlJc w:val="left"/>
      <w:pPr>
        <w:ind w:left="6414" w:hanging="360"/>
      </w:pPr>
      <w:rPr>
        <w:rFonts w:ascii="Wingdings" w:hAnsi="Wingdings" w:hint="default"/>
      </w:rPr>
    </w:lvl>
  </w:abstractNum>
  <w:abstractNum w:abstractNumId="29" w15:restartNumberingAfterBreak="0">
    <w:nsid w:val="3A19160C"/>
    <w:multiLevelType w:val="hybridMultilevel"/>
    <w:tmpl w:val="3250B8E4"/>
    <w:lvl w:ilvl="0" w:tplc="A84880D8">
      <w:start w:val="1"/>
      <w:numFmt w:val="decimal"/>
      <w:lvlText w:val="%1."/>
      <w:lvlJc w:val="left"/>
      <w:pPr>
        <w:ind w:left="360" w:hanging="360"/>
      </w:pPr>
      <w:rPr>
        <w:b/>
        <w:color w:val="003C64"/>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3BCF4139"/>
    <w:multiLevelType w:val="hybridMultilevel"/>
    <w:tmpl w:val="14E29E4A"/>
    <w:lvl w:ilvl="0" w:tplc="1494C5AA">
      <w:start w:val="1"/>
      <w:numFmt w:val="bullet"/>
      <w:lvlText w:val=""/>
      <w:lvlJc w:val="left"/>
      <w:pPr>
        <w:ind w:left="360" w:hanging="360"/>
      </w:pPr>
      <w:rPr>
        <w:rFonts w:ascii="Symbol" w:hAnsi="Symbol" w:hint="default"/>
        <w:color w:val="003C6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3E7A19F9"/>
    <w:multiLevelType w:val="hybridMultilevel"/>
    <w:tmpl w:val="B406EEBA"/>
    <w:lvl w:ilvl="0" w:tplc="3C4A5232">
      <w:start w:val="1"/>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F0E3BCE"/>
    <w:multiLevelType w:val="hybridMultilevel"/>
    <w:tmpl w:val="09E84610"/>
    <w:name w:val="WW8Num233"/>
    <w:lvl w:ilvl="0" w:tplc="49B87094">
      <w:start w:val="1"/>
      <w:numFmt w:val="bullet"/>
      <w:lvlText w:val=""/>
      <w:lvlJc w:val="left"/>
      <w:pPr>
        <w:tabs>
          <w:tab w:val="num" w:pos="1211"/>
        </w:tabs>
        <w:ind w:left="1211" w:hanging="360"/>
      </w:pPr>
      <w:rPr>
        <w:rFonts w:ascii="Symbol" w:hAnsi="Symbol" w:hint="default"/>
        <w:color w:val="003C64"/>
        <w:sz w:val="20"/>
      </w:rPr>
    </w:lvl>
    <w:lvl w:ilvl="1" w:tplc="04090003">
      <w:start w:val="1"/>
      <w:numFmt w:val="bullet"/>
      <w:lvlText w:val=""/>
      <w:lvlJc w:val="left"/>
      <w:pPr>
        <w:tabs>
          <w:tab w:val="num" w:pos="1931"/>
        </w:tabs>
        <w:ind w:left="1931" w:hanging="360"/>
      </w:pPr>
      <w:rPr>
        <w:rFonts w:ascii="Symbol" w:hAnsi="Symbol" w:hint="default"/>
        <w:color w:val="auto"/>
        <w:sz w:val="22"/>
      </w:rPr>
    </w:lvl>
    <w:lvl w:ilvl="2" w:tplc="04090005">
      <w:start w:val="1"/>
      <w:numFmt w:val="bullet"/>
      <w:lvlText w:val=""/>
      <w:lvlJc w:val="left"/>
      <w:pPr>
        <w:tabs>
          <w:tab w:val="num" w:pos="2651"/>
        </w:tabs>
        <w:ind w:left="2651" w:hanging="360"/>
      </w:pPr>
      <w:rPr>
        <w:rFonts w:ascii="Wingdings" w:hAnsi="Wingdings" w:hint="default"/>
      </w:rPr>
    </w:lvl>
    <w:lvl w:ilvl="3" w:tplc="04090001">
      <w:numFmt w:val="bullet"/>
      <w:lvlText w:val="-"/>
      <w:lvlJc w:val="left"/>
      <w:pPr>
        <w:tabs>
          <w:tab w:val="num" w:pos="3371"/>
        </w:tabs>
        <w:ind w:left="3371" w:hanging="360"/>
      </w:pPr>
      <w:rPr>
        <w:rFonts w:ascii="Arial" w:eastAsia="Times New Roman" w:hAnsi="Arial" w:cs="Arial" w:hint="default"/>
      </w:rPr>
    </w:lvl>
    <w:lvl w:ilvl="4" w:tplc="04090003" w:tentative="1">
      <w:start w:val="1"/>
      <w:numFmt w:val="bullet"/>
      <w:lvlText w:val="o"/>
      <w:lvlJc w:val="left"/>
      <w:pPr>
        <w:tabs>
          <w:tab w:val="num" w:pos="4091"/>
        </w:tabs>
        <w:ind w:left="4091" w:hanging="360"/>
      </w:pPr>
      <w:rPr>
        <w:rFonts w:ascii="Courier New" w:hAnsi="Courier New" w:cs="Courier New" w:hint="default"/>
      </w:rPr>
    </w:lvl>
    <w:lvl w:ilvl="5" w:tplc="04090005" w:tentative="1">
      <w:start w:val="1"/>
      <w:numFmt w:val="bullet"/>
      <w:lvlText w:val=""/>
      <w:lvlJc w:val="left"/>
      <w:pPr>
        <w:tabs>
          <w:tab w:val="num" w:pos="4811"/>
        </w:tabs>
        <w:ind w:left="4811" w:hanging="360"/>
      </w:pPr>
      <w:rPr>
        <w:rFonts w:ascii="Wingdings" w:hAnsi="Wingdings" w:hint="default"/>
      </w:rPr>
    </w:lvl>
    <w:lvl w:ilvl="6" w:tplc="04090001" w:tentative="1">
      <w:start w:val="1"/>
      <w:numFmt w:val="bullet"/>
      <w:lvlText w:val=""/>
      <w:lvlJc w:val="left"/>
      <w:pPr>
        <w:tabs>
          <w:tab w:val="num" w:pos="5531"/>
        </w:tabs>
        <w:ind w:left="5531" w:hanging="360"/>
      </w:pPr>
      <w:rPr>
        <w:rFonts w:ascii="Symbol" w:hAnsi="Symbol" w:hint="default"/>
      </w:rPr>
    </w:lvl>
    <w:lvl w:ilvl="7" w:tplc="04090003" w:tentative="1">
      <w:start w:val="1"/>
      <w:numFmt w:val="bullet"/>
      <w:lvlText w:val="o"/>
      <w:lvlJc w:val="left"/>
      <w:pPr>
        <w:tabs>
          <w:tab w:val="num" w:pos="6251"/>
        </w:tabs>
        <w:ind w:left="6251" w:hanging="360"/>
      </w:pPr>
      <w:rPr>
        <w:rFonts w:ascii="Courier New" w:hAnsi="Courier New" w:cs="Courier New" w:hint="default"/>
      </w:rPr>
    </w:lvl>
    <w:lvl w:ilvl="8" w:tplc="04090005" w:tentative="1">
      <w:start w:val="1"/>
      <w:numFmt w:val="bullet"/>
      <w:lvlText w:val=""/>
      <w:lvlJc w:val="left"/>
      <w:pPr>
        <w:tabs>
          <w:tab w:val="num" w:pos="6971"/>
        </w:tabs>
        <w:ind w:left="6971" w:hanging="360"/>
      </w:pPr>
      <w:rPr>
        <w:rFonts w:ascii="Wingdings" w:hAnsi="Wingdings" w:hint="default"/>
      </w:rPr>
    </w:lvl>
  </w:abstractNum>
  <w:abstractNum w:abstractNumId="33" w15:restartNumberingAfterBreak="0">
    <w:nsid w:val="46045B35"/>
    <w:multiLevelType w:val="hybridMultilevel"/>
    <w:tmpl w:val="C9A423A4"/>
    <w:lvl w:ilvl="0" w:tplc="9114179A">
      <w:start w:val="5"/>
      <w:numFmt w:val="decimal"/>
      <w:lvlText w:val="(%1)"/>
      <w:lvlJc w:val="left"/>
      <w:pPr>
        <w:ind w:left="720" w:hanging="360"/>
      </w:pPr>
      <w:rPr>
        <w:rFonts w:ascii="Century Schoolbook" w:hAnsi="Century Schoolbook" w:cs="Century Schoolbook"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61E1FB0"/>
    <w:multiLevelType w:val="hybridMultilevel"/>
    <w:tmpl w:val="BAD056B8"/>
    <w:lvl w:ilvl="0" w:tplc="1734716A">
      <w:start w:val="1"/>
      <w:numFmt w:val="bullet"/>
      <w:pStyle w:val="ListBullet2"/>
      <w:lvlText w:val=""/>
      <w:lvlJc w:val="left"/>
      <w:pPr>
        <w:tabs>
          <w:tab w:val="num" w:pos="227"/>
        </w:tabs>
        <w:ind w:left="227" w:hanging="227"/>
      </w:pPr>
      <w:rPr>
        <w:rFonts w:ascii="Wingdings" w:hAnsi="Wingdings" w:hint="default"/>
        <w:color w:val="7B6F46"/>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F140B58"/>
    <w:multiLevelType w:val="hybridMultilevel"/>
    <w:tmpl w:val="361AE5C2"/>
    <w:lvl w:ilvl="0" w:tplc="3C76D992">
      <w:start w:val="1"/>
      <w:numFmt w:val="bullet"/>
      <w:pStyle w:val="bullet1"/>
      <w:lvlText w:val=""/>
      <w:lvlJc w:val="left"/>
      <w:pPr>
        <w:tabs>
          <w:tab w:val="num" w:pos="360"/>
        </w:tabs>
        <w:ind w:left="1080" w:hanging="360"/>
      </w:pPr>
      <w:rPr>
        <w:rFonts w:ascii="Symbol" w:hAnsi="Symbol" w:hint="default"/>
        <w:color w:val="006288"/>
        <w:sz w:val="20"/>
        <w:szCs w:val="20"/>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07672D5"/>
    <w:multiLevelType w:val="hybridMultilevel"/>
    <w:tmpl w:val="DE68D9DC"/>
    <w:lvl w:ilvl="0" w:tplc="E6B8AB8E">
      <w:start w:val="2"/>
      <w:numFmt w:val="decimal"/>
      <w:lvlText w:val="(%1)"/>
      <w:lvlJc w:val="left"/>
      <w:pPr>
        <w:ind w:left="720" w:hanging="360"/>
      </w:pPr>
      <w:rPr>
        <w:rFonts w:ascii="Century Schoolbook" w:hAnsi="Century Schoolbook" w:cs="Century Schoolbook"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2123594"/>
    <w:multiLevelType w:val="hybridMultilevel"/>
    <w:tmpl w:val="DF96297A"/>
    <w:lvl w:ilvl="0" w:tplc="704808E2">
      <w:start w:val="1"/>
      <w:numFmt w:val="bullet"/>
      <w:lvlText w:val=""/>
      <w:lvlJc w:val="left"/>
      <w:pPr>
        <w:ind w:left="360" w:hanging="360"/>
      </w:pPr>
      <w:rPr>
        <w:rFonts w:ascii="Symbol" w:hAnsi="Symbol" w:hint="default"/>
        <w:color w:val="003C6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3D25FFA"/>
    <w:multiLevelType w:val="hybridMultilevel"/>
    <w:tmpl w:val="F3DE268C"/>
    <w:lvl w:ilvl="0" w:tplc="4BD830EA">
      <w:start w:val="1"/>
      <w:numFmt w:val="bullet"/>
      <w:lvlText w:val=""/>
      <w:lvlJc w:val="left"/>
      <w:pPr>
        <w:ind w:left="360" w:hanging="360"/>
      </w:pPr>
      <w:rPr>
        <w:rFonts w:ascii="Symbol" w:hAnsi="Symbol" w:hint="default"/>
        <w:color w:val="003C64"/>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54D24FC9"/>
    <w:multiLevelType w:val="hybridMultilevel"/>
    <w:tmpl w:val="28D623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55CA7787"/>
    <w:multiLevelType w:val="multilevel"/>
    <w:tmpl w:val="950C7C42"/>
    <w:lvl w:ilvl="0">
      <w:start w:val="1"/>
      <w:numFmt w:val="decimal"/>
      <w:pStyle w:val="1Ebene"/>
      <w:lvlText w:val="%1."/>
      <w:lvlJc w:val="left"/>
      <w:pPr>
        <w:ind w:left="360" w:hanging="360"/>
      </w:pPr>
    </w:lvl>
    <w:lvl w:ilvl="1">
      <w:start w:val="1"/>
      <w:numFmt w:val="decimal"/>
      <w:pStyle w:val="2Ebene"/>
      <w:lvlText w:val="%1.%2."/>
      <w:lvlJc w:val="left"/>
      <w:pPr>
        <w:ind w:left="792" w:hanging="432"/>
      </w:pPr>
    </w:lvl>
    <w:lvl w:ilvl="2">
      <w:start w:val="1"/>
      <w:numFmt w:val="decimal"/>
      <w:pStyle w:val="3Ebene"/>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7E521B4"/>
    <w:multiLevelType w:val="hybridMultilevel"/>
    <w:tmpl w:val="18024D4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5C1554E8"/>
    <w:multiLevelType w:val="hybridMultilevel"/>
    <w:tmpl w:val="3F6A4628"/>
    <w:lvl w:ilvl="0" w:tplc="08090005">
      <w:start w:val="1"/>
      <w:numFmt w:val="bullet"/>
      <w:lvlText w:val=""/>
      <w:lvlJc w:val="left"/>
      <w:pPr>
        <w:ind w:left="360" w:hanging="360"/>
      </w:pPr>
      <w:rPr>
        <w:rFonts w:ascii="Wingdings" w:hAnsi="Wingdings" w:hint="default"/>
        <w:color w:val="003C6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3160BC2"/>
    <w:multiLevelType w:val="hybridMultilevel"/>
    <w:tmpl w:val="0C06C886"/>
    <w:lvl w:ilvl="0" w:tplc="E440E77C">
      <w:start w:val="8"/>
      <w:numFmt w:val="bullet"/>
      <w:lvlText w:val="-"/>
      <w:lvlJc w:val="left"/>
      <w:pPr>
        <w:ind w:left="720" w:hanging="360"/>
      </w:pPr>
      <w:rPr>
        <w:rFonts w:ascii="Verdana" w:eastAsiaTheme="minorHAnsi" w:hAnsi="Verdana" w:cs="Helvetic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56642F7"/>
    <w:multiLevelType w:val="hybridMultilevel"/>
    <w:tmpl w:val="F6CEE4C8"/>
    <w:lvl w:ilvl="0" w:tplc="690E9CB0">
      <w:start w:val="1"/>
      <w:numFmt w:val="bullet"/>
      <w:pStyle w:val="ListParagraph"/>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66B73EBE"/>
    <w:multiLevelType w:val="hybridMultilevel"/>
    <w:tmpl w:val="1040C3EA"/>
    <w:lvl w:ilvl="0" w:tplc="3DE4B0F4">
      <w:start w:val="1"/>
      <w:numFmt w:val="bullet"/>
      <w:lvlText w:val="–"/>
      <w:lvlJc w:val="left"/>
      <w:pPr>
        <w:ind w:left="720" w:hanging="360"/>
      </w:pPr>
      <w:rPr>
        <w:rFonts w:ascii="Verdana" w:eastAsia="Times New Roman" w:hAnsi="Verdana" w:cs="Helvetic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6F10AD0"/>
    <w:multiLevelType w:val="multilevel"/>
    <w:tmpl w:val="A8C2921C"/>
    <w:numStyleLink w:val="NumbLstAnnex"/>
  </w:abstractNum>
  <w:abstractNum w:abstractNumId="47" w15:restartNumberingAfterBreak="0">
    <w:nsid w:val="6C08315E"/>
    <w:multiLevelType w:val="hybridMultilevel"/>
    <w:tmpl w:val="1E1ED77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6DB16EBC"/>
    <w:multiLevelType w:val="hybridMultilevel"/>
    <w:tmpl w:val="E30AB6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E4A6763"/>
    <w:multiLevelType w:val="hybridMultilevel"/>
    <w:tmpl w:val="2B66709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73C76EBC"/>
    <w:multiLevelType w:val="hybridMultilevel"/>
    <w:tmpl w:val="07BC27E2"/>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74221492"/>
    <w:multiLevelType w:val="multilevel"/>
    <w:tmpl w:val="A9C8D638"/>
    <w:lvl w:ilvl="0">
      <w:start w:val="1"/>
      <w:numFmt w:val="lowerRoman"/>
      <w:pStyle w:val="Listroman"/>
      <w:lvlText w:val="%1."/>
      <w:lvlJc w:val="left"/>
      <w:pPr>
        <w:tabs>
          <w:tab w:val="num" w:pos="1418"/>
        </w:tabs>
        <w:ind w:left="1418" w:hanging="284"/>
      </w:pPr>
      <w:rPr>
        <w:rFonts w:hint="default"/>
      </w:rPr>
    </w:lvl>
    <w:lvl w:ilvl="1">
      <w:start w:val="1"/>
      <w:numFmt w:val="lowerLetter"/>
      <w:pStyle w:val="Listalpha"/>
      <w:lvlText w:val="%2."/>
      <w:lvlJc w:val="left"/>
      <w:pPr>
        <w:tabs>
          <w:tab w:val="num" w:pos="1701"/>
        </w:tabs>
        <w:ind w:left="1701" w:hanging="283"/>
      </w:pPr>
      <w:rPr>
        <w:rFonts w:hint="default"/>
      </w:rPr>
    </w:lvl>
    <w:lvl w:ilvl="2">
      <w:start w:val="1"/>
      <w:numFmt w:val="lowerRoman"/>
      <w:lvlText w:val="(%3)"/>
      <w:lvlJc w:val="left"/>
      <w:pPr>
        <w:tabs>
          <w:tab w:val="num" w:pos="567"/>
        </w:tabs>
        <w:ind w:left="0" w:firstLine="357"/>
      </w:pPr>
      <w:rPr>
        <w:rFonts w:hint="default"/>
      </w:rPr>
    </w:lvl>
    <w:lvl w:ilvl="3">
      <w:start w:val="1"/>
      <w:numFmt w:val="lowerLetter"/>
      <w:lvlText w:val="%4)"/>
      <w:lvlJc w:val="left"/>
      <w:pPr>
        <w:tabs>
          <w:tab w:val="num" w:pos="567"/>
        </w:tabs>
        <w:ind w:left="567" w:firstLine="357"/>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52" w15:restartNumberingAfterBreak="0">
    <w:nsid w:val="787159ED"/>
    <w:multiLevelType w:val="hybridMultilevel"/>
    <w:tmpl w:val="59CA1C1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7AD4660F"/>
    <w:multiLevelType w:val="hybridMultilevel"/>
    <w:tmpl w:val="2200B02A"/>
    <w:lvl w:ilvl="0" w:tplc="D122BCC2">
      <w:start w:val="1"/>
      <w:numFmt w:val="decimal"/>
      <w:lvlText w:val="%1."/>
      <w:lvlJc w:val="left"/>
      <w:pPr>
        <w:ind w:left="360" w:hanging="360"/>
      </w:pPr>
      <w:rPr>
        <w:rFonts w:hint="default"/>
        <w:b/>
        <w:color w:val="003C64"/>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4" w15:restartNumberingAfterBreak="0">
    <w:nsid w:val="7BAC3D47"/>
    <w:multiLevelType w:val="hybridMultilevel"/>
    <w:tmpl w:val="10FE571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53644173">
    <w:abstractNumId w:val="6"/>
  </w:num>
  <w:num w:numId="2" w16cid:durableId="1992127363">
    <w:abstractNumId w:val="4"/>
  </w:num>
  <w:num w:numId="3" w16cid:durableId="1228567732">
    <w:abstractNumId w:val="5"/>
  </w:num>
  <w:num w:numId="4" w16cid:durableId="936324483">
    <w:abstractNumId w:val="3"/>
  </w:num>
  <w:num w:numId="5" w16cid:durableId="503399182">
    <w:abstractNumId w:val="2"/>
  </w:num>
  <w:num w:numId="6" w16cid:durableId="659385367">
    <w:abstractNumId w:val="1"/>
  </w:num>
  <w:num w:numId="7" w16cid:durableId="1317882299">
    <w:abstractNumId w:val="0"/>
  </w:num>
  <w:num w:numId="8" w16cid:durableId="736443361">
    <w:abstractNumId w:val="11"/>
  </w:num>
  <w:num w:numId="9" w16cid:durableId="1300569326">
    <w:abstractNumId w:val="8"/>
  </w:num>
  <w:num w:numId="10" w16cid:durableId="1389110972">
    <w:abstractNumId w:val="34"/>
  </w:num>
  <w:num w:numId="11" w16cid:durableId="677780574">
    <w:abstractNumId w:val="44"/>
  </w:num>
  <w:num w:numId="12" w16cid:durableId="1281916013">
    <w:abstractNumId w:val="17"/>
  </w:num>
  <w:num w:numId="13" w16cid:durableId="472481464">
    <w:abstractNumId w:val="46"/>
  </w:num>
  <w:num w:numId="14" w16cid:durableId="200872304">
    <w:abstractNumId w:val="12"/>
  </w:num>
  <w:num w:numId="15" w16cid:durableId="1727070399">
    <w:abstractNumId w:val="18"/>
  </w:num>
  <w:num w:numId="16" w16cid:durableId="327830447">
    <w:abstractNumId w:val="51"/>
  </w:num>
  <w:num w:numId="17" w16cid:durableId="562719667">
    <w:abstractNumId w:val="35"/>
  </w:num>
  <w:num w:numId="18" w16cid:durableId="8329907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81653512">
    <w:abstractNumId w:val="24"/>
  </w:num>
  <w:num w:numId="20" w16cid:durableId="1701780651">
    <w:abstractNumId w:val="38"/>
  </w:num>
  <w:num w:numId="21" w16cid:durableId="1741713309">
    <w:abstractNumId w:val="26"/>
  </w:num>
  <w:num w:numId="22" w16cid:durableId="1442070287">
    <w:abstractNumId w:val="19"/>
  </w:num>
  <w:num w:numId="23" w16cid:durableId="732436085">
    <w:abstractNumId w:val="15"/>
  </w:num>
  <w:num w:numId="24" w16cid:durableId="454494032">
    <w:abstractNumId w:val="42"/>
  </w:num>
  <w:num w:numId="25" w16cid:durableId="1886214766">
    <w:abstractNumId w:val="39"/>
  </w:num>
  <w:num w:numId="26" w16cid:durableId="1170372131">
    <w:abstractNumId w:val="7"/>
  </w:num>
  <w:num w:numId="27" w16cid:durableId="718162627">
    <w:abstractNumId w:val="28"/>
  </w:num>
  <w:num w:numId="28" w16cid:durableId="1868104411">
    <w:abstractNumId w:val="9"/>
  </w:num>
  <w:num w:numId="29" w16cid:durableId="453598335">
    <w:abstractNumId w:val="36"/>
  </w:num>
  <w:num w:numId="30" w16cid:durableId="1502969189">
    <w:abstractNumId w:val="30"/>
  </w:num>
  <w:num w:numId="31" w16cid:durableId="465587464">
    <w:abstractNumId w:val="37"/>
  </w:num>
  <w:num w:numId="32" w16cid:durableId="809059328">
    <w:abstractNumId w:val="23"/>
  </w:num>
  <w:num w:numId="33" w16cid:durableId="1877883577">
    <w:abstractNumId w:val="14"/>
  </w:num>
  <w:num w:numId="34" w16cid:durableId="1462306454">
    <w:abstractNumId w:val="33"/>
  </w:num>
  <w:num w:numId="35" w16cid:durableId="2130197462">
    <w:abstractNumId w:val="49"/>
  </w:num>
  <w:num w:numId="36" w16cid:durableId="2088113485">
    <w:abstractNumId w:val="10"/>
  </w:num>
  <w:num w:numId="37" w16cid:durableId="326901015">
    <w:abstractNumId w:val="48"/>
  </w:num>
  <w:num w:numId="38" w16cid:durableId="1045301535">
    <w:abstractNumId w:val="43"/>
  </w:num>
  <w:num w:numId="39" w16cid:durableId="1739134219">
    <w:abstractNumId w:val="13"/>
  </w:num>
  <w:num w:numId="40" w16cid:durableId="1829399619">
    <w:abstractNumId w:val="21"/>
  </w:num>
  <w:num w:numId="41" w16cid:durableId="1074401469">
    <w:abstractNumId w:val="52"/>
  </w:num>
  <w:num w:numId="42" w16cid:durableId="1161776646">
    <w:abstractNumId w:val="27"/>
  </w:num>
  <w:num w:numId="43" w16cid:durableId="726611913">
    <w:abstractNumId w:val="47"/>
  </w:num>
  <w:num w:numId="44" w16cid:durableId="977881200">
    <w:abstractNumId w:val="31"/>
  </w:num>
  <w:num w:numId="45" w16cid:durableId="1476873073">
    <w:abstractNumId w:val="45"/>
  </w:num>
  <w:num w:numId="46" w16cid:durableId="225648641">
    <w:abstractNumId w:val="25"/>
  </w:num>
  <w:num w:numId="47" w16cid:durableId="520701274">
    <w:abstractNumId w:val="20"/>
  </w:num>
  <w:num w:numId="48" w16cid:durableId="343409328">
    <w:abstractNumId w:val="29"/>
  </w:num>
  <w:num w:numId="49" w16cid:durableId="1076783199">
    <w:abstractNumId w:val="53"/>
  </w:num>
  <w:num w:numId="50" w16cid:durableId="831993732">
    <w:abstractNumId w:val="22"/>
  </w:num>
  <w:num w:numId="51" w16cid:durableId="207761652">
    <w:abstractNumId w:val="41"/>
  </w:num>
  <w:num w:numId="52" w16cid:durableId="1561935706">
    <w:abstractNumId w:val="54"/>
  </w:num>
  <w:num w:numId="53" w16cid:durableId="573129783">
    <w:abstractNumId w:val="50"/>
  </w:num>
  <w:num w:numId="54" w16cid:durableId="838615151">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characterSpacingControl w:val="doNotCompress"/>
  <w:hdrShapeDefaults>
    <o:shapedefaults v:ext="edit" spidmax="2058" style="mso-position-horizontal-relative:page;mso-position-vertical-relative:page"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A82D08"/>
    <w:rsid w:val="0000014E"/>
    <w:rsid w:val="000003C7"/>
    <w:rsid w:val="000011F8"/>
    <w:rsid w:val="00001C97"/>
    <w:rsid w:val="00001DCE"/>
    <w:rsid w:val="00002AB0"/>
    <w:rsid w:val="00002FFA"/>
    <w:rsid w:val="00003AD6"/>
    <w:rsid w:val="000049DA"/>
    <w:rsid w:val="00004F54"/>
    <w:rsid w:val="00005E82"/>
    <w:rsid w:val="000060E8"/>
    <w:rsid w:val="00007392"/>
    <w:rsid w:val="00007746"/>
    <w:rsid w:val="00007AB9"/>
    <w:rsid w:val="00012675"/>
    <w:rsid w:val="00013103"/>
    <w:rsid w:val="00013126"/>
    <w:rsid w:val="00015760"/>
    <w:rsid w:val="000174A7"/>
    <w:rsid w:val="000227E0"/>
    <w:rsid w:val="00024498"/>
    <w:rsid w:val="000244D6"/>
    <w:rsid w:val="000248EA"/>
    <w:rsid w:val="00026A2E"/>
    <w:rsid w:val="00026F59"/>
    <w:rsid w:val="0003038A"/>
    <w:rsid w:val="0003048B"/>
    <w:rsid w:val="00030F8B"/>
    <w:rsid w:val="00032AAE"/>
    <w:rsid w:val="00033AEB"/>
    <w:rsid w:val="000346A7"/>
    <w:rsid w:val="00036192"/>
    <w:rsid w:val="00036C00"/>
    <w:rsid w:val="000377B0"/>
    <w:rsid w:val="00041DD4"/>
    <w:rsid w:val="000437A3"/>
    <w:rsid w:val="00043C51"/>
    <w:rsid w:val="000445CA"/>
    <w:rsid w:val="00044F62"/>
    <w:rsid w:val="00045D7B"/>
    <w:rsid w:val="00046B17"/>
    <w:rsid w:val="00050838"/>
    <w:rsid w:val="000515AD"/>
    <w:rsid w:val="00051BB0"/>
    <w:rsid w:val="00052B6B"/>
    <w:rsid w:val="00053613"/>
    <w:rsid w:val="000538D9"/>
    <w:rsid w:val="00053CD2"/>
    <w:rsid w:val="00054380"/>
    <w:rsid w:val="0005457D"/>
    <w:rsid w:val="00056120"/>
    <w:rsid w:val="00056340"/>
    <w:rsid w:val="0005783E"/>
    <w:rsid w:val="00060004"/>
    <w:rsid w:val="00060ED6"/>
    <w:rsid w:val="00061164"/>
    <w:rsid w:val="000632ED"/>
    <w:rsid w:val="00063F99"/>
    <w:rsid w:val="0006560C"/>
    <w:rsid w:val="00065622"/>
    <w:rsid w:val="00066E95"/>
    <w:rsid w:val="000673AF"/>
    <w:rsid w:val="0006761C"/>
    <w:rsid w:val="000679B5"/>
    <w:rsid w:val="00067EA4"/>
    <w:rsid w:val="000703BE"/>
    <w:rsid w:val="0007167C"/>
    <w:rsid w:val="00071C09"/>
    <w:rsid w:val="0007390C"/>
    <w:rsid w:val="000755F4"/>
    <w:rsid w:val="00075CBD"/>
    <w:rsid w:val="00076EB2"/>
    <w:rsid w:val="00077239"/>
    <w:rsid w:val="00080A5D"/>
    <w:rsid w:val="00081939"/>
    <w:rsid w:val="00081B17"/>
    <w:rsid w:val="00081E2B"/>
    <w:rsid w:val="00081F21"/>
    <w:rsid w:val="00083D17"/>
    <w:rsid w:val="0008463C"/>
    <w:rsid w:val="00084C7A"/>
    <w:rsid w:val="00084DEF"/>
    <w:rsid w:val="00085381"/>
    <w:rsid w:val="0008560D"/>
    <w:rsid w:val="00086C05"/>
    <w:rsid w:val="0009419B"/>
    <w:rsid w:val="0009490F"/>
    <w:rsid w:val="00094AB3"/>
    <w:rsid w:val="00095C34"/>
    <w:rsid w:val="00096A5C"/>
    <w:rsid w:val="000A17AD"/>
    <w:rsid w:val="000A1B92"/>
    <w:rsid w:val="000A360E"/>
    <w:rsid w:val="000A5580"/>
    <w:rsid w:val="000A6A79"/>
    <w:rsid w:val="000A7401"/>
    <w:rsid w:val="000B0E45"/>
    <w:rsid w:val="000B25F0"/>
    <w:rsid w:val="000B3AA0"/>
    <w:rsid w:val="000B4CE1"/>
    <w:rsid w:val="000B5139"/>
    <w:rsid w:val="000B654C"/>
    <w:rsid w:val="000B67A9"/>
    <w:rsid w:val="000B7039"/>
    <w:rsid w:val="000C1222"/>
    <w:rsid w:val="000C12BF"/>
    <w:rsid w:val="000C1551"/>
    <w:rsid w:val="000C1B83"/>
    <w:rsid w:val="000C3DD0"/>
    <w:rsid w:val="000C4686"/>
    <w:rsid w:val="000C56CD"/>
    <w:rsid w:val="000D0CED"/>
    <w:rsid w:val="000D1BB7"/>
    <w:rsid w:val="000D1E2E"/>
    <w:rsid w:val="000D2790"/>
    <w:rsid w:val="000D3773"/>
    <w:rsid w:val="000D3D98"/>
    <w:rsid w:val="000D46F5"/>
    <w:rsid w:val="000D4878"/>
    <w:rsid w:val="000D55E1"/>
    <w:rsid w:val="000D6374"/>
    <w:rsid w:val="000D6681"/>
    <w:rsid w:val="000D6AD8"/>
    <w:rsid w:val="000D7944"/>
    <w:rsid w:val="000D7994"/>
    <w:rsid w:val="000E249B"/>
    <w:rsid w:val="000E2F69"/>
    <w:rsid w:val="000E31AA"/>
    <w:rsid w:val="000E4E30"/>
    <w:rsid w:val="000F02C6"/>
    <w:rsid w:val="000F05F9"/>
    <w:rsid w:val="000F06F3"/>
    <w:rsid w:val="000F0714"/>
    <w:rsid w:val="000F0B8C"/>
    <w:rsid w:val="000F1F7F"/>
    <w:rsid w:val="000F260B"/>
    <w:rsid w:val="000F4DA4"/>
    <w:rsid w:val="000F4E97"/>
    <w:rsid w:val="000F5233"/>
    <w:rsid w:val="000F69CF"/>
    <w:rsid w:val="001037E2"/>
    <w:rsid w:val="00105386"/>
    <w:rsid w:val="00106D5D"/>
    <w:rsid w:val="001077CC"/>
    <w:rsid w:val="00107A66"/>
    <w:rsid w:val="00107F8A"/>
    <w:rsid w:val="00110F8E"/>
    <w:rsid w:val="00111F04"/>
    <w:rsid w:val="00111FC4"/>
    <w:rsid w:val="001128D5"/>
    <w:rsid w:val="00114806"/>
    <w:rsid w:val="0011600E"/>
    <w:rsid w:val="00117207"/>
    <w:rsid w:val="00117478"/>
    <w:rsid w:val="00117A1F"/>
    <w:rsid w:val="00117BC4"/>
    <w:rsid w:val="00120425"/>
    <w:rsid w:val="00120FB9"/>
    <w:rsid w:val="00122CE6"/>
    <w:rsid w:val="0012329F"/>
    <w:rsid w:val="001255B2"/>
    <w:rsid w:val="001257DD"/>
    <w:rsid w:val="0012596E"/>
    <w:rsid w:val="0012655F"/>
    <w:rsid w:val="001268A8"/>
    <w:rsid w:val="00127F9A"/>
    <w:rsid w:val="0013237D"/>
    <w:rsid w:val="001332B5"/>
    <w:rsid w:val="00134DE4"/>
    <w:rsid w:val="00135350"/>
    <w:rsid w:val="00135C38"/>
    <w:rsid w:val="00140314"/>
    <w:rsid w:val="00140671"/>
    <w:rsid w:val="00140693"/>
    <w:rsid w:val="00140D74"/>
    <w:rsid w:val="00141C36"/>
    <w:rsid w:val="00141D40"/>
    <w:rsid w:val="00141F0C"/>
    <w:rsid w:val="001428B2"/>
    <w:rsid w:val="00143052"/>
    <w:rsid w:val="001431C5"/>
    <w:rsid w:val="00143D09"/>
    <w:rsid w:val="001469C3"/>
    <w:rsid w:val="001470B2"/>
    <w:rsid w:val="001474AE"/>
    <w:rsid w:val="00151231"/>
    <w:rsid w:val="00151587"/>
    <w:rsid w:val="00151E9E"/>
    <w:rsid w:val="0015426B"/>
    <w:rsid w:val="001554BA"/>
    <w:rsid w:val="00155687"/>
    <w:rsid w:val="00155764"/>
    <w:rsid w:val="00156D3B"/>
    <w:rsid w:val="00156EC0"/>
    <w:rsid w:val="001575C3"/>
    <w:rsid w:val="00157CCC"/>
    <w:rsid w:val="00160327"/>
    <w:rsid w:val="001618B9"/>
    <w:rsid w:val="00161C23"/>
    <w:rsid w:val="00161FA0"/>
    <w:rsid w:val="0016260C"/>
    <w:rsid w:val="00162D71"/>
    <w:rsid w:val="00165275"/>
    <w:rsid w:val="00166C42"/>
    <w:rsid w:val="00167D03"/>
    <w:rsid w:val="0017223C"/>
    <w:rsid w:val="00172FED"/>
    <w:rsid w:val="00173357"/>
    <w:rsid w:val="00173758"/>
    <w:rsid w:val="001738E3"/>
    <w:rsid w:val="0017457E"/>
    <w:rsid w:val="001750A9"/>
    <w:rsid w:val="00176841"/>
    <w:rsid w:val="00180F77"/>
    <w:rsid w:val="001821FC"/>
    <w:rsid w:val="00182722"/>
    <w:rsid w:val="00183BD5"/>
    <w:rsid w:val="00184274"/>
    <w:rsid w:val="00185B82"/>
    <w:rsid w:val="00186145"/>
    <w:rsid w:val="00186F3A"/>
    <w:rsid w:val="0018723C"/>
    <w:rsid w:val="00190155"/>
    <w:rsid w:val="00191307"/>
    <w:rsid w:val="0019235B"/>
    <w:rsid w:val="00192D03"/>
    <w:rsid w:val="00193912"/>
    <w:rsid w:val="00194FAD"/>
    <w:rsid w:val="00195A98"/>
    <w:rsid w:val="00196FD8"/>
    <w:rsid w:val="00197344"/>
    <w:rsid w:val="001A276A"/>
    <w:rsid w:val="001A31DF"/>
    <w:rsid w:val="001A4356"/>
    <w:rsid w:val="001A63D6"/>
    <w:rsid w:val="001A739E"/>
    <w:rsid w:val="001B09C3"/>
    <w:rsid w:val="001B0E7A"/>
    <w:rsid w:val="001B184A"/>
    <w:rsid w:val="001B1B5D"/>
    <w:rsid w:val="001B1F38"/>
    <w:rsid w:val="001B2231"/>
    <w:rsid w:val="001B274D"/>
    <w:rsid w:val="001B2793"/>
    <w:rsid w:val="001B2A43"/>
    <w:rsid w:val="001B31FB"/>
    <w:rsid w:val="001B359E"/>
    <w:rsid w:val="001B4C47"/>
    <w:rsid w:val="001B647B"/>
    <w:rsid w:val="001B6699"/>
    <w:rsid w:val="001B7595"/>
    <w:rsid w:val="001C23C1"/>
    <w:rsid w:val="001C2E2E"/>
    <w:rsid w:val="001C37D7"/>
    <w:rsid w:val="001C3DCB"/>
    <w:rsid w:val="001C5151"/>
    <w:rsid w:val="001C55B8"/>
    <w:rsid w:val="001C5B42"/>
    <w:rsid w:val="001C5B54"/>
    <w:rsid w:val="001C5E35"/>
    <w:rsid w:val="001C5F31"/>
    <w:rsid w:val="001D0284"/>
    <w:rsid w:val="001D0E5D"/>
    <w:rsid w:val="001D1FDC"/>
    <w:rsid w:val="001D38B5"/>
    <w:rsid w:val="001D487F"/>
    <w:rsid w:val="001D5B1E"/>
    <w:rsid w:val="001D731D"/>
    <w:rsid w:val="001E0197"/>
    <w:rsid w:val="001E1C90"/>
    <w:rsid w:val="001E2E7B"/>
    <w:rsid w:val="001E31D3"/>
    <w:rsid w:val="001E36A3"/>
    <w:rsid w:val="001E403E"/>
    <w:rsid w:val="001E4F13"/>
    <w:rsid w:val="001E537C"/>
    <w:rsid w:val="001E5D90"/>
    <w:rsid w:val="001E724E"/>
    <w:rsid w:val="001F04AC"/>
    <w:rsid w:val="001F32CA"/>
    <w:rsid w:val="001F42D7"/>
    <w:rsid w:val="001F4369"/>
    <w:rsid w:val="001F4FBF"/>
    <w:rsid w:val="001F57AC"/>
    <w:rsid w:val="001F57F2"/>
    <w:rsid w:val="001F5B6A"/>
    <w:rsid w:val="001F6186"/>
    <w:rsid w:val="001F651A"/>
    <w:rsid w:val="001F664B"/>
    <w:rsid w:val="001F66A1"/>
    <w:rsid w:val="001F6F2E"/>
    <w:rsid w:val="001F78E6"/>
    <w:rsid w:val="00200D4E"/>
    <w:rsid w:val="0020120C"/>
    <w:rsid w:val="0020192B"/>
    <w:rsid w:val="0020255A"/>
    <w:rsid w:val="00202D9A"/>
    <w:rsid w:val="0020340A"/>
    <w:rsid w:val="00205441"/>
    <w:rsid w:val="002056F6"/>
    <w:rsid w:val="002063B5"/>
    <w:rsid w:val="00210797"/>
    <w:rsid w:val="00210D2F"/>
    <w:rsid w:val="00211990"/>
    <w:rsid w:val="00212607"/>
    <w:rsid w:val="002128B5"/>
    <w:rsid w:val="00212BA2"/>
    <w:rsid w:val="00215102"/>
    <w:rsid w:val="002151EB"/>
    <w:rsid w:val="00215FF2"/>
    <w:rsid w:val="00216644"/>
    <w:rsid w:val="00220103"/>
    <w:rsid w:val="00222D37"/>
    <w:rsid w:val="0022324F"/>
    <w:rsid w:val="002236B6"/>
    <w:rsid w:val="002237B9"/>
    <w:rsid w:val="00223DF4"/>
    <w:rsid w:val="00224443"/>
    <w:rsid w:val="00224C05"/>
    <w:rsid w:val="00224EEB"/>
    <w:rsid w:val="002262DF"/>
    <w:rsid w:val="002274E7"/>
    <w:rsid w:val="002275FD"/>
    <w:rsid w:val="00227A6D"/>
    <w:rsid w:val="00227E6F"/>
    <w:rsid w:val="00230568"/>
    <w:rsid w:val="0023184C"/>
    <w:rsid w:val="00232AA4"/>
    <w:rsid w:val="00232BE0"/>
    <w:rsid w:val="002333B9"/>
    <w:rsid w:val="00233C18"/>
    <w:rsid w:val="00234B21"/>
    <w:rsid w:val="00234EF7"/>
    <w:rsid w:val="0023580A"/>
    <w:rsid w:val="00235B71"/>
    <w:rsid w:val="00240360"/>
    <w:rsid w:val="002403A1"/>
    <w:rsid w:val="002405CA"/>
    <w:rsid w:val="00242202"/>
    <w:rsid w:val="002426A1"/>
    <w:rsid w:val="00243E73"/>
    <w:rsid w:val="0024436E"/>
    <w:rsid w:val="00244951"/>
    <w:rsid w:val="00244B8A"/>
    <w:rsid w:val="00247F24"/>
    <w:rsid w:val="002505F3"/>
    <w:rsid w:val="002524DF"/>
    <w:rsid w:val="002525ED"/>
    <w:rsid w:val="00252A79"/>
    <w:rsid w:val="00252CA6"/>
    <w:rsid w:val="00252EE3"/>
    <w:rsid w:val="00255805"/>
    <w:rsid w:val="00256676"/>
    <w:rsid w:val="00256AE5"/>
    <w:rsid w:val="00257789"/>
    <w:rsid w:val="00260D53"/>
    <w:rsid w:val="00260DD6"/>
    <w:rsid w:val="00262415"/>
    <w:rsid w:val="00262421"/>
    <w:rsid w:val="00263A2C"/>
    <w:rsid w:val="00263F24"/>
    <w:rsid w:val="00264114"/>
    <w:rsid w:val="002658ED"/>
    <w:rsid w:val="00270CFF"/>
    <w:rsid w:val="00272705"/>
    <w:rsid w:val="00273122"/>
    <w:rsid w:val="00276947"/>
    <w:rsid w:val="00276EA2"/>
    <w:rsid w:val="00280631"/>
    <w:rsid w:val="00280E7A"/>
    <w:rsid w:val="0028108A"/>
    <w:rsid w:val="002819DA"/>
    <w:rsid w:val="00282732"/>
    <w:rsid w:val="00283132"/>
    <w:rsid w:val="00283D5F"/>
    <w:rsid w:val="002842C1"/>
    <w:rsid w:val="00284737"/>
    <w:rsid w:val="0028549F"/>
    <w:rsid w:val="002864F8"/>
    <w:rsid w:val="00286E0E"/>
    <w:rsid w:val="0028796F"/>
    <w:rsid w:val="00290512"/>
    <w:rsid w:val="002912AE"/>
    <w:rsid w:val="00291BE0"/>
    <w:rsid w:val="002967AC"/>
    <w:rsid w:val="00296A50"/>
    <w:rsid w:val="002A0838"/>
    <w:rsid w:val="002A20C0"/>
    <w:rsid w:val="002A335C"/>
    <w:rsid w:val="002A42B8"/>
    <w:rsid w:val="002A4A4C"/>
    <w:rsid w:val="002A61E1"/>
    <w:rsid w:val="002A6272"/>
    <w:rsid w:val="002B0882"/>
    <w:rsid w:val="002B0A74"/>
    <w:rsid w:val="002B27CB"/>
    <w:rsid w:val="002B3B85"/>
    <w:rsid w:val="002B7B68"/>
    <w:rsid w:val="002B7C7B"/>
    <w:rsid w:val="002C08C1"/>
    <w:rsid w:val="002C09F2"/>
    <w:rsid w:val="002C2756"/>
    <w:rsid w:val="002C3989"/>
    <w:rsid w:val="002C65C6"/>
    <w:rsid w:val="002C6C4B"/>
    <w:rsid w:val="002C7F91"/>
    <w:rsid w:val="002D12F3"/>
    <w:rsid w:val="002D16E7"/>
    <w:rsid w:val="002D218A"/>
    <w:rsid w:val="002D2E84"/>
    <w:rsid w:val="002D3373"/>
    <w:rsid w:val="002D4694"/>
    <w:rsid w:val="002D56F9"/>
    <w:rsid w:val="002D6B3E"/>
    <w:rsid w:val="002D7525"/>
    <w:rsid w:val="002E24C6"/>
    <w:rsid w:val="002E31BE"/>
    <w:rsid w:val="002E3E6D"/>
    <w:rsid w:val="002E46FF"/>
    <w:rsid w:val="002E4A5E"/>
    <w:rsid w:val="002E5742"/>
    <w:rsid w:val="002E793E"/>
    <w:rsid w:val="002E7EC8"/>
    <w:rsid w:val="002F0159"/>
    <w:rsid w:val="002F0DFB"/>
    <w:rsid w:val="002F13D9"/>
    <w:rsid w:val="002F182B"/>
    <w:rsid w:val="002F1B73"/>
    <w:rsid w:val="002F20E0"/>
    <w:rsid w:val="002F2269"/>
    <w:rsid w:val="002F342F"/>
    <w:rsid w:val="002F37C7"/>
    <w:rsid w:val="002F46A5"/>
    <w:rsid w:val="002F4A39"/>
    <w:rsid w:val="002F5EC9"/>
    <w:rsid w:val="002F653E"/>
    <w:rsid w:val="002F67E7"/>
    <w:rsid w:val="002F6EFC"/>
    <w:rsid w:val="002F7FDF"/>
    <w:rsid w:val="00300B68"/>
    <w:rsid w:val="00300D95"/>
    <w:rsid w:val="00301E9B"/>
    <w:rsid w:val="00302CCA"/>
    <w:rsid w:val="00303716"/>
    <w:rsid w:val="00303A69"/>
    <w:rsid w:val="003042A8"/>
    <w:rsid w:val="00304A13"/>
    <w:rsid w:val="00304A8F"/>
    <w:rsid w:val="003057E2"/>
    <w:rsid w:val="00305B39"/>
    <w:rsid w:val="00306107"/>
    <w:rsid w:val="003063F0"/>
    <w:rsid w:val="00306F42"/>
    <w:rsid w:val="003108E4"/>
    <w:rsid w:val="00310CA6"/>
    <w:rsid w:val="00310CCC"/>
    <w:rsid w:val="00311A5A"/>
    <w:rsid w:val="00311B5F"/>
    <w:rsid w:val="00312018"/>
    <w:rsid w:val="00313255"/>
    <w:rsid w:val="0031392C"/>
    <w:rsid w:val="0031458D"/>
    <w:rsid w:val="00315472"/>
    <w:rsid w:val="00315AC6"/>
    <w:rsid w:val="003160B3"/>
    <w:rsid w:val="0031681C"/>
    <w:rsid w:val="00320268"/>
    <w:rsid w:val="003215F2"/>
    <w:rsid w:val="003222B1"/>
    <w:rsid w:val="00322524"/>
    <w:rsid w:val="00324B0E"/>
    <w:rsid w:val="00327EF2"/>
    <w:rsid w:val="00330089"/>
    <w:rsid w:val="00330131"/>
    <w:rsid w:val="00330404"/>
    <w:rsid w:val="00331265"/>
    <w:rsid w:val="0033233E"/>
    <w:rsid w:val="0033390A"/>
    <w:rsid w:val="00333FFE"/>
    <w:rsid w:val="00335487"/>
    <w:rsid w:val="00337243"/>
    <w:rsid w:val="00337C9E"/>
    <w:rsid w:val="003402C7"/>
    <w:rsid w:val="003436D9"/>
    <w:rsid w:val="003436F4"/>
    <w:rsid w:val="003460EA"/>
    <w:rsid w:val="003463D4"/>
    <w:rsid w:val="0034672A"/>
    <w:rsid w:val="00347A4B"/>
    <w:rsid w:val="00350FCA"/>
    <w:rsid w:val="003552DA"/>
    <w:rsid w:val="00355427"/>
    <w:rsid w:val="003562E5"/>
    <w:rsid w:val="0035632E"/>
    <w:rsid w:val="003565A3"/>
    <w:rsid w:val="00362BA1"/>
    <w:rsid w:val="00362BFF"/>
    <w:rsid w:val="00363088"/>
    <w:rsid w:val="003643B0"/>
    <w:rsid w:val="003647CC"/>
    <w:rsid w:val="00364AD0"/>
    <w:rsid w:val="00365085"/>
    <w:rsid w:val="0036508F"/>
    <w:rsid w:val="003667A0"/>
    <w:rsid w:val="00370605"/>
    <w:rsid w:val="00371E6D"/>
    <w:rsid w:val="003732AD"/>
    <w:rsid w:val="0037408A"/>
    <w:rsid w:val="0037444D"/>
    <w:rsid w:val="003746C6"/>
    <w:rsid w:val="00374CC7"/>
    <w:rsid w:val="00375071"/>
    <w:rsid w:val="00376A15"/>
    <w:rsid w:val="00376A75"/>
    <w:rsid w:val="00381928"/>
    <w:rsid w:val="00384552"/>
    <w:rsid w:val="00384BD0"/>
    <w:rsid w:val="003851ED"/>
    <w:rsid w:val="00387765"/>
    <w:rsid w:val="00391340"/>
    <w:rsid w:val="00391DE2"/>
    <w:rsid w:val="0039225A"/>
    <w:rsid w:val="00392777"/>
    <w:rsid w:val="00392FAE"/>
    <w:rsid w:val="00393AF3"/>
    <w:rsid w:val="00394EBA"/>
    <w:rsid w:val="00395AC8"/>
    <w:rsid w:val="003A145A"/>
    <w:rsid w:val="003A2A83"/>
    <w:rsid w:val="003A2C62"/>
    <w:rsid w:val="003A3038"/>
    <w:rsid w:val="003A441D"/>
    <w:rsid w:val="003A6B85"/>
    <w:rsid w:val="003B13B4"/>
    <w:rsid w:val="003B2D38"/>
    <w:rsid w:val="003B38F4"/>
    <w:rsid w:val="003B485F"/>
    <w:rsid w:val="003B4E6A"/>
    <w:rsid w:val="003B503D"/>
    <w:rsid w:val="003B55F8"/>
    <w:rsid w:val="003B5A92"/>
    <w:rsid w:val="003B6BA9"/>
    <w:rsid w:val="003C1365"/>
    <w:rsid w:val="003C163C"/>
    <w:rsid w:val="003C1CFF"/>
    <w:rsid w:val="003C1D02"/>
    <w:rsid w:val="003C2E25"/>
    <w:rsid w:val="003C2FF8"/>
    <w:rsid w:val="003C4566"/>
    <w:rsid w:val="003C503A"/>
    <w:rsid w:val="003C50C4"/>
    <w:rsid w:val="003C5F6C"/>
    <w:rsid w:val="003C75D6"/>
    <w:rsid w:val="003C7D08"/>
    <w:rsid w:val="003D06B7"/>
    <w:rsid w:val="003D1601"/>
    <w:rsid w:val="003D1E79"/>
    <w:rsid w:val="003D24BD"/>
    <w:rsid w:val="003D33E1"/>
    <w:rsid w:val="003D4B2E"/>
    <w:rsid w:val="003D4D69"/>
    <w:rsid w:val="003D6176"/>
    <w:rsid w:val="003D62A6"/>
    <w:rsid w:val="003D68D9"/>
    <w:rsid w:val="003D6CAE"/>
    <w:rsid w:val="003D75EA"/>
    <w:rsid w:val="003E0983"/>
    <w:rsid w:val="003E14B7"/>
    <w:rsid w:val="003E14F2"/>
    <w:rsid w:val="003E199C"/>
    <w:rsid w:val="003E2961"/>
    <w:rsid w:val="003E482F"/>
    <w:rsid w:val="003E62E0"/>
    <w:rsid w:val="003E73D0"/>
    <w:rsid w:val="003E7CF2"/>
    <w:rsid w:val="003F0A8D"/>
    <w:rsid w:val="003F19F7"/>
    <w:rsid w:val="003F3F30"/>
    <w:rsid w:val="003F4413"/>
    <w:rsid w:val="003F71FE"/>
    <w:rsid w:val="003F7D7A"/>
    <w:rsid w:val="00400E46"/>
    <w:rsid w:val="0040285C"/>
    <w:rsid w:val="00402A3A"/>
    <w:rsid w:val="00402A63"/>
    <w:rsid w:val="00402AD6"/>
    <w:rsid w:val="00404216"/>
    <w:rsid w:val="00404515"/>
    <w:rsid w:val="00405765"/>
    <w:rsid w:val="0040692E"/>
    <w:rsid w:val="00406E43"/>
    <w:rsid w:val="0040738F"/>
    <w:rsid w:val="00407393"/>
    <w:rsid w:val="004077B8"/>
    <w:rsid w:val="00411E5E"/>
    <w:rsid w:val="00412AA2"/>
    <w:rsid w:val="00413C75"/>
    <w:rsid w:val="00414EFB"/>
    <w:rsid w:val="00415059"/>
    <w:rsid w:val="00415494"/>
    <w:rsid w:val="00416856"/>
    <w:rsid w:val="00420159"/>
    <w:rsid w:val="004205B3"/>
    <w:rsid w:val="00420675"/>
    <w:rsid w:val="00420CA9"/>
    <w:rsid w:val="00422171"/>
    <w:rsid w:val="004225FB"/>
    <w:rsid w:val="00423ACC"/>
    <w:rsid w:val="00424321"/>
    <w:rsid w:val="00425D24"/>
    <w:rsid w:val="0042620B"/>
    <w:rsid w:val="00426C18"/>
    <w:rsid w:val="00427F0B"/>
    <w:rsid w:val="00430455"/>
    <w:rsid w:val="004312A6"/>
    <w:rsid w:val="00431B06"/>
    <w:rsid w:val="00432B9C"/>
    <w:rsid w:val="004341C5"/>
    <w:rsid w:val="00434705"/>
    <w:rsid w:val="00435A2D"/>
    <w:rsid w:val="00437E31"/>
    <w:rsid w:val="00440895"/>
    <w:rsid w:val="004414E0"/>
    <w:rsid w:val="00442118"/>
    <w:rsid w:val="00442E22"/>
    <w:rsid w:val="00442F14"/>
    <w:rsid w:val="0044373C"/>
    <w:rsid w:val="00443BBB"/>
    <w:rsid w:val="00445458"/>
    <w:rsid w:val="00445957"/>
    <w:rsid w:val="00445B78"/>
    <w:rsid w:val="00453199"/>
    <w:rsid w:val="004537E0"/>
    <w:rsid w:val="00453AE2"/>
    <w:rsid w:val="00455CEE"/>
    <w:rsid w:val="00457C07"/>
    <w:rsid w:val="00460088"/>
    <w:rsid w:val="00460C3C"/>
    <w:rsid w:val="00463FA9"/>
    <w:rsid w:val="00464B8F"/>
    <w:rsid w:val="00464FC6"/>
    <w:rsid w:val="00466212"/>
    <w:rsid w:val="004737F0"/>
    <w:rsid w:val="004756D6"/>
    <w:rsid w:val="00475724"/>
    <w:rsid w:val="00475ECD"/>
    <w:rsid w:val="0048082C"/>
    <w:rsid w:val="00480F66"/>
    <w:rsid w:val="00481109"/>
    <w:rsid w:val="00483F42"/>
    <w:rsid w:val="00484F3A"/>
    <w:rsid w:val="0048613F"/>
    <w:rsid w:val="0048614B"/>
    <w:rsid w:val="0048671D"/>
    <w:rsid w:val="00487936"/>
    <w:rsid w:val="0049007F"/>
    <w:rsid w:val="004901A2"/>
    <w:rsid w:val="00491292"/>
    <w:rsid w:val="004914F0"/>
    <w:rsid w:val="00492D63"/>
    <w:rsid w:val="004930EE"/>
    <w:rsid w:val="004938D1"/>
    <w:rsid w:val="00493F63"/>
    <w:rsid w:val="00494F6A"/>
    <w:rsid w:val="00495C7D"/>
    <w:rsid w:val="00496B46"/>
    <w:rsid w:val="0049739E"/>
    <w:rsid w:val="004A007A"/>
    <w:rsid w:val="004A11CD"/>
    <w:rsid w:val="004A1EC0"/>
    <w:rsid w:val="004A2B15"/>
    <w:rsid w:val="004A3582"/>
    <w:rsid w:val="004A4707"/>
    <w:rsid w:val="004A5A26"/>
    <w:rsid w:val="004A5D90"/>
    <w:rsid w:val="004A67FD"/>
    <w:rsid w:val="004A6EE9"/>
    <w:rsid w:val="004B2D00"/>
    <w:rsid w:val="004B304B"/>
    <w:rsid w:val="004B3120"/>
    <w:rsid w:val="004B56AC"/>
    <w:rsid w:val="004B5CC0"/>
    <w:rsid w:val="004B6AA2"/>
    <w:rsid w:val="004B77BA"/>
    <w:rsid w:val="004C15DE"/>
    <w:rsid w:val="004C1732"/>
    <w:rsid w:val="004C3E78"/>
    <w:rsid w:val="004C4CF4"/>
    <w:rsid w:val="004C5DBC"/>
    <w:rsid w:val="004C79E3"/>
    <w:rsid w:val="004D037F"/>
    <w:rsid w:val="004D101F"/>
    <w:rsid w:val="004D23CD"/>
    <w:rsid w:val="004D2CAF"/>
    <w:rsid w:val="004D2FB6"/>
    <w:rsid w:val="004D4006"/>
    <w:rsid w:val="004D4B6D"/>
    <w:rsid w:val="004D5591"/>
    <w:rsid w:val="004D5D82"/>
    <w:rsid w:val="004D5DD1"/>
    <w:rsid w:val="004D66F5"/>
    <w:rsid w:val="004D6823"/>
    <w:rsid w:val="004D7287"/>
    <w:rsid w:val="004D74FA"/>
    <w:rsid w:val="004E32FE"/>
    <w:rsid w:val="004E3645"/>
    <w:rsid w:val="004E4477"/>
    <w:rsid w:val="004E4589"/>
    <w:rsid w:val="004E625B"/>
    <w:rsid w:val="004F0446"/>
    <w:rsid w:val="004F180F"/>
    <w:rsid w:val="004F1823"/>
    <w:rsid w:val="004F1B93"/>
    <w:rsid w:val="004F6416"/>
    <w:rsid w:val="004F6DFB"/>
    <w:rsid w:val="004F72A2"/>
    <w:rsid w:val="0050265F"/>
    <w:rsid w:val="00503E0A"/>
    <w:rsid w:val="005126FD"/>
    <w:rsid w:val="00514728"/>
    <w:rsid w:val="0051499A"/>
    <w:rsid w:val="005150F7"/>
    <w:rsid w:val="0051512A"/>
    <w:rsid w:val="00515EEC"/>
    <w:rsid w:val="00516EE7"/>
    <w:rsid w:val="005208E5"/>
    <w:rsid w:val="0052129E"/>
    <w:rsid w:val="00521AD5"/>
    <w:rsid w:val="00523963"/>
    <w:rsid w:val="00523F4A"/>
    <w:rsid w:val="005254AC"/>
    <w:rsid w:val="00525B44"/>
    <w:rsid w:val="00527526"/>
    <w:rsid w:val="00531342"/>
    <w:rsid w:val="00532CC6"/>
    <w:rsid w:val="00533615"/>
    <w:rsid w:val="00534272"/>
    <w:rsid w:val="00535381"/>
    <w:rsid w:val="00535626"/>
    <w:rsid w:val="00535D82"/>
    <w:rsid w:val="0054030E"/>
    <w:rsid w:val="00540C21"/>
    <w:rsid w:val="00541D2F"/>
    <w:rsid w:val="00542B8A"/>
    <w:rsid w:val="00543239"/>
    <w:rsid w:val="00543D66"/>
    <w:rsid w:val="00544EAA"/>
    <w:rsid w:val="00544FFC"/>
    <w:rsid w:val="0054516A"/>
    <w:rsid w:val="00545F64"/>
    <w:rsid w:val="00545FD1"/>
    <w:rsid w:val="005501EE"/>
    <w:rsid w:val="00552AB6"/>
    <w:rsid w:val="0055305C"/>
    <w:rsid w:val="005547BA"/>
    <w:rsid w:val="00554B2B"/>
    <w:rsid w:val="0055554C"/>
    <w:rsid w:val="00560DB0"/>
    <w:rsid w:val="0056220F"/>
    <w:rsid w:val="00562555"/>
    <w:rsid w:val="0056358C"/>
    <w:rsid w:val="005657AA"/>
    <w:rsid w:val="00565949"/>
    <w:rsid w:val="005669A5"/>
    <w:rsid w:val="00566E12"/>
    <w:rsid w:val="00566E82"/>
    <w:rsid w:val="00567F7E"/>
    <w:rsid w:val="00570625"/>
    <w:rsid w:val="00571317"/>
    <w:rsid w:val="00572368"/>
    <w:rsid w:val="0057331B"/>
    <w:rsid w:val="00575241"/>
    <w:rsid w:val="005772A2"/>
    <w:rsid w:val="00581C1B"/>
    <w:rsid w:val="00581F3D"/>
    <w:rsid w:val="0058325D"/>
    <w:rsid w:val="005837C7"/>
    <w:rsid w:val="00583B62"/>
    <w:rsid w:val="005870D5"/>
    <w:rsid w:val="00587673"/>
    <w:rsid w:val="00591817"/>
    <w:rsid w:val="00591840"/>
    <w:rsid w:val="00593256"/>
    <w:rsid w:val="00594AA6"/>
    <w:rsid w:val="00595D64"/>
    <w:rsid w:val="005963FC"/>
    <w:rsid w:val="00597995"/>
    <w:rsid w:val="00597CB4"/>
    <w:rsid w:val="005A0B37"/>
    <w:rsid w:val="005A27C0"/>
    <w:rsid w:val="005A3022"/>
    <w:rsid w:val="005A3F37"/>
    <w:rsid w:val="005A51ED"/>
    <w:rsid w:val="005A5EAC"/>
    <w:rsid w:val="005A6731"/>
    <w:rsid w:val="005A7196"/>
    <w:rsid w:val="005B036B"/>
    <w:rsid w:val="005B103F"/>
    <w:rsid w:val="005B11FE"/>
    <w:rsid w:val="005B1E0D"/>
    <w:rsid w:val="005B2582"/>
    <w:rsid w:val="005B3B0F"/>
    <w:rsid w:val="005B3B7C"/>
    <w:rsid w:val="005B524F"/>
    <w:rsid w:val="005B691A"/>
    <w:rsid w:val="005B7185"/>
    <w:rsid w:val="005B7890"/>
    <w:rsid w:val="005B7B6E"/>
    <w:rsid w:val="005C1395"/>
    <w:rsid w:val="005C383B"/>
    <w:rsid w:val="005C3A30"/>
    <w:rsid w:val="005C7697"/>
    <w:rsid w:val="005C76AB"/>
    <w:rsid w:val="005C77A1"/>
    <w:rsid w:val="005D154D"/>
    <w:rsid w:val="005D318B"/>
    <w:rsid w:val="005D5B4D"/>
    <w:rsid w:val="005D5CB6"/>
    <w:rsid w:val="005D61D3"/>
    <w:rsid w:val="005D7331"/>
    <w:rsid w:val="005D7A9E"/>
    <w:rsid w:val="005E00BD"/>
    <w:rsid w:val="005E09FC"/>
    <w:rsid w:val="005E18AD"/>
    <w:rsid w:val="005E39F4"/>
    <w:rsid w:val="005E527F"/>
    <w:rsid w:val="005E540F"/>
    <w:rsid w:val="005E6089"/>
    <w:rsid w:val="005F013E"/>
    <w:rsid w:val="005F0F15"/>
    <w:rsid w:val="005F3E38"/>
    <w:rsid w:val="005F4877"/>
    <w:rsid w:val="005F5ACB"/>
    <w:rsid w:val="005F5D2E"/>
    <w:rsid w:val="005F6017"/>
    <w:rsid w:val="005F6287"/>
    <w:rsid w:val="005F6C18"/>
    <w:rsid w:val="005F7A35"/>
    <w:rsid w:val="006006A0"/>
    <w:rsid w:val="0060125E"/>
    <w:rsid w:val="00601928"/>
    <w:rsid w:val="006022EC"/>
    <w:rsid w:val="00611217"/>
    <w:rsid w:val="00611632"/>
    <w:rsid w:val="00611986"/>
    <w:rsid w:val="00612C7B"/>
    <w:rsid w:val="00612D6B"/>
    <w:rsid w:val="00613762"/>
    <w:rsid w:val="006149FB"/>
    <w:rsid w:val="00615868"/>
    <w:rsid w:val="00616157"/>
    <w:rsid w:val="006162D6"/>
    <w:rsid w:val="00620F19"/>
    <w:rsid w:val="00621E45"/>
    <w:rsid w:val="00626D4E"/>
    <w:rsid w:val="00627594"/>
    <w:rsid w:val="00630EE5"/>
    <w:rsid w:val="0063226C"/>
    <w:rsid w:val="00632763"/>
    <w:rsid w:val="006333A2"/>
    <w:rsid w:val="00633445"/>
    <w:rsid w:val="00636E34"/>
    <w:rsid w:val="00641A1B"/>
    <w:rsid w:val="00642211"/>
    <w:rsid w:val="00642756"/>
    <w:rsid w:val="00642CAB"/>
    <w:rsid w:val="006441C4"/>
    <w:rsid w:val="00645031"/>
    <w:rsid w:val="00645D45"/>
    <w:rsid w:val="00647C1B"/>
    <w:rsid w:val="00647C89"/>
    <w:rsid w:val="00651009"/>
    <w:rsid w:val="00651C87"/>
    <w:rsid w:val="00653E20"/>
    <w:rsid w:val="00654B48"/>
    <w:rsid w:val="00656089"/>
    <w:rsid w:val="00657243"/>
    <w:rsid w:val="00657639"/>
    <w:rsid w:val="0065767F"/>
    <w:rsid w:val="00657D7E"/>
    <w:rsid w:val="00660DBC"/>
    <w:rsid w:val="006649CB"/>
    <w:rsid w:val="00664E79"/>
    <w:rsid w:val="0066664B"/>
    <w:rsid w:val="00666BB1"/>
    <w:rsid w:val="00667111"/>
    <w:rsid w:val="00670D08"/>
    <w:rsid w:val="006715BC"/>
    <w:rsid w:val="00672110"/>
    <w:rsid w:val="00673072"/>
    <w:rsid w:val="006745FA"/>
    <w:rsid w:val="006755F3"/>
    <w:rsid w:val="00676044"/>
    <w:rsid w:val="00676AD0"/>
    <w:rsid w:val="00677380"/>
    <w:rsid w:val="006775CD"/>
    <w:rsid w:val="006802C1"/>
    <w:rsid w:val="00680A90"/>
    <w:rsid w:val="006814D8"/>
    <w:rsid w:val="00682023"/>
    <w:rsid w:val="006832EB"/>
    <w:rsid w:val="00683626"/>
    <w:rsid w:val="00683B85"/>
    <w:rsid w:val="006913B7"/>
    <w:rsid w:val="00691D2A"/>
    <w:rsid w:val="0069492E"/>
    <w:rsid w:val="00694C99"/>
    <w:rsid w:val="0069660A"/>
    <w:rsid w:val="00697F08"/>
    <w:rsid w:val="006A09D4"/>
    <w:rsid w:val="006A13F6"/>
    <w:rsid w:val="006B0464"/>
    <w:rsid w:val="006B1FDC"/>
    <w:rsid w:val="006B2590"/>
    <w:rsid w:val="006B36F6"/>
    <w:rsid w:val="006B381B"/>
    <w:rsid w:val="006B45C0"/>
    <w:rsid w:val="006B4E59"/>
    <w:rsid w:val="006B5027"/>
    <w:rsid w:val="006B579D"/>
    <w:rsid w:val="006B6B63"/>
    <w:rsid w:val="006B7CD0"/>
    <w:rsid w:val="006C06F4"/>
    <w:rsid w:val="006C0A3B"/>
    <w:rsid w:val="006C1D2A"/>
    <w:rsid w:val="006C2142"/>
    <w:rsid w:val="006C21EC"/>
    <w:rsid w:val="006C360A"/>
    <w:rsid w:val="006C3718"/>
    <w:rsid w:val="006C3824"/>
    <w:rsid w:val="006C46D7"/>
    <w:rsid w:val="006C4805"/>
    <w:rsid w:val="006C7794"/>
    <w:rsid w:val="006D0FB3"/>
    <w:rsid w:val="006D280B"/>
    <w:rsid w:val="006D70CD"/>
    <w:rsid w:val="006D7D63"/>
    <w:rsid w:val="006E00AC"/>
    <w:rsid w:val="006E1DA2"/>
    <w:rsid w:val="006E2964"/>
    <w:rsid w:val="006E3311"/>
    <w:rsid w:val="006E6E08"/>
    <w:rsid w:val="006F18B3"/>
    <w:rsid w:val="006F408D"/>
    <w:rsid w:val="006F5766"/>
    <w:rsid w:val="006F62EC"/>
    <w:rsid w:val="006F7BE2"/>
    <w:rsid w:val="00700825"/>
    <w:rsid w:val="00703140"/>
    <w:rsid w:val="007039C8"/>
    <w:rsid w:val="00704197"/>
    <w:rsid w:val="00705724"/>
    <w:rsid w:val="00705A6B"/>
    <w:rsid w:val="00705CBD"/>
    <w:rsid w:val="00706016"/>
    <w:rsid w:val="007060F7"/>
    <w:rsid w:val="00707276"/>
    <w:rsid w:val="0070756A"/>
    <w:rsid w:val="007108FC"/>
    <w:rsid w:val="007115DD"/>
    <w:rsid w:val="00712158"/>
    <w:rsid w:val="00712499"/>
    <w:rsid w:val="00713D80"/>
    <w:rsid w:val="00713E7A"/>
    <w:rsid w:val="007144FB"/>
    <w:rsid w:val="00714F58"/>
    <w:rsid w:val="00715788"/>
    <w:rsid w:val="007161BE"/>
    <w:rsid w:val="007163C8"/>
    <w:rsid w:val="00716A13"/>
    <w:rsid w:val="00721132"/>
    <w:rsid w:val="0072161D"/>
    <w:rsid w:val="00723180"/>
    <w:rsid w:val="00723820"/>
    <w:rsid w:val="00724E55"/>
    <w:rsid w:val="0072748E"/>
    <w:rsid w:val="00730690"/>
    <w:rsid w:val="0073227E"/>
    <w:rsid w:val="0073398E"/>
    <w:rsid w:val="00733B69"/>
    <w:rsid w:val="0073448B"/>
    <w:rsid w:val="00736217"/>
    <w:rsid w:val="00736888"/>
    <w:rsid w:val="00740025"/>
    <w:rsid w:val="00742101"/>
    <w:rsid w:val="00743AF8"/>
    <w:rsid w:val="00743D16"/>
    <w:rsid w:val="00744142"/>
    <w:rsid w:val="00744941"/>
    <w:rsid w:val="00745C58"/>
    <w:rsid w:val="00747E12"/>
    <w:rsid w:val="007501FB"/>
    <w:rsid w:val="00750A2B"/>
    <w:rsid w:val="00751342"/>
    <w:rsid w:val="007521EF"/>
    <w:rsid w:val="00752BA0"/>
    <w:rsid w:val="007537C7"/>
    <w:rsid w:val="007538A7"/>
    <w:rsid w:val="007539FA"/>
    <w:rsid w:val="00753C70"/>
    <w:rsid w:val="007552D7"/>
    <w:rsid w:val="00755407"/>
    <w:rsid w:val="007559A4"/>
    <w:rsid w:val="007563CD"/>
    <w:rsid w:val="00756CC3"/>
    <w:rsid w:val="00756D92"/>
    <w:rsid w:val="007574EF"/>
    <w:rsid w:val="00757738"/>
    <w:rsid w:val="007603D7"/>
    <w:rsid w:val="00761CFF"/>
    <w:rsid w:val="00761E1E"/>
    <w:rsid w:val="00763962"/>
    <w:rsid w:val="00763AC8"/>
    <w:rsid w:val="00764821"/>
    <w:rsid w:val="007653FB"/>
    <w:rsid w:val="007654DE"/>
    <w:rsid w:val="00765AD1"/>
    <w:rsid w:val="00766BD4"/>
    <w:rsid w:val="00766D9F"/>
    <w:rsid w:val="00770BA8"/>
    <w:rsid w:val="00771847"/>
    <w:rsid w:val="00771BE7"/>
    <w:rsid w:val="0077327E"/>
    <w:rsid w:val="00773EEE"/>
    <w:rsid w:val="00774C8C"/>
    <w:rsid w:val="00774D8E"/>
    <w:rsid w:val="00775762"/>
    <w:rsid w:val="00775FDB"/>
    <w:rsid w:val="00776552"/>
    <w:rsid w:val="00777DD4"/>
    <w:rsid w:val="00782143"/>
    <w:rsid w:val="007822B1"/>
    <w:rsid w:val="007834D2"/>
    <w:rsid w:val="00785E49"/>
    <w:rsid w:val="00785F9F"/>
    <w:rsid w:val="007877B9"/>
    <w:rsid w:val="007921DC"/>
    <w:rsid w:val="00792417"/>
    <w:rsid w:val="007946FA"/>
    <w:rsid w:val="0079581F"/>
    <w:rsid w:val="007959F8"/>
    <w:rsid w:val="00795F35"/>
    <w:rsid w:val="0079600E"/>
    <w:rsid w:val="00797CF4"/>
    <w:rsid w:val="007A06D9"/>
    <w:rsid w:val="007A0C1F"/>
    <w:rsid w:val="007A1D64"/>
    <w:rsid w:val="007A205E"/>
    <w:rsid w:val="007A3216"/>
    <w:rsid w:val="007A5A82"/>
    <w:rsid w:val="007A5F5A"/>
    <w:rsid w:val="007A675D"/>
    <w:rsid w:val="007A6CD3"/>
    <w:rsid w:val="007B071B"/>
    <w:rsid w:val="007B11CB"/>
    <w:rsid w:val="007B14E3"/>
    <w:rsid w:val="007B3474"/>
    <w:rsid w:val="007B54B8"/>
    <w:rsid w:val="007B6610"/>
    <w:rsid w:val="007B7064"/>
    <w:rsid w:val="007B7CE2"/>
    <w:rsid w:val="007C2CE1"/>
    <w:rsid w:val="007C3898"/>
    <w:rsid w:val="007C3907"/>
    <w:rsid w:val="007C4332"/>
    <w:rsid w:val="007C4FEA"/>
    <w:rsid w:val="007C501F"/>
    <w:rsid w:val="007C57C3"/>
    <w:rsid w:val="007C61B4"/>
    <w:rsid w:val="007C6CDD"/>
    <w:rsid w:val="007C776D"/>
    <w:rsid w:val="007C7DBE"/>
    <w:rsid w:val="007D003B"/>
    <w:rsid w:val="007D245E"/>
    <w:rsid w:val="007D4AF2"/>
    <w:rsid w:val="007D4BEB"/>
    <w:rsid w:val="007D5877"/>
    <w:rsid w:val="007E23AD"/>
    <w:rsid w:val="007E2A15"/>
    <w:rsid w:val="007E2F65"/>
    <w:rsid w:val="007E4036"/>
    <w:rsid w:val="007E440A"/>
    <w:rsid w:val="007E48EE"/>
    <w:rsid w:val="007F068B"/>
    <w:rsid w:val="007F2AD3"/>
    <w:rsid w:val="007F32DE"/>
    <w:rsid w:val="007F3621"/>
    <w:rsid w:val="007F5BE5"/>
    <w:rsid w:val="007F5D96"/>
    <w:rsid w:val="007F74C2"/>
    <w:rsid w:val="007F78EA"/>
    <w:rsid w:val="007F7F97"/>
    <w:rsid w:val="007F7FC2"/>
    <w:rsid w:val="0080029B"/>
    <w:rsid w:val="00800EB0"/>
    <w:rsid w:val="00802EF4"/>
    <w:rsid w:val="00806C02"/>
    <w:rsid w:val="00810364"/>
    <w:rsid w:val="00810FA8"/>
    <w:rsid w:val="00811844"/>
    <w:rsid w:val="00811950"/>
    <w:rsid w:val="00814AF0"/>
    <w:rsid w:val="00814C43"/>
    <w:rsid w:val="00815571"/>
    <w:rsid w:val="0081586E"/>
    <w:rsid w:val="00815F30"/>
    <w:rsid w:val="00816AE4"/>
    <w:rsid w:val="00817EBF"/>
    <w:rsid w:val="008202B0"/>
    <w:rsid w:val="00820982"/>
    <w:rsid w:val="00820CF6"/>
    <w:rsid w:val="00820E32"/>
    <w:rsid w:val="00821089"/>
    <w:rsid w:val="0082297B"/>
    <w:rsid w:val="0082356D"/>
    <w:rsid w:val="0082437C"/>
    <w:rsid w:val="00827C37"/>
    <w:rsid w:val="00831349"/>
    <w:rsid w:val="00831CC6"/>
    <w:rsid w:val="00832FBC"/>
    <w:rsid w:val="00833041"/>
    <w:rsid w:val="00834754"/>
    <w:rsid w:val="00835099"/>
    <w:rsid w:val="00835171"/>
    <w:rsid w:val="0083518A"/>
    <w:rsid w:val="00835EBE"/>
    <w:rsid w:val="0083675E"/>
    <w:rsid w:val="008367C9"/>
    <w:rsid w:val="0084052D"/>
    <w:rsid w:val="00844C86"/>
    <w:rsid w:val="008453D0"/>
    <w:rsid w:val="008464ED"/>
    <w:rsid w:val="008467E8"/>
    <w:rsid w:val="00846E0A"/>
    <w:rsid w:val="00847873"/>
    <w:rsid w:val="0085043E"/>
    <w:rsid w:val="00850739"/>
    <w:rsid w:val="00851194"/>
    <w:rsid w:val="00851FBD"/>
    <w:rsid w:val="00853DA2"/>
    <w:rsid w:val="00854722"/>
    <w:rsid w:val="00854CC6"/>
    <w:rsid w:val="00855271"/>
    <w:rsid w:val="00856C2F"/>
    <w:rsid w:val="00857194"/>
    <w:rsid w:val="0086016E"/>
    <w:rsid w:val="008617FE"/>
    <w:rsid w:val="00863619"/>
    <w:rsid w:val="00863692"/>
    <w:rsid w:val="00866645"/>
    <w:rsid w:val="00866E63"/>
    <w:rsid w:val="00867FD3"/>
    <w:rsid w:val="008701B0"/>
    <w:rsid w:val="008711F2"/>
    <w:rsid w:val="0087144D"/>
    <w:rsid w:val="00871532"/>
    <w:rsid w:val="008719A2"/>
    <w:rsid w:val="00871D60"/>
    <w:rsid w:val="00873AA2"/>
    <w:rsid w:val="00876039"/>
    <w:rsid w:val="00876237"/>
    <w:rsid w:val="008767D2"/>
    <w:rsid w:val="00876BE1"/>
    <w:rsid w:val="00877425"/>
    <w:rsid w:val="00877841"/>
    <w:rsid w:val="00881BAC"/>
    <w:rsid w:val="00881EB5"/>
    <w:rsid w:val="008837A9"/>
    <w:rsid w:val="00883866"/>
    <w:rsid w:val="0088406F"/>
    <w:rsid w:val="00884866"/>
    <w:rsid w:val="00885000"/>
    <w:rsid w:val="008850AF"/>
    <w:rsid w:val="008863D3"/>
    <w:rsid w:val="00887B5C"/>
    <w:rsid w:val="0089025D"/>
    <w:rsid w:val="008902BD"/>
    <w:rsid w:val="00890D27"/>
    <w:rsid w:val="00891B5C"/>
    <w:rsid w:val="00891D8A"/>
    <w:rsid w:val="00891F6C"/>
    <w:rsid w:val="008936C7"/>
    <w:rsid w:val="0089606D"/>
    <w:rsid w:val="00896BF6"/>
    <w:rsid w:val="008A20D2"/>
    <w:rsid w:val="008A2746"/>
    <w:rsid w:val="008A4441"/>
    <w:rsid w:val="008A46D6"/>
    <w:rsid w:val="008A5DA5"/>
    <w:rsid w:val="008A717D"/>
    <w:rsid w:val="008B08FA"/>
    <w:rsid w:val="008B17F1"/>
    <w:rsid w:val="008B2B74"/>
    <w:rsid w:val="008B2D17"/>
    <w:rsid w:val="008B5EB1"/>
    <w:rsid w:val="008B6E3D"/>
    <w:rsid w:val="008B7493"/>
    <w:rsid w:val="008C01C1"/>
    <w:rsid w:val="008C03E0"/>
    <w:rsid w:val="008C105F"/>
    <w:rsid w:val="008C15A0"/>
    <w:rsid w:val="008C205D"/>
    <w:rsid w:val="008C2A2A"/>
    <w:rsid w:val="008C375C"/>
    <w:rsid w:val="008C3F88"/>
    <w:rsid w:val="008C48A4"/>
    <w:rsid w:val="008C5A2F"/>
    <w:rsid w:val="008C5BF9"/>
    <w:rsid w:val="008C63EA"/>
    <w:rsid w:val="008C6E53"/>
    <w:rsid w:val="008C717A"/>
    <w:rsid w:val="008D0022"/>
    <w:rsid w:val="008D0555"/>
    <w:rsid w:val="008D17DE"/>
    <w:rsid w:val="008D1806"/>
    <w:rsid w:val="008D1835"/>
    <w:rsid w:val="008D2230"/>
    <w:rsid w:val="008D239B"/>
    <w:rsid w:val="008D4D8D"/>
    <w:rsid w:val="008D5314"/>
    <w:rsid w:val="008D7468"/>
    <w:rsid w:val="008E03DE"/>
    <w:rsid w:val="008E0A46"/>
    <w:rsid w:val="008E317B"/>
    <w:rsid w:val="008E3408"/>
    <w:rsid w:val="008E4735"/>
    <w:rsid w:val="008E48D2"/>
    <w:rsid w:val="008E6E22"/>
    <w:rsid w:val="008F010A"/>
    <w:rsid w:val="008F085C"/>
    <w:rsid w:val="008F0CC0"/>
    <w:rsid w:val="008F15DA"/>
    <w:rsid w:val="008F196A"/>
    <w:rsid w:val="008F24DB"/>
    <w:rsid w:val="008F2FE9"/>
    <w:rsid w:val="008F494C"/>
    <w:rsid w:val="008F4AE2"/>
    <w:rsid w:val="008F4B1B"/>
    <w:rsid w:val="008F53CD"/>
    <w:rsid w:val="008F56A0"/>
    <w:rsid w:val="008F5D72"/>
    <w:rsid w:val="008F6BDA"/>
    <w:rsid w:val="008F73EA"/>
    <w:rsid w:val="00900098"/>
    <w:rsid w:val="009005C1"/>
    <w:rsid w:val="00901531"/>
    <w:rsid w:val="00903D1A"/>
    <w:rsid w:val="00904B28"/>
    <w:rsid w:val="00905C94"/>
    <w:rsid w:val="009074C7"/>
    <w:rsid w:val="009078D8"/>
    <w:rsid w:val="00911455"/>
    <w:rsid w:val="00912642"/>
    <w:rsid w:val="009133BA"/>
    <w:rsid w:val="009138BE"/>
    <w:rsid w:val="00913B90"/>
    <w:rsid w:val="00914531"/>
    <w:rsid w:val="00915B42"/>
    <w:rsid w:val="00917A24"/>
    <w:rsid w:val="00917DEA"/>
    <w:rsid w:val="00925BF8"/>
    <w:rsid w:val="00930BFF"/>
    <w:rsid w:val="00931A3D"/>
    <w:rsid w:val="0093216F"/>
    <w:rsid w:val="0093284F"/>
    <w:rsid w:val="00932B98"/>
    <w:rsid w:val="00932C08"/>
    <w:rsid w:val="00935B95"/>
    <w:rsid w:val="00936085"/>
    <w:rsid w:val="009409BE"/>
    <w:rsid w:val="00940A1E"/>
    <w:rsid w:val="00941B1F"/>
    <w:rsid w:val="00942487"/>
    <w:rsid w:val="00942F2F"/>
    <w:rsid w:val="00945463"/>
    <w:rsid w:val="00946F64"/>
    <w:rsid w:val="009473E5"/>
    <w:rsid w:val="00947943"/>
    <w:rsid w:val="00947B5B"/>
    <w:rsid w:val="00947C96"/>
    <w:rsid w:val="0095017E"/>
    <w:rsid w:val="009509BD"/>
    <w:rsid w:val="00950C24"/>
    <w:rsid w:val="00950F37"/>
    <w:rsid w:val="00952A6B"/>
    <w:rsid w:val="00952E84"/>
    <w:rsid w:val="00955EE0"/>
    <w:rsid w:val="009561ED"/>
    <w:rsid w:val="0095671E"/>
    <w:rsid w:val="00957CFD"/>
    <w:rsid w:val="00962AD7"/>
    <w:rsid w:val="009634B1"/>
    <w:rsid w:val="00965AD5"/>
    <w:rsid w:val="00965B51"/>
    <w:rsid w:val="0096654D"/>
    <w:rsid w:val="00967FDC"/>
    <w:rsid w:val="009726A9"/>
    <w:rsid w:val="009732CA"/>
    <w:rsid w:val="00974170"/>
    <w:rsid w:val="0097583A"/>
    <w:rsid w:val="0097651D"/>
    <w:rsid w:val="009777CE"/>
    <w:rsid w:val="0098024C"/>
    <w:rsid w:val="0098032A"/>
    <w:rsid w:val="0098180F"/>
    <w:rsid w:val="00983A13"/>
    <w:rsid w:val="00984328"/>
    <w:rsid w:val="00984977"/>
    <w:rsid w:val="009863CC"/>
    <w:rsid w:val="00986740"/>
    <w:rsid w:val="00986904"/>
    <w:rsid w:val="00987E4D"/>
    <w:rsid w:val="00991026"/>
    <w:rsid w:val="00991236"/>
    <w:rsid w:val="009924B8"/>
    <w:rsid w:val="009938C2"/>
    <w:rsid w:val="00993A60"/>
    <w:rsid w:val="00993C4E"/>
    <w:rsid w:val="00993D39"/>
    <w:rsid w:val="00994C9F"/>
    <w:rsid w:val="00997129"/>
    <w:rsid w:val="009A09FC"/>
    <w:rsid w:val="009A1951"/>
    <w:rsid w:val="009A260B"/>
    <w:rsid w:val="009A264C"/>
    <w:rsid w:val="009A2809"/>
    <w:rsid w:val="009A31FF"/>
    <w:rsid w:val="009A336E"/>
    <w:rsid w:val="009A612E"/>
    <w:rsid w:val="009A7586"/>
    <w:rsid w:val="009B289B"/>
    <w:rsid w:val="009B2EA5"/>
    <w:rsid w:val="009B39DC"/>
    <w:rsid w:val="009B5F9F"/>
    <w:rsid w:val="009B60EB"/>
    <w:rsid w:val="009B6653"/>
    <w:rsid w:val="009B6696"/>
    <w:rsid w:val="009B66EB"/>
    <w:rsid w:val="009B7415"/>
    <w:rsid w:val="009B7C56"/>
    <w:rsid w:val="009C0919"/>
    <w:rsid w:val="009C1335"/>
    <w:rsid w:val="009C19BE"/>
    <w:rsid w:val="009C1EC0"/>
    <w:rsid w:val="009C20AD"/>
    <w:rsid w:val="009C35EB"/>
    <w:rsid w:val="009C3B26"/>
    <w:rsid w:val="009C409E"/>
    <w:rsid w:val="009C4779"/>
    <w:rsid w:val="009D0854"/>
    <w:rsid w:val="009D46C7"/>
    <w:rsid w:val="009D4A2A"/>
    <w:rsid w:val="009D6FE5"/>
    <w:rsid w:val="009E1313"/>
    <w:rsid w:val="009E3EFF"/>
    <w:rsid w:val="009E5033"/>
    <w:rsid w:val="009E5AC9"/>
    <w:rsid w:val="009E60B3"/>
    <w:rsid w:val="009F0C67"/>
    <w:rsid w:val="009F0DF8"/>
    <w:rsid w:val="009F2464"/>
    <w:rsid w:val="009F3152"/>
    <w:rsid w:val="009F3C2D"/>
    <w:rsid w:val="009F5473"/>
    <w:rsid w:val="009F6EA3"/>
    <w:rsid w:val="00A00997"/>
    <w:rsid w:val="00A0308A"/>
    <w:rsid w:val="00A03271"/>
    <w:rsid w:val="00A0358B"/>
    <w:rsid w:val="00A03ED2"/>
    <w:rsid w:val="00A05A30"/>
    <w:rsid w:val="00A05A88"/>
    <w:rsid w:val="00A06586"/>
    <w:rsid w:val="00A0716F"/>
    <w:rsid w:val="00A07D82"/>
    <w:rsid w:val="00A07EA2"/>
    <w:rsid w:val="00A10443"/>
    <w:rsid w:val="00A10966"/>
    <w:rsid w:val="00A10DBB"/>
    <w:rsid w:val="00A11DF5"/>
    <w:rsid w:val="00A13149"/>
    <w:rsid w:val="00A132C3"/>
    <w:rsid w:val="00A17122"/>
    <w:rsid w:val="00A175D0"/>
    <w:rsid w:val="00A178EA"/>
    <w:rsid w:val="00A206D5"/>
    <w:rsid w:val="00A2337F"/>
    <w:rsid w:val="00A23B22"/>
    <w:rsid w:val="00A259CA"/>
    <w:rsid w:val="00A25DDC"/>
    <w:rsid w:val="00A2655E"/>
    <w:rsid w:val="00A270E6"/>
    <w:rsid w:val="00A27BF5"/>
    <w:rsid w:val="00A30E55"/>
    <w:rsid w:val="00A30FCD"/>
    <w:rsid w:val="00A321EA"/>
    <w:rsid w:val="00A3375B"/>
    <w:rsid w:val="00A34D34"/>
    <w:rsid w:val="00A35A74"/>
    <w:rsid w:val="00A36ABE"/>
    <w:rsid w:val="00A3767C"/>
    <w:rsid w:val="00A37885"/>
    <w:rsid w:val="00A37C2D"/>
    <w:rsid w:val="00A37C3A"/>
    <w:rsid w:val="00A4001C"/>
    <w:rsid w:val="00A41443"/>
    <w:rsid w:val="00A454D6"/>
    <w:rsid w:val="00A47A44"/>
    <w:rsid w:val="00A53C29"/>
    <w:rsid w:val="00A540FB"/>
    <w:rsid w:val="00A54A6B"/>
    <w:rsid w:val="00A55C6C"/>
    <w:rsid w:val="00A56B01"/>
    <w:rsid w:val="00A56E85"/>
    <w:rsid w:val="00A579C8"/>
    <w:rsid w:val="00A57AEC"/>
    <w:rsid w:val="00A628F7"/>
    <w:rsid w:val="00A63017"/>
    <w:rsid w:val="00A63DD8"/>
    <w:rsid w:val="00A64F06"/>
    <w:rsid w:val="00A65605"/>
    <w:rsid w:val="00A66798"/>
    <w:rsid w:val="00A6751E"/>
    <w:rsid w:val="00A67869"/>
    <w:rsid w:val="00A67EA0"/>
    <w:rsid w:val="00A70C5C"/>
    <w:rsid w:val="00A71059"/>
    <w:rsid w:val="00A722B8"/>
    <w:rsid w:val="00A72A6F"/>
    <w:rsid w:val="00A7304E"/>
    <w:rsid w:val="00A732C7"/>
    <w:rsid w:val="00A736FD"/>
    <w:rsid w:val="00A73DDC"/>
    <w:rsid w:val="00A76603"/>
    <w:rsid w:val="00A76814"/>
    <w:rsid w:val="00A804AE"/>
    <w:rsid w:val="00A80864"/>
    <w:rsid w:val="00A82D08"/>
    <w:rsid w:val="00A842B1"/>
    <w:rsid w:val="00A84AD3"/>
    <w:rsid w:val="00A86F01"/>
    <w:rsid w:val="00A909C3"/>
    <w:rsid w:val="00A91DD8"/>
    <w:rsid w:val="00A94DAC"/>
    <w:rsid w:val="00A9744A"/>
    <w:rsid w:val="00AA0512"/>
    <w:rsid w:val="00AA058F"/>
    <w:rsid w:val="00AA0C42"/>
    <w:rsid w:val="00AA0E0E"/>
    <w:rsid w:val="00AA256F"/>
    <w:rsid w:val="00AA41D1"/>
    <w:rsid w:val="00AA4574"/>
    <w:rsid w:val="00AA46F7"/>
    <w:rsid w:val="00AA4E0F"/>
    <w:rsid w:val="00AA7D2A"/>
    <w:rsid w:val="00AB036E"/>
    <w:rsid w:val="00AB3733"/>
    <w:rsid w:val="00AB5617"/>
    <w:rsid w:val="00AB5ED0"/>
    <w:rsid w:val="00AC015A"/>
    <w:rsid w:val="00AC06EB"/>
    <w:rsid w:val="00AC157E"/>
    <w:rsid w:val="00AC1A34"/>
    <w:rsid w:val="00AC1FB6"/>
    <w:rsid w:val="00AC2BBC"/>
    <w:rsid w:val="00AC31AD"/>
    <w:rsid w:val="00AC50F7"/>
    <w:rsid w:val="00AC5C6C"/>
    <w:rsid w:val="00AC5CB9"/>
    <w:rsid w:val="00AC7BE5"/>
    <w:rsid w:val="00AD0222"/>
    <w:rsid w:val="00AD38DB"/>
    <w:rsid w:val="00AD416F"/>
    <w:rsid w:val="00AD5338"/>
    <w:rsid w:val="00AD5D07"/>
    <w:rsid w:val="00AE0355"/>
    <w:rsid w:val="00AE30A3"/>
    <w:rsid w:val="00AE3ACE"/>
    <w:rsid w:val="00AE699A"/>
    <w:rsid w:val="00AE7597"/>
    <w:rsid w:val="00AF09DD"/>
    <w:rsid w:val="00AF14F2"/>
    <w:rsid w:val="00AF24B8"/>
    <w:rsid w:val="00AF2F54"/>
    <w:rsid w:val="00AF30EE"/>
    <w:rsid w:val="00AF34DA"/>
    <w:rsid w:val="00AF490D"/>
    <w:rsid w:val="00AF4D45"/>
    <w:rsid w:val="00AF639B"/>
    <w:rsid w:val="00AF6DBD"/>
    <w:rsid w:val="00AF7AC6"/>
    <w:rsid w:val="00B00364"/>
    <w:rsid w:val="00B0084E"/>
    <w:rsid w:val="00B00B08"/>
    <w:rsid w:val="00B0128B"/>
    <w:rsid w:val="00B013ED"/>
    <w:rsid w:val="00B016B0"/>
    <w:rsid w:val="00B01895"/>
    <w:rsid w:val="00B02883"/>
    <w:rsid w:val="00B034A7"/>
    <w:rsid w:val="00B036CC"/>
    <w:rsid w:val="00B03E5A"/>
    <w:rsid w:val="00B057B6"/>
    <w:rsid w:val="00B065BE"/>
    <w:rsid w:val="00B07F7D"/>
    <w:rsid w:val="00B103AE"/>
    <w:rsid w:val="00B10E23"/>
    <w:rsid w:val="00B13017"/>
    <w:rsid w:val="00B137C3"/>
    <w:rsid w:val="00B14191"/>
    <w:rsid w:val="00B14D5D"/>
    <w:rsid w:val="00B169FE"/>
    <w:rsid w:val="00B21ED8"/>
    <w:rsid w:val="00B225A4"/>
    <w:rsid w:val="00B24CAD"/>
    <w:rsid w:val="00B256E9"/>
    <w:rsid w:val="00B26C5A"/>
    <w:rsid w:val="00B27014"/>
    <w:rsid w:val="00B279C8"/>
    <w:rsid w:val="00B27C25"/>
    <w:rsid w:val="00B31F1A"/>
    <w:rsid w:val="00B3246D"/>
    <w:rsid w:val="00B33772"/>
    <w:rsid w:val="00B33B16"/>
    <w:rsid w:val="00B33C91"/>
    <w:rsid w:val="00B33CE2"/>
    <w:rsid w:val="00B346B0"/>
    <w:rsid w:val="00B34D44"/>
    <w:rsid w:val="00B3525F"/>
    <w:rsid w:val="00B36539"/>
    <w:rsid w:val="00B41BBD"/>
    <w:rsid w:val="00B4201B"/>
    <w:rsid w:val="00B42987"/>
    <w:rsid w:val="00B4339D"/>
    <w:rsid w:val="00B44216"/>
    <w:rsid w:val="00B446BC"/>
    <w:rsid w:val="00B44A91"/>
    <w:rsid w:val="00B505F9"/>
    <w:rsid w:val="00B519D3"/>
    <w:rsid w:val="00B54623"/>
    <w:rsid w:val="00B54837"/>
    <w:rsid w:val="00B55614"/>
    <w:rsid w:val="00B55A60"/>
    <w:rsid w:val="00B60F8E"/>
    <w:rsid w:val="00B615E6"/>
    <w:rsid w:val="00B63CD3"/>
    <w:rsid w:val="00B64194"/>
    <w:rsid w:val="00B6467C"/>
    <w:rsid w:val="00B65BF9"/>
    <w:rsid w:val="00B664E6"/>
    <w:rsid w:val="00B7373E"/>
    <w:rsid w:val="00B74084"/>
    <w:rsid w:val="00B75363"/>
    <w:rsid w:val="00B755C1"/>
    <w:rsid w:val="00B77B1C"/>
    <w:rsid w:val="00B80992"/>
    <w:rsid w:val="00B85751"/>
    <w:rsid w:val="00B85909"/>
    <w:rsid w:val="00B85A0B"/>
    <w:rsid w:val="00B85F3B"/>
    <w:rsid w:val="00B86BE0"/>
    <w:rsid w:val="00B86D13"/>
    <w:rsid w:val="00B875FE"/>
    <w:rsid w:val="00B876FF"/>
    <w:rsid w:val="00B90BE5"/>
    <w:rsid w:val="00B90E9F"/>
    <w:rsid w:val="00B93114"/>
    <w:rsid w:val="00B93ADE"/>
    <w:rsid w:val="00B9428A"/>
    <w:rsid w:val="00B95F83"/>
    <w:rsid w:val="00B96090"/>
    <w:rsid w:val="00B963B1"/>
    <w:rsid w:val="00B972FB"/>
    <w:rsid w:val="00B97779"/>
    <w:rsid w:val="00B97B69"/>
    <w:rsid w:val="00BA0473"/>
    <w:rsid w:val="00BA1544"/>
    <w:rsid w:val="00BA1985"/>
    <w:rsid w:val="00BA2E2A"/>
    <w:rsid w:val="00BA5059"/>
    <w:rsid w:val="00BA56E3"/>
    <w:rsid w:val="00BA705C"/>
    <w:rsid w:val="00BA7352"/>
    <w:rsid w:val="00BA7CB4"/>
    <w:rsid w:val="00BA7D06"/>
    <w:rsid w:val="00BB1698"/>
    <w:rsid w:val="00BB3CC1"/>
    <w:rsid w:val="00BB7589"/>
    <w:rsid w:val="00BB7D3B"/>
    <w:rsid w:val="00BC0F49"/>
    <w:rsid w:val="00BC10DC"/>
    <w:rsid w:val="00BC40D0"/>
    <w:rsid w:val="00BC60B8"/>
    <w:rsid w:val="00BC72E0"/>
    <w:rsid w:val="00BD1BA1"/>
    <w:rsid w:val="00BD1C91"/>
    <w:rsid w:val="00BD24E4"/>
    <w:rsid w:val="00BD2E64"/>
    <w:rsid w:val="00BD31F8"/>
    <w:rsid w:val="00BD35D5"/>
    <w:rsid w:val="00BD3862"/>
    <w:rsid w:val="00BD3E9D"/>
    <w:rsid w:val="00BD4C59"/>
    <w:rsid w:val="00BD5F23"/>
    <w:rsid w:val="00BD7309"/>
    <w:rsid w:val="00BD7FBB"/>
    <w:rsid w:val="00BE042C"/>
    <w:rsid w:val="00BE0F3B"/>
    <w:rsid w:val="00BE1855"/>
    <w:rsid w:val="00BE23B2"/>
    <w:rsid w:val="00BE38FB"/>
    <w:rsid w:val="00BE5AD6"/>
    <w:rsid w:val="00BE5CBB"/>
    <w:rsid w:val="00BE64B9"/>
    <w:rsid w:val="00BE75BE"/>
    <w:rsid w:val="00BF019D"/>
    <w:rsid w:val="00BF106A"/>
    <w:rsid w:val="00BF1365"/>
    <w:rsid w:val="00BF2431"/>
    <w:rsid w:val="00BF27D0"/>
    <w:rsid w:val="00BF2ABC"/>
    <w:rsid w:val="00BF349D"/>
    <w:rsid w:val="00BF4701"/>
    <w:rsid w:val="00BF6169"/>
    <w:rsid w:val="00BF6188"/>
    <w:rsid w:val="00BF65F7"/>
    <w:rsid w:val="00BF7978"/>
    <w:rsid w:val="00BF7CF3"/>
    <w:rsid w:val="00C00DD6"/>
    <w:rsid w:val="00C01138"/>
    <w:rsid w:val="00C0369F"/>
    <w:rsid w:val="00C12261"/>
    <w:rsid w:val="00C16542"/>
    <w:rsid w:val="00C17944"/>
    <w:rsid w:val="00C22EEA"/>
    <w:rsid w:val="00C230F3"/>
    <w:rsid w:val="00C23EE5"/>
    <w:rsid w:val="00C24072"/>
    <w:rsid w:val="00C257E1"/>
    <w:rsid w:val="00C26981"/>
    <w:rsid w:val="00C27743"/>
    <w:rsid w:val="00C3220E"/>
    <w:rsid w:val="00C3335C"/>
    <w:rsid w:val="00C34154"/>
    <w:rsid w:val="00C345AA"/>
    <w:rsid w:val="00C358E2"/>
    <w:rsid w:val="00C37019"/>
    <w:rsid w:val="00C37377"/>
    <w:rsid w:val="00C4096B"/>
    <w:rsid w:val="00C4114B"/>
    <w:rsid w:val="00C41335"/>
    <w:rsid w:val="00C4162B"/>
    <w:rsid w:val="00C41B8F"/>
    <w:rsid w:val="00C45FD6"/>
    <w:rsid w:val="00C46AD3"/>
    <w:rsid w:val="00C47640"/>
    <w:rsid w:val="00C506BC"/>
    <w:rsid w:val="00C50E2E"/>
    <w:rsid w:val="00C52B55"/>
    <w:rsid w:val="00C55414"/>
    <w:rsid w:val="00C60F73"/>
    <w:rsid w:val="00C61034"/>
    <w:rsid w:val="00C617E4"/>
    <w:rsid w:val="00C62228"/>
    <w:rsid w:val="00C626BE"/>
    <w:rsid w:val="00C62E16"/>
    <w:rsid w:val="00C6371D"/>
    <w:rsid w:val="00C639AD"/>
    <w:rsid w:val="00C64026"/>
    <w:rsid w:val="00C64FEC"/>
    <w:rsid w:val="00C66A9D"/>
    <w:rsid w:val="00C737D2"/>
    <w:rsid w:val="00C74A99"/>
    <w:rsid w:val="00C74C96"/>
    <w:rsid w:val="00C74DE0"/>
    <w:rsid w:val="00C753A1"/>
    <w:rsid w:val="00C75A05"/>
    <w:rsid w:val="00C76664"/>
    <w:rsid w:val="00C77964"/>
    <w:rsid w:val="00C80BC4"/>
    <w:rsid w:val="00C8237B"/>
    <w:rsid w:val="00C84FC3"/>
    <w:rsid w:val="00C85123"/>
    <w:rsid w:val="00C85892"/>
    <w:rsid w:val="00C85E9D"/>
    <w:rsid w:val="00C86953"/>
    <w:rsid w:val="00C8794F"/>
    <w:rsid w:val="00C90651"/>
    <w:rsid w:val="00C913DE"/>
    <w:rsid w:val="00C92545"/>
    <w:rsid w:val="00C9317E"/>
    <w:rsid w:val="00C9535F"/>
    <w:rsid w:val="00C965C3"/>
    <w:rsid w:val="00CA0800"/>
    <w:rsid w:val="00CA11A8"/>
    <w:rsid w:val="00CA12A1"/>
    <w:rsid w:val="00CA151A"/>
    <w:rsid w:val="00CA246B"/>
    <w:rsid w:val="00CA34C1"/>
    <w:rsid w:val="00CA5EF2"/>
    <w:rsid w:val="00CA5F13"/>
    <w:rsid w:val="00CB0FED"/>
    <w:rsid w:val="00CB1833"/>
    <w:rsid w:val="00CB2619"/>
    <w:rsid w:val="00CB3870"/>
    <w:rsid w:val="00CB3EA8"/>
    <w:rsid w:val="00CB46AB"/>
    <w:rsid w:val="00CB476C"/>
    <w:rsid w:val="00CB51B9"/>
    <w:rsid w:val="00CB5D03"/>
    <w:rsid w:val="00CB7BF3"/>
    <w:rsid w:val="00CB7D93"/>
    <w:rsid w:val="00CC057A"/>
    <w:rsid w:val="00CC10E4"/>
    <w:rsid w:val="00CC1A41"/>
    <w:rsid w:val="00CC491D"/>
    <w:rsid w:val="00CC4BED"/>
    <w:rsid w:val="00CC557E"/>
    <w:rsid w:val="00CC5988"/>
    <w:rsid w:val="00CC7E6E"/>
    <w:rsid w:val="00CD063D"/>
    <w:rsid w:val="00CD078D"/>
    <w:rsid w:val="00CD09C2"/>
    <w:rsid w:val="00CD1559"/>
    <w:rsid w:val="00CD1E77"/>
    <w:rsid w:val="00CD3F15"/>
    <w:rsid w:val="00CD4C81"/>
    <w:rsid w:val="00CD4F53"/>
    <w:rsid w:val="00CD6096"/>
    <w:rsid w:val="00CD691C"/>
    <w:rsid w:val="00CD694F"/>
    <w:rsid w:val="00CD69AC"/>
    <w:rsid w:val="00CD76D4"/>
    <w:rsid w:val="00CD7BB6"/>
    <w:rsid w:val="00CE0165"/>
    <w:rsid w:val="00CE1BBE"/>
    <w:rsid w:val="00CE2040"/>
    <w:rsid w:val="00CE2B75"/>
    <w:rsid w:val="00CE45D3"/>
    <w:rsid w:val="00CE492C"/>
    <w:rsid w:val="00CF005F"/>
    <w:rsid w:val="00CF076A"/>
    <w:rsid w:val="00CF17DE"/>
    <w:rsid w:val="00CF3F1D"/>
    <w:rsid w:val="00CF3F2E"/>
    <w:rsid w:val="00CF412F"/>
    <w:rsid w:val="00CF6094"/>
    <w:rsid w:val="00CF6E95"/>
    <w:rsid w:val="00CF71C8"/>
    <w:rsid w:val="00D004E1"/>
    <w:rsid w:val="00D02A97"/>
    <w:rsid w:val="00D02D0C"/>
    <w:rsid w:val="00D0349C"/>
    <w:rsid w:val="00D04040"/>
    <w:rsid w:val="00D0457D"/>
    <w:rsid w:val="00D04973"/>
    <w:rsid w:val="00D05094"/>
    <w:rsid w:val="00D053D8"/>
    <w:rsid w:val="00D0611C"/>
    <w:rsid w:val="00D0661A"/>
    <w:rsid w:val="00D07AA5"/>
    <w:rsid w:val="00D10731"/>
    <w:rsid w:val="00D10F62"/>
    <w:rsid w:val="00D122D3"/>
    <w:rsid w:val="00D1250F"/>
    <w:rsid w:val="00D13C59"/>
    <w:rsid w:val="00D15299"/>
    <w:rsid w:val="00D163D3"/>
    <w:rsid w:val="00D167A2"/>
    <w:rsid w:val="00D16B0D"/>
    <w:rsid w:val="00D2148F"/>
    <w:rsid w:val="00D2200F"/>
    <w:rsid w:val="00D22525"/>
    <w:rsid w:val="00D22721"/>
    <w:rsid w:val="00D27203"/>
    <w:rsid w:val="00D275A5"/>
    <w:rsid w:val="00D27921"/>
    <w:rsid w:val="00D27B0C"/>
    <w:rsid w:val="00D31B4A"/>
    <w:rsid w:val="00D31B8E"/>
    <w:rsid w:val="00D3248A"/>
    <w:rsid w:val="00D32BA0"/>
    <w:rsid w:val="00D332E3"/>
    <w:rsid w:val="00D34419"/>
    <w:rsid w:val="00D35640"/>
    <w:rsid w:val="00D37EC0"/>
    <w:rsid w:val="00D40E14"/>
    <w:rsid w:val="00D40E30"/>
    <w:rsid w:val="00D436F9"/>
    <w:rsid w:val="00D44282"/>
    <w:rsid w:val="00D44A9D"/>
    <w:rsid w:val="00D45529"/>
    <w:rsid w:val="00D4581C"/>
    <w:rsid w:val="00D46206"/>
    <w:rsid w:val="00D466E5"/>
    <w:rsid w:val="00D470BE"/>
    <w:rsid w:val="00D47114"/>
    <w:rsid w:val="00D50E16"/>
    <w:rsid w:val="00D51A0F"/>
    <w:rsid w:val="00D51AC6"/>
    <w:rsid w:val="00D54910"/>
    <w:rsid w:val="00D56844"/>
    <w:rsid w:val="00D56B15"/>
    <w:rsid w:val="00D57802"/>
    <w:rsid w:val="00D6088A"/>
    <w:rsid w:val="00D6089C"/>
    <w:rsid w:val="00D62F4E"/>
    <w:rsid w:val="00D62FB1"/>
    <w:rsid w:val="00D658F0"/>
    <w:rsid w:val="00D662ED"/>
    <w:rsid w:val="00D663B9"/>
    <w:rsid w:val="00D67AF1"/>
    <w:rsid w:val="00D70041"/>
    <w:rsid w:val="00D706C2"/>
    <w:rsid w:val="00D7098A"/>
    <w:rsid w:val="00D70A2D"/>
    <w:rsid w:val="00D71B37"/>
    <w:rsid w:val="00D7201B"/>
    <w:rsid w:val="00D74DD1"/>
    <w:rsid w:val="00D7527A"/>
    <w:rsid w:val="00D76388"/>
    <w:rsid w:val="00D768FC"/>
    <w:rsid w:val="00D769CC"/>
    <w:rsid w:val="00D80B35"/>
    <w:rsid w:val="00D81246"/>
    <w:rsid w:val="00D831C5"/>
    <w:rsid w:val="00D83619"/>
    <w:rsid w:val="00D83FDF"/>
    <w:rsid w:val="00D85672"/>
    <w:rsid w:val="00D86CB6"/>
    <w:rsid w:val="00D86DB0"/>
    <w:rsid w:val="00D876AD"/>
    <w:rsid w:val="00D87EE6"/>
    <w:rsid w:val="00D90BC6"/>
    <w:rsid w:val="00D90F9E"/>
    <w:rsid w:val="00D923B5"/>
    <w:rsid w:val="00D9361D"/>
    <w:rsid w:val="00D93A3A"/>
    <w:rsid w:val="00D947B1"/>
    <w:rsid w:val="00D9745B"/>
    <w:rsid w:val="00D97490"/>
    <w:rsid w:val="00DA11CC"/>
    <w:rsid w:val="00DA16B6"/>
    <w:rsid w:val="00DA2387"/>
    <w:rsid w:val="00DA3A94"/>
    <w:rsid w:val="00DA45C1"/>
    <w:rsid w:val="00DA4C58"/>
    <w:rsid w:val="00DA51DF"/>
    <w:rsid w:val="00DA764E"/>
    <w:rsid w:val="00DB0200"/>
    <w:rsid w:val="00DB0EDB"/>
    <w:rsid w:val="00DB11B1"/>
    <w:rsid w:val="00DB1745"/>
    <w:rsid w:val="00DB1988"/>
    <w:rsid w:val="00DB2232"/>
    <w:rsid w:val="00DB308D"/>
    <w:rsid w:val="00DB3AFD"/>
    <w:rsid w:val="00DB3EC0"/>
    <w:rsid w:val="00DB7C3D"/>
    <w:rsid w:val="00DB7F11"/>
    <w:rsid w:val="00DC0F07"/>
    <w:rsid w:val="00DC0F10"/>
    <w:rsid w:val="00DC10AF"/>
    <w:rsid w:val="00DC179C"/>
    <w:rsid w:val="00DC1AFF"/>
    <w:rsid w:val="00DC200A"/>
    <w:rsid w:val="00DC3ECD"/>
    <w:rsid w:val="00DC53CD"/>
    <w:rsid w:val="00DC5577"/>
    <w:rsid w:val="00DC5A6C"/>
    <w:rsid w:val="00DC5CE2"/>
    <w:rsid w:val="00DC7526"/>
    <w:rsid w:val="00DD04D8"/>
    <w:rsid w:val="00DD1AB0"/>
    <w:rsid w:val="00DD1F0C"/>
    <w:rsid w:val="00DD2B91"/>
    <w:rsid w:val="00DD3484"/>
    <w:rsid w:val="00DD4F6E"/>
    <w:rsid w:val="00DD4FBD"/>
    <w:rsid w:val="00DD68FA"/>
    <w:rsid w:val="00DE09CB"/>
    <w:rsid w:val="00DE13F1"/>
    <w:rsid w:val="00DE362C"/>
    <w:rsid w:val="00DE3CDE"/>
    <w:rsid w:val="00DE41E3"/>
    <w:rsid w:val="00DE4A60"/>
    <w:rsid w:val="00DE4B51"/>
    <w:rsid w:val="00DE527B"/>
    <w:rsid w:val="00DE6B9A"/>
    <w:rsid w:val="00DE74C8"/>
    <w:rsid w:val="00DE773C"/>
    <w:rsid w:val="00DE798F"/>
    <w:rsid w:val="00DE7C41"/>
    <w:rsid w:val="00DF06A2"/>
    <w:rsid w:val="00DF1BD7"/>
    <w:rsid w:val="00DF2DF4"/>
    <w:rsid w:val="00DF4B01"/>
    <w:rsid w:val="00DF4B9C"/>
    <w:rsid w:val="00DF633C"/>
    <w:rsid w:val="00DF6971"/>
    <w:rsid w:val="00DF6A8D"/>
    <w:rsid w:val="00E005E5"/>
    <w:rsid w:val="00E010B3"/>
    <w:rsid w:val="00E01180"/>
    <w:rsid w:val="00E02DB6"/>
    <w:rsid w:val="00E03258"/>
    <w:rsid w:val="00E0470C"/>
    <w:rsid w:val="00E04F1A"/>
    <w:rsid w:val="00E061BD"/>
    <w:rsid w:val="00E072C4"/>
    <w:rsid w:val="00E1188B"/>
    <w:rsid w:val="00E122E8"/>
    <w:rsid w:val="00E12E8D"/>
    <w:rsid w:val="00E13080"/>
    <w:rsid w:val="00E14242"/>
    <w:rsid w:val="00E145D9"/>
    <w:rsid w:val="00E1628D"/>
    <w:rsid w:val="00E17139"/>
    <w:rsid w:val="00E17F8F"/>
    <w:rsid w:val="00E2150A"/>
    <w:rsid w:val="00E22A77"/>
    <w:rsid w:val="00E23190"/>
    <w:rsid w:val="00E24783"/>
    <w:rsid w:val="00E248C6"/>
    <w:rsid w:val="00E2590C"/>
    <w:rsid w:val="00E260F8"/>
    <w:rsid w:val="00E274BE"/>
    <w:rsid w:val="00E27EEA"/>
    <w:rsid w:val="00E301A9"/>
    <w:rsid w:val="00E306DA"/>
    <w:rsid w:val="00E321EB"/>
    <w:rsid w:val="00E36070"/>
    <w:rsid w:val="00E37E66"/>
    <w:rsid w:val="00E41F49"/>
    <w:rsid w:val="00E44DBC"/>
    <w:rsid w:val="00E4527B"/>
    <w:rsid w:val="00E462EF"/>
    <w:rsid w:val="00E500A9"/>
    <w:rsid w:val="00E5283B"/>
    <w:rsid w:val="00E539FA"/>
    <w:rsid w:val="00E53A1B"/>
    <w:rsid w:val="00E54A43"/>
    <w:rsid w:val="00E55B4C"/>
    <w:rsid w:val="00E57A40"/>
    <w:rsid w:val="00E618A3"/>
    <w:rsid w:val="00E62AE7"/>
    <w:rsid w:val="00E639C9"/>
    <w:rsid w:val="00E63BB1"/>
    <w:rsid w:val="00E65ECF"/>
    <w:rsid w:val="00E7038C"/>
    <w:rsid w:val="00E70658"/>
    <w:rsid w:val="00E731AB"/>
    <w:rsid w:val="00E747FA"/>
    <w:rsid w:val="00E7633B"/>
    <w:rsid w:val="00E80C9D"/>
    <w:rsid w:val="00E80D8A"/>
    <w:rsid w:val="00E8376E"/>
    <w:rsid w:val="00E83B7B"/>
    <w:rsid w:val="00E844DB"/>
    <w:rsid w:val="00E84D24"/>
    <w:rsid w:val="00E9128B"/>
    <w:rsid w:val="00E91DB9"/>
    <w:rsid w:val="00E9398D"/>
    <w:rsid w:val="00E94242"/>
    <w:rsid w:val="00E94452"/>
    <w:rsid w:val="00E94670"/>
    <w:rsid w:val="00E95508"/>
    <w:rsid w:val="00E96D19"/>
    <w:rsid w:val="00E979BE"/>
    <w:rsid w:val="00EA0168"/>
    <w:rsid w:val="00EA0E86"/>
    <w:rsid w:val="00EA2346"/>
    <w:rsid w:val="00EA2714"/>
    <w:rsid w:val="00EA2C5B"/>
    <w:rsid w:val="00EA36EE"/>
    <w:rsid w:val="00EA435C"/>
    <w:rsid w:val="00EA61F6"/>
    <w:rsid w:val="00EB1A32"/>
    <w:rsid w:val="00EB286A"/>
    <w:rsid w:val="00EB58BA"/>
    <w:rsid w:val="00EB5D50"/>
    <w:rsid w:val="00EB688F"/>
    <w:rsid w:val="00EC16B3"/>
    <w:rsid w:val="00EC2BF4"/>
    <w:rsid w:val="00EC36D4"/>
    <w:rsid w:val="00EC401B"/>
    <w:rsid w:val="00EC411B"/>
    <w:rsid w:val="00EC5E13"/>
    <w:rsid w:val="00EC62C0"/>
    <w:rsid w:val="00EC74F0"/>
    <w:rsid w:val="00EC7ADD"/>
    <w:rsid w:val="00EC7D08"/>
    <w:rsid w:val="00ED0769"/>
    <w:rsid w:val="00ED0D0F"/>
    <w:rsid w:val="00ED1867"/>
    <w:rsid w:val="00ED2316"/>
    <w:rsid w:val="00ED35E2"/>
    <w:rsid w:val="00EE0C8D"/>
    <w:rsid w:val="00EE10E4"/>
    <w:rsid w:val="00EE1C21"/>
    <w:rsid w:val="00EE1CE6"/>
    <w:rsid w:val="00EE2880"/>
    <w:rsid w:val="00EE37A4"/>
    <w:rsid w:val="00EE5007"/>
    <w:rsid w:val="00EE52DE"/>
    <w:rsid w:val="00EE5612"/>
    <w:rsid w:val="00EE647C"/>
    <w:rsid w:val="00EE688A"/>
    <w:rsid w:val="00EF2BA2"/>
    <w:rsid w:val="00EF5CD4"/>
    <w:rsid w:val="00EF71C7"/>
    <w:rsid w:val="00EF79CB"/>
    <w:rsid w:val="00EF7A34"/>
    <w:rsid w:val="00EF7CD0"/>
    <w:rsid w:val="00F0171A"/>
    <w:rsid w:val="00F0278E"/>
    <w:rsid w:val="00F02B9D"/>
    <w:rsid w:val="00F0409E"/>
    <w:rsid w:val="00F04CEF"/>
    <w:rsid w:val="00F04D72"/>
    <w:rsid w:val="00F04FCB"/>
    <w:rsid w:val="00F06B6F"/>
    <w:rsid w:val="00F116DF"/>
    <w:rsid w:val="00F1197B"/>
    <w:rsid w:val="00F12A14"/>
    <w:rsid w:val="00F1340B"/>
    <w:rsid w:val="00F13767"/>
    <w:rsid w:val="00F15D71"/>
    <w:rsid w:val="00F16606"/>
    <w:rsid w:val="00F16910"/>
    <w:rsid w:val="00F16FCA"/>
    <w:rsid w:val="00F17E05"/>
    <w:rsid w:val="00F20283"/>
    <w:rsid w:val="00F2056B"/>
    <w:rsid w:val="00F2218F"/>
    <w:rsid w:val="00F2385C"/>
    <w:rsid w:val="00F251C8"/>
    <w:rsid w:val="00F25EAF"/>
    <w:rsid w:val="00F2695A"/>
    <w:rsid w:val="00F30F93"/>
    <w:rsid w:val="00F32D60"/>
    <w:rsid w:val="00F33128"/>
    <w:rsid w:val="00F348FB"/>
    <w:rsid w:val="00F34BC0"/>
    <w:rsid w:val="00F35B47"/>
    <w:rsid w:val="00F4019E"/>
    <w:rsid w:val="00F40EC1"/>
    <w:rsid w:val="00F41261"/>
    <w:rsid w:val="00F42F24"/>
    <w:rsid w:val="00F43091"/>
    <w:rsid w:val="00F441C3"/>
    <w:rsid w:val="00F44B33"/>
    <w:rsid w:val="00F44F8B"/>
    <w:rsid w:val="00F450CC"/>
    <w:rsid w:val="00F46DEF"/>
    <w:rsid w:val="00F50221"/>
    <w:rsid w:val="00F50E55"/>
    <w:rsid w:val="00F51C75"/>
    <w:rsid w:val="00F53005"/>
    <w:rsid w:val="00F53679"/>
    <w:rsid w:val="00F53816"/>
    <w:rsid w:val="00F54163"/>
    <w:rsid w:val="00F54A01"/>
    <w:rsid w:val="00F555FE"/>
    <w:rsid w:val="00F6271F"/>
    <w:rsid w:val="00F6329B"/>
    <w:rsid w:val="00F63597"/>
    <w:rsid w:val="00F64ACC"/>
    <w:rsid w:val="00F66DB5"/>
    <w:rsid w:val="00F7090C"/>
    <w:rsid w:val="00F7182E"/>
    <w:rsid w:val="00F71BEF"/>
    <w:rsid w:val="00F726E4"/>
    <w:rsid w:val="00F73F01"/>
    <w:rsid w:val="00F74104"/>
    <w:rsid w:val="00F741E3"/>
    <w:rsid w:val="00F74F48"/>
    <w:rsid w:val="00F75C65"/>
    <w:rsid w:val="00F762DE"/>
    <w:rsid w:val="00F7643F"/>
    <w:rsid w:val="00F768D3"/>
    <w:rsid w:val="00F76E57"/>
    <w:rsid w:val="00F77190"/>
    <w:rsid w:val="00F7784C"/>
    <w:rsid w:val="00F8108E"/>
    <w:rsid w:val="00F811E8"/>
    <w:rsid w:val="00F82772"/>
    <w:rsid w:val="00F8312C"/>
    <w:rsid w:val="00F8381C"/>
    <w:rsid w:val="00F85BAD"/>
    <w:rsid w:val="00F86204"/>
    <w:rsid w:val="00F866A6"/>
    <w:rsid w:val="00F86A9C"/>
    <w:rsid w:val="00F87385"/>
    <w:rsid w:val="00F87925"/>
    <w:rsid w:val="00F879EB"/>
    <w:rsid w:val="00F87BA7"/>
    <w:rsid w:val="00F87C19"/>
    <w:rsid w:val="00F90687"/>
    <w:rsid w:val="00F90C88"/>
    <w:rsid w:val="00F91CA1"/>
    <w:rsid w:val="00F924EA"/>
    <w:rsid w:val="00F93121"/>
    <w:rsid w:val="00F93EBC"/>
    <w:rsid w:val="00F94B4A"/>
    <w:rsid w:val="00F95507"/>
    <w:rsid w:val="00F95A04"/>
    <w:rsid w:val="00F9640A"/>
    <w:rsid w:val="00FA0136"/>
    <w:rsid w:val="00FA0851"/>
    <w:rsid w:val="00FA0AAE"/>
    <w:rsid w:val="00FA0C0C"/>
    <w:rsid w:val="00FA166A"/>
    <w:rsid w:val="00FA2361"/>
    <w:rsid w:val="00FA2C0C"/>
    <w:rsid w:val="00FA4701"/>
    <w:rsid w:val="00FA5034"/>
    <w:rsid w:val="00FB0D0E"/>
    <w:rsid w:val="00FB30A3"/>
    <w:rsid w:val="00FB6833"/>
    <w:rsid w:val="00FB68D8"/>
    <w:rsid w:val="00FB7644"/>
    <w:rsid w:val="00FB7B63"/>
    <w:rsid w:val="00FC14D7"/>
    <w:rsid w:val="00FC37CE"/>
    <w:rsid w:val="00FC5CDD"/>
    <w:rsid w:val="00FC73CB"/>
    <w:rsid w:val="00FC78CB"/>
    <w:rsid w:val="00FC7CED"/>
    <w:rsid w:val="00FD1546"/>
    <w:rsid w:val="00FD286B"/>
    <w:rsid w:val="00FD34F0"/>
    <w:rsid w:val="00FD784E"/>
    <w:rsid w:val="00FE0547"/>
    <w:rsid w:val="00FE0E21"/>
    <w:rsid w:val="00FE2644"/>
    <w:rsid w:val="00FE2C1B"/>
    <w:rsid w:val="00FE2D45"/>
    <w:rsid w:val="00FE3B37"/>
    <w:rsid w:val="00FE4514"/>
    <w:rsid w:val="00FE7A13"/>
    <w:rsid w:val="00FF0109"/>
    <w:rsid w:val="00FF0886"/>
    <w:rsid w:val="00FF159E"/>
    <w:rsid w:val="00FF4121"/>
    <w:rsid w:val="00FF468E"/>
    <w:rsid w:val="00FF65FC"/>
    <w:rsid w:val="00FF717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8" style="mso-position-horizontal-relative:page;mso-position-vertical-relative:page" fill="f" fillcolor="white" stroke="f">
      <v:fill color="white" on="f"/>
      <v:stroke on="f"/>
    </o:shapedefaults>
    <o:shapelayout v:ext="edit">
      <o:idmap v:ext="edit" data="2"/>
    </o:shapelayout>
  </w:shapeDefaults>
  <w:decimalSymbol w:val="."/>
  <w:listSeparator w:val=","/>
  <w15:docId w15:val="{CAA132A7-C8CB-4684-97D4-F9E13773C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99" w:unhideWhenUsed="1"/>
    <w:lsdException w:name="toc 8" w:semiHidden="1" w:uiPriority="99" w:unhideWhenUsed="1"/>
    <w:lsdException w:name="toc 9" w:semiHidden="1"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Date" w:uiPriority="99"/>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579C8"/>
    <w:pPr>
      <w:jc w:val="both"/>
    </w:pPr>
    <w:rPr>
      <w:rFonts w:ascii="Verdana" w:hAnsi="Verdana"/>
      <w:color w:val="333333"/>
      <w:szCs w:val="24"/>
      <w:lang w:eastAsia="en-GB"/>
    </w:rPr>
  </w:style>
  <w:style w:type="paragraph" w:styleId="Heading1">
    <w:name w:val="heading 1"/>
    <w:aliases w:val="(Section),Large Bold,PDS TITLE,Section,Oscar Faber 1,L1,New Section,PA Chapter,heading a,Outline1,Halcrow 1,Kapittel,Numbered - 1,heading 1,Hoofdstuk,Chapter,Chapter head,CH,. (1.0),Do Not Use,Chapter Hdg,Section Heading,Heading 1 - chapter,h1"/>
    <w:basedOn w:val="Normal"/>
    <w:next w:val="Normal"/>
    <w:link w:val="Heading1Char"/>
    <w:qFormat/>
    <w:rsid w:val="00B60F8E"/>
    <w:pPr>
      <w:keepNext/>
      <w:spacing w:after="60"/>
      <w:outlineLvl w:val="0"/>
    </w:pPr>
    <w:rPr>
      <w:rFonts w:cs="Arial"/>
      <w:b/>
      <w:bCs/>
      <w:color w:val="263673"/>
      <w:kern w:val="32"/>
      <w:sz w:val="28"/>
      <w:szCs w:val="32"/>
    </w:rPr>
  </w:style>
  <w:style w:type="paragraph" w:styleId="Heading2">
    <w:name w:val="heading 2"/>
    <w:aliases w:val="h2,(SubSection),Para Nos,Para,Main Heading,Main Headi,H2,Oscar Faber 2,SUBHEADING,Heading 2a,1.1 Heading 2,Paragraaf,SZRptH2,SZRptH2 Char,Section head,L2,SH,. (1.1),Letter Level 1,Paragraph,Para ,Subheading,IntMemo Level 1,Bijlage,Major,H21,2H"/>
    <w:basedOn w:val="Normal"/>
    <w:next w:val="BodyText"/>
    <w:link w:val="Heading2Char"/>
    <w:qFormat/>
    <w:rsid w:val="00D02D0C"/>
    <w:pPr>
      <w:keepNext/>
      <w:spacing w:before="240" w:after="60"/>
      <w:outlineLvl w:val="1"/>
    </w:pPr>
    <w:rPr>
      <w:rFonts w:cs="Arial"/>
      <w:b/>
      <w:bCs/>
      <w:iCs/>
      <w:color w:val="263673"/>
      <w:sz w:val="22"/>
      <w:szCs w:val="28"/>
    </w:rPr>
  </w:style>
  <w:style w:type="paragraph" w:styleId="Heading3">
    <w:name w:val="heading 3"/>
    <w:aliases w:val="SZRptH3,note bullet,Minor,Mi,Headline,Oscar Faber 3,L3,Halcrow 3,Outline3,Minor Char,Oscar Faber 3 Char,Underavsn.,Use,Subparagraaf,3 bullet,b,2,Bullet,SECOND,B1,bullet,h3,b1,Second,bullet pt,bill,palatino,blank1,2-HEADER,second,sub1,S1"/>
    <w:basedOn w:val="Normal"/>
    <w:next w:val="BodyText"/>
    <w:link w:val="Heading3Char"/>
    <w:qFormat/>
    <w:rsid w:val="00D02D0C"/>
    <w:pPr>
      <w:keepNext/>
      <w:spacing w:before="240" w:after="60"/>
      <w:outlineLvl w:val="2"/>
    </w:pPr>
    <w:rPr>
      <w:rFonts w:cs="Arial"/>
      <w:b/>
      <w:bCs/>
      <w:color w:val="263673"/>
      <w:szCs w:val="26"/>
    </w:rPr>
  </w:style>
  <w:style w:type="paragraph" w:styleId="Heading4">
    <w:name w:val="heading 4"/>
    <w:aliases w:val="Numbered - 4,h4,ALK_K4,Level 2 - a,PA Micro Section,Oscar Faber Appendix,r Appendix,Halcrow Appendix,Appendix,Oscar Faber 4,level 4 para number,Ignore1,Kopje,gebruik vet4,OTBsubpara,titrecv,level 3 subhead,(Alt+4),H41,(Alt+4)1,H42,(Alt+4)2"/>
    <w:basedOn w:val="Heading3"/>
    <w:next w:val="BodyText"/>
    <w:link w:val="Heading4Char"/>
    <w:qFormat/>
    <w:rsid w:val="005A27C0"/>
    <w:pPr>
      <w:tabs>
        <w:tab w:val="num" w:pos="0"/>
      </w:tabs>
      <w:spacing w:before="120" w:after="0" w:line="288" w:lineRule="auto"/>
      <w:ind w:left="1134" w:hanging="1134"/>
      <w:outlineLvl w:val="3"/>
    </w:pPr>
    <w:rPr>
      <w:rFonts w:ascii="Arial" w:hAnsi="Arial"/>
      <w:b w:val="0"/>
      <w:bCs w:val="0"/>
      <w:i/>
      <w:color w:val="000000"/>
      <w:sz w:val="24"/>
      <w:szCs w:val="32"/>
    </w:rPr>
  </w:style>
  <w:style w:type="paragraph" w:styleId="Heading5">
    <w:name w:val="heading 5"/>
    <w:aliases w:val="Ignore2,Numbered - 5,Level 3 - i,Heading 5(war),DNV-H5,Block Label,Heading 5 CFMU,Para 5,h5,DO NOT USE_h5,H5,Roman list,Schedule A to X"/>
    <w:basedOn w:val="Normal"/>
    <w:next w:val="Normal"/>
    <w:link w:val="Heading5Char"/>
    <w:qFormat/>
    <w:rsid w:val="005A27C0"/>
    <w:pPr>
      <w:spacing w:before="220" w:line="288" w:lineRule="auto"/>
      <w:ind w:left="397"/>
      <w:jc w:val="left"/>
      <w:outlineLvl w:val="4"/>
    </w:pPr>
    <w:rPr>
      <w:rFonts w:ascii="Arial" w:hAnsi="Arial"/>
      <w:b/>
      <w:color w:val="auto"/>
      <w:sz w:val="24"/>
    </w:rPr>
  </w:style>
  <w:style w:type="paragraph" w:styleId="Heading6">
    <w:name w:val="heading 6"/>
    <w:aliases w:val="Do Not Use 6,L6,. (a.),Legal Level 1.,level 1 bullet"/>
    <w:basedOn w:val="Normal"/>
    <w:next w:val="Normal"/>
    <w:link w:val="Heading6Char"/>
    <w:qFormat/>
    <w:rsid w:val="005A27C0"/>
    <w:pPr>
      <w:spacing w:before="240" w:after="60" w:line="288" w:lineRule="auto"/>
      <w:ind w:left="397"/>
      <w:outlineLvl w:val="5"/>
    </w:pPr>
    <w:rPr>
      <w:rFonts w:ascii="Arial" w:hAnsi="Arial"/>
      <w:b/>
      <w:color w:val="auto"/>
      <w:lang w:eastAsia="en-US"/>
    </w:rPr>
  </w:style>
  <w:style w:type="paragraph" w:styleId="Heading7">
    <w:name w:val="heading 7"/>
    <w:aliases w:val="Do Not Use 7,L7,. [(1)],Appendix 2,Legal Level 1.1.,level 2 bullets"/>
    <w:basedOn w:val="Normal"/>
    <w:next w:val="Normal"/>
    <w:link w:val="Heading7Char"/>
    <w:qFormat/>
    <w:rsid w:val="005A27C0"/>
    <w:pPr>
      <w:spacing w:before="240" w:after="60" w:line="288" w:lineRule="auto"/>
      <w:ind w:left="397"/>
      <w:outlineLvl w:val="6"/>
    </w:pPr>
    <w:rPr>
      <w:rFonts w:ascii="Arial" w:hAnsi="Arial"/>
      <w:color w:val="auto"/>
      <w:lang w:eastAsia="en-US"/>
    </w:rPr>
  </w:style>
  <w:style w:type="paragraph" w:styleId="Heading8">
    <w:name w:val="heading 8"/>
    <w:aliases w:val="Do Not Use 8,L8,. [(a)],Appendix 3,Legal Level 1.1.1.,level 3 bullets"/>
    <w:basedOn w:val="Normal"/>
    <w:next w:val="Normal"/>
    <w:link w:val="Heading8Char"/>
    <w:qFormat/>
    <w:rsid w:val="005A27C0"/>
    <w:pPr>
      <w:spacing w:before="240" w:after="60" w:line="288" w:lineRule="auto"/>
      <w:ind w:left="397"/>
      <w:outlineLvl w:val="7"/>
    </w:pPr>
    <w:rPr>
      <w:rFonts w:ascii="Arial" w:hAnsi="Arial"/>
      <w:i/>
      <w:iCs/>
      <w:color w:val="auto"/>
      <w:lang w:eastAsia="en-US"/>
    </w:rPr>
  </w:style>
  <w:style w:type="paragraph" w:styleId="Heading9">
    <w:name w:val="heading 9"/>
    <w:aliases w:val="Do Not Use 9,L9,. [(iii)],Appendix 4,Legal Level 1.1.1.1."/>
    <w:basedOn w:val="Normal"/>
    <w:next w:val="Normal"/>
    <w:link w:val="Heading9Char"/>
    <w:qFormat/>
    <w:rsid w:val="005A27C0"/>
    <w:pPr>
      <w:spacing w:before="240" w:after="60" w:line="288" w:lineRule="auto"/>
      <w:ind w:left="397"/>
      <w:outlineLvl w:val="8"/>
    </w:pPr>
    <w:rPr>
      <w:rFonts w:ascii="Arial" w:hAnsi="Arial" w:cs="Arial"/>
      <w:color w:val="auto"/>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rsid w:val="00A579C8"/>
  </w:style>
  <w:style w:type="paragraph" w:styleId="BodyText">
    <w:name w:val="Body Text"/>
    <w:aliases w:val="Body Text template style,Body Text2,Body single,Corpo testo-n,Corpo del testo-n,bt,body text,BodyText,body,text,Body Text2 Char Char Char, Char Char Char Char, Char Char Char, Char Char Char Char Char Char Char,Char Char Char Char,Ch,Car"/>
    <w:basedOn w:val="Normal"/>
    <w:link w:val="BodyTextChar"/>
    <w:qFormat/>
    <w:rsid w:val="00D13C59"/>
    <w:pPr>
      <w:spacing w:after="120"/>
    </w:pPr>
  </w:style>
  <w:style w:type="character" w:styleId="Hyperlink">
    <w:name w:val="Hyperlink"/>
    <w:uiPriority w:val="99"/>
    <w:rsid w:val="00A579C8"/>
    <w:rPr>
      <w:rFonts w:ascii="Verdana" w:hAnsi="Verdana"/>
      <w:color w:val="1A3F7C"/>
      <w:sz w:val="20"/>
      <w:u w:val="none"/>
    </w:rPr>
  </w:style>
  <w:style w:type="paragraph" w:styleId="ListNumber">
    <w:name w:val="List Number"/>
    <w:aliases w:val="List Number Justified"/>
    <w:basedOn w:val="Normal"/>
    <w:uiPriority w:val="99"/>
    <w:rsid w:val="00A579C8"/>
    <w:pPr>
      <w:numPr>
        <w:numId w:val="3"/>
      </w:numPr>
    </w:pPr>
  </w:style>
  <w:style w:type="paragraph" w:styleId="ListBullet2">
    <w:name w:val="List Bullet 2"/>
    <w:basedOn w:val="Normal"/>
    <w:link w:val="ListBullet2Char"/>
    <w:uiPriority w:val="99"/>
    <w:rsid w:val="00EB58BA"/>
    <w:pPr>
      <w:numPr>
        <w:numId w:val="10"/>
      </w:numPr>
      <w:spacing w:before="60" w:after="60"/>
      <w:jc w:val="left"/>
    </w:pPr>
  </w:style>
  <w:style w:type="paragraph" w:styleId="ListNumber2">
    <w:name w:val="List Number 2"/>
    <w:basedOn w:val="Normal"/>
    <w:uiPriority w:val="99"/>
    <w:rsid w:val="00A579C8"/>
    <w:pPr>
      <w:numPr>
        <w:numId w:val="4"/>
      </w:numPr>
      <w:spacing w:before="80" w:after="80"/>
    </w:pPr>
  </w:style>
  <w:style w:type="paragraph" w:styleId="ListNumber4">
    <w:name w:val="List Number 4"/>
    <w:basedOn w:val="Normal"/>
    <w:rsid w:val="00A579C8"/>
    <w:pPr>
      <w:numPr>
        <w:numId w:val="6"/>
      </w:numPr>
    </w:pPr>
  </w:style>
  <w:style w:type="paragraph" w:styleId="ListNumber3">
    <w:name w:val="List Number 3"/>
    <w:basedOn w:val="Normal"/>
    <w:uiPriority w:val="99"/>
    <w:rsid w:val="00A579C8"/>
    <w:pPr>
      <w:numPr>
        <w:numId w:val="5"/>
      </w:numPr>
    </w:pPr>
  </w:style>
  <w:style w:type="character" w:customStyle="1" w:styleId="HeaderChar">
    <w:name w:val="Header Char"/>
    <w:link w:val="Header"/>
    <w:uiPriority w:val="99"/>
    <w:rsid w:val="00D13C59"/>
    <w:rPr>
      <w:rFonts w:ascii="Verdana" w:hAnsi="Verdana"/>
      <w:i/>
      <w:color w:val="000000"/>
      <w:sz w:val="16"/>
      <w:szCs w:val="24"/>
      <w:lang w:val="en-GB" w:eastAsia="en-GB" w:bidi="ar-SA"/>
    </w:rPr>
  </w:style>
  <w:style w:type="paragraph" w:styleId="NormalIndent">
    <w:name w:val="Normal Indent"/>
    <w:basedOn w:val="Normal"/>
    <w:uiPriority w:val="99"/>
    <w:rsid w:val="00A579C8"/>
    <w:pPr>
      <w:ind w:left="720"/>
    </w:pPr>
  </w:style>
  <w:style w:type="paragraph" w:customStyle="1" w:styleId="StyleListNumberListNumberJustifiedCustomColorRGB266312">
    <w:name w:val="Style List NumberList Number Justified + Custom Color(RGB(266312..."/>
    <w:basedOn w:val="ListNumber"/>
    <w:rsid w:val="00B41BBD"/>
    <w:pPr>
      <w:ind w:left="0" w:firstLine="0"/>
    </w:pPr>
    <w:rPr>
      <w:szCs w:val="20"/>
    </w:rPr>
  </w:style>
  <w:style w:type="paragraph" w:styleId="Footer">
    <w:name w:val="footer"/>
    <w:basedOn w:val="FootnoteText"/>
    <w:link w:val="FooterChar"/>
    <w:uiPriority w:val="99"/>
    <w:rsid w:val="00D13C59"/>
    <w:pPr>
      <w:tabs>
        <w:tab w:val="center" w:pos="4153"/>
        <w:tab w:val="right" w:pos="8306"/>
      </w:tabs>
    </w:pPr>
    <w:rPr>
      <w:i/>
      <w:color w:val="808080"/>
      <w:sz w:val="16"/>
    </w:rPr>
  </w:style>
  <w:style w:type="paragraph" w:styleId="Header">
    <w:name w:val="header"/>
    <w:basedOn w:val="Normal"/>
    <w:link w:val="HeaderChar"/>
    <w:uiPriority w:val="99"/>
    <w:rsid w:val="00D13C59"/>
    <w:pPr>
      <w:tabs>
        <w:tab w:val="center" w:pos="4153"/>
        <w:tab w:val="right" w:pos="8306"/>
      </w:tabs>
    </w:pPr>
    <w:rPr>
      <w:i/>
      <w:color w:val="000000"/>
      <w:sz w:val="16"/>
    </w:rPr>
  </w:style>
  <w:style w:type="paragraph" w:styleId="Date">
    <w:name w:val="Date"/>
    <w:basedOn w:val="Normal"/>
    <w:next w:val="Normal"/>
    <w:link w:val="DateChar"/>
    <w:uiPriority w:val="99"/>
    <w:rsid w:val="00D13C59"/>
    <w:rPr>
      <w:color w:val="808080"/>
      <w:sz w:val="16"/>
    </w:rPr>
  </w:style>
  <w:style w:type="paragraph" w:styleId="ListNumber5">
    <w:name w:val="List Number 5"/>
    <w:basedOn w:val="Normal"/>
    <w:rsid w:val="00A579C8"/>
    <w:pPr>
      <w:numPr>
        <w:numId w:val="7"/>
      </w:numPr>
    </w:pPr>
  </w:style>
  <w:style w:type="table" w:styleId="Table3Deffects1">
    <w:name w:val="Table 3D effects 1"/>
    <w:basedOn w:val="TableNormal"/>
    <w:rsid w:val="00527526"/>
    <w:rPr>
      <w:rFonts w:ascii="Verdana" w:hAnsi="Verdana"/>
      <w:color w:val="333333"/>
    </w:rPr>
    <w:tblPr>
      <w:tblCellSpacing w:w="14" w:type="dxa"/>
    </w:tblPr>
    <w:trPr>
      <w:tblCellSpacing w:w="14" w:type="dxa"/>
    </w:tr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527526"/>
    <w:rPr>
      <w:rFonts w:ascii="Verdana" w:hAnsi="Verdana"/>
      <w:color w:val="333333"/>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527526"/>
    <w:rPr>
      <w:rFonts w:ascii="Verdana" w:hAnsi="Verdana"/>
      <w:color w:val="333333"/>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styleId="PageNumber">
    <w:name w:val="page number"/>
    <w:rsid w:val="00D13C59"/>
    <w:rPr>
      <w:rFonts w:ascii="Verdana" w:hAnsi="Verdana"/>
      <w:color w:val="333333"/>
      <w:sz w:val="20"/>
    </w:rPr>
  </w:style>
  <w:style w:type="character" w:customStyle="1" w:styleId="Heading2Char">
    <w:name w:val="Heading 2 Char"/>
    <w:aliases w:val="h2 Char,(SubSection) Char,Para Nos Char,Para Char,Main Heading Char,Main Headi Char,H2 Char,Oscar Faber 2 Char,SUBHEADING Char,Heading 2a Char,1.1 Heading 2 Char,Paragraaf Char,SZRptH2 Char1,SZRptH2 Char Char,Section head Char,L2 Char"/>
    <w:link w:val="Heading2"/>
    <w:rsid w:val="00D02D0C"/>
    <w:rPr>
      <w:rFonts w:ascii="Verdana" w:hAnsi="Verdana" w:cs="Arial"/>
      <w:b/>
      <w:bCs/>
      <w:iCs/>
      <w:color w:val="263673"/>
      <w:sz w:val="22"/>
      <w:szCs w:val="28"/>
      <w:lang w:val="en-GB" w:eastAsia="en-GB" w:bidi="ar-SA"/>
    </w:rPr>
  </w:style>
  <w:style w:type="paragraph" w:customStyle="1" w:styleId="StyleBodyTextAfter0pt">
    <w:name w:val="Style Body Text + After:  0 pt"/>
    <w:basedOn w:val="BodyText"/>
    <w:link w:val="StyleBodyTextAfter0ptChar"/>
    <w:rsid w:val="00003AD6"/>
    <w:pPr>
      <w:spacing w:after="0"/>
    </w:pPr>
    <w:rPr>
      <w:szCs w:val="20"/>
    </w:rPr>
  </w:style>
  <w:style w:type="paragraph" w:customStyle="1" w:styleId="StyleStyleBulleted10ptCustomColorRGB12311170Left">
    <w:name w:val="Style Style Bulleted 10 pt Custom Color(RGB(12311170)) + Left"/>
    <w:basedOn w:val="Normal"/>
    <w:rsid w:val="00A579C8"/>
    <w:pPr>
      <w:numPr>
        <w:numId w:val="8"/>
      </w:numPr>
      <w:spacing w:after="220"/>
      <w:ind w:left="360"/>
      <w:jc w:val="left"/>
    </w:pPr>
    <w:rPr>
      <w:color w:val="000000"/>
    </w:rPr>
  </w:style>
  <w:style w:type="character" w:customStyle="1" w:styleId="BodyTextChar">
    <w:name w:val="Body Text Char"/>
    <w:aliases w:val="Body Text template style Char,Body Text2 Char,Body single Char,Corpo testo-n Char,Corpo del testo-n Char,bt Char,body text Char,BodyText Char,body Char,text Char,Body Text2 Char Char Char Char, Char Char Char Char Char,Ch Char,Car Char"/>
    <w:link w:val="BodyText"/>
    <w:rsid w:val="00D13C59"/>
    <w:rPr>
      <w:rFonts w:ascii="Verdana" w:hAnsi="Verdana"/>
      <w:color w:val="333333"/>
      <w:szCs w:val="24"/>
      <w:lang w:val="en-GB" w:eastAsia="en-GB" w:bidi="ar-SA"/>
    </w:rPr>
  </w:style>
  <w:style w:type="paragraph" w:customStyle="1" w:styleId="StyleListBulletListBulletJustifiedLeft">
    <w:name w:val="Style List BulletList Bullet Justified + Left"/>
    <w:basedOn w:val="Normal"/>
    <w:rsid w:val="00E248C6"/>
    <w:pPr>
      <w:numPr>
        <w:numId w:val="1"/>
      </w:numPr>
      <w:spacing w:before="80" w:after="80"/>
      <w:jc w:val="left"/>
    </w:pPr>
    <w:rPr>
      <w:szCs w:val="20"/>
    </w:rPr>
  </w:style>
  <w:style w:type="paragraph" w:styleId="FootnoteText">
    <w:name w:val="footnote text"/>
    <w:aliases w:val="Voetnoottekst Char1,Voetnoottekst Char Char,Voetnoottekst Char2 Char Char,Voetnoottekst Char1 Char Char Char,Voetnoottekst Char Char Char Char Char,Voetnoottekst Char2 Char Char Char Char Char,Voetnoottekst Char3 Char Char,Tekst przypisu,f"/>
    <w:basedOn w:val="Normal"/>
    <w:link w:val="FootnoteTextChar"/>
    <w:uiPriority w:val="99"/>
    <w:qFormat/>
    <w:rsid w:val="004D5591"/>
    <w:rPr>
      <w:szCs w:val="20"/>
    </w:rPr>
  </w:style>
  <w:style w:type="paragraph" w:styleId="TOC2">
    <w:name w:val="toc 2"/>
    <w:basedOn w:val="Normal"/>
    <w:next w:val="Normal"/>
    <w:autoRedefine/>
    <w:uiPriority w:val="39"/>
    <w:rsid w:val="003A6B85"/>
    <w:pPr>
      <w:tabs>
        <w:tab w:val="right" w:leader="dot" w:pos="8789"/>
      </w:tabs>
      <w:ind w:left="200"/>
    </w:pPr>
  </w:style>
  <w:style w:type="paragraph" w:styleId="TOC1">
    <w:name w:val="toc 1"/>
    <w:basedOn w:val="Normal"/>
    <w:next w:val="Normal"/>
    <w:autoRedefine/>
    <w:uiPriority w:val="39"/>
    <w:rsid w:val="00B60F8E"/>
    <w:pPr>
      <w:tabs>
        <w:tab w:val="right" w:leader="dot" w:pos="8777"/>
      </w:tabs>
    </w:pPr>
  </w:style>
  <w:style w:type="table" w:styleId="TableProfessional">
    <w:name w:val="Table Professional"/>
    <w:basedOn w:val="TableNormal"/>
    <w:rsid w:val="00527526"/>
    <w:pPr>
      <w:jc w:val="both"/>
    </w:pPr>
    <w:rPr>
      <w:rFonts w:ascii="Verdana" w:hAnsi="Verdana"/>
      <w:color w:val="333333"/>
    </w:rPr>
    <w:tblPr>
      <w:tblBorders>
        <w:top w:val="single" w:sz="6" w:space="0" w:color="333333"/>
        <w:left w:val="single" w:sz="6" w:space="0" w:color="333333"/>
        <w:bottom w:val="single" w:sz="6" w:space="0" w:color="333333"/>
        <w:right w:val="single" w:sz="6" w:space="0" w:color="333333"/>
        <w:insideH w:val="single" w:sz="6" w:space="0" w:color="333333"/>
        <w:insideV w:val="single" w:sz="6" w:space="0" w:color="333333"/>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numbering" w:customStyle="1" w:styleId="Style2">
    <w:name w:val="Style2"/>
    <w:basedOn w:val="NoList"/>
    <w:rsid w:val="00B103AE"/>
    <w:pPr>
      <w:numPr>
        <w:numId w:val="9"/>
      </w:numPr>
    </w:pPr>
  </w:style>
  <w:style w:type="paragraph" w:customStyle="1" w:styleId="StyleHeading1VerdanaAuto">
    <w:name w:val="Style Heading 1 + Verdana Auto"/>
    <w:basedOn w:val="Heading1"/>
    <w:rsid w:val="00D02D0C"/>
  </w:style>
  <w:style w:type="paragraph" w:customStyle="1" w:styleId="StyleHeading1VerdanaAuto1">
    <w:name w:val="Style Heading 1 + Verdana Auto1"/>
    <w:basedOn w:val="Heading1"/>
    <w:rsid w:val="00D02D0C"/>
  </w:style>
  <w:style w:type="paragraph" w:customStyle="1" w:styleId="StyleHeading2VerdanaAuto">
    <w:name w:val="Style Heading 2 + Verdana Auto"/>
    <w:basedOn w:val="Heading2"/>
    <w:rsid w:val="00A579C8"/>
    <w:rPr>
      <w:iCs w:val="0"/>
    </w:rPr>
  </w:style>
  <w:style w:type="paragraph" w:customStyle="1" w:styleId="StyleListBullet2">
    <w:name w:val="Style List Bullet 2 +"/>
    <w:basedOn w:val="ListBullet2"/>
    <w:link w:val="StyleListBullet2Char"/>
    <w:rsid w:val="00A579C8"/>
  </w:style>
  <w:style w:type="character" w:customStyle="1" w:styleId="ListBullet2Char">
    <w:name w:val="List Bullet 2 Char"/>
    <w:link w:val="ListBullet2"/>
    <w:uiPriority w:val="99"/>
    <w:rsid w:val="00A579C8"/>
    <w:rPr>
      <w:rFonts w:ascii="Verdana" w:hAnsi="Verdana"/>
      <w:color w:val="333333"/>
      <w:szCs w:val="24"/>
      <w:lang w:eastAsia="en-GB"/>
    </w:rPr>
  </w:style>
  <w:style w:type="character" w:customStyle="1" w:styleId="StyleListBullet2Char">
    <w:name w:val="Style List Bullet 2 + Char"/>
    <w:basedOn w:val="ListBullet2Char"/>
    <w:link w:val="StyleListBullet2"/>
    <w:rsid w:val="00A579C8"/>
    <w:rPr>
      <w:rFonts w:ascii="Verdana" w:hAnsi="Verdana"/>
      <w:color w:val="333333"/>
      <w:szCs w:val="24"/>
      <w:lang w:eastAsia="en-GB"/>
    </w:rPr>
  </w:style>
  <w:style w:type="paragraph" w:customStyle="1" w:styleId="StyleStyleBodyTextAfter0ptVerdana">
    <w:name w:val="Style Style Body Text + After:  0 pt + Verdana"/>
    <w:basedOn w:val="StyleBodyTextAfter0pt"/>
    <w:link w:val="StyleStyleBodyTextAfter0ptVerdanaChar"/>
    <w:rsid w:val="00A579C8"/>
  </w:style>
  <w:style w:type="character" w:customStyle="1" w:styleId="StyleBodyTextAfter0ptChar">
    <w:name w:val="Style Body Text + After:  0 pt Char"/>
    <w:basedOn w:val="BodyTextChar"/>
    <w:link w:val="StyleBodyTextAfter0pt"/>
    <w:rsid w:val="00A579C8"/>
    <w:rPr>
      <w:rFonts w:ascii="Verdana" w:hAnsi="Verdana"/>
      <w:color w:val="333333"/>
      <w:szCs w:val="24"/>
      <w:lang w:val="en-GB" w:eastAsia="en-GB" w:bidi="ar-SA"/>
    </w:rPr>
  </w:style>
  <w:style w:type="character" w:customStyle="1" w:styleId="StyleStyleBodyTextAfter0ptVerdanaChar">
    <w:name w:val="Style Style Body Text + After:  0 pt + Verdana Char"/>
    <w:basedOn w:val="StyleBodyTextAfter0ptChar"/>
    <w:link w:val="StyleStyleBodyTextAfter0ptVerdana"/>
    <w:rsid w:val="00A579C8"/>
    <w:rPr>
      <w:rFonts w:ascii="Verdana" w:hAnsi="Verdana"/>
      <w:color w:val="333333"/>
      <w:szCs w:val="24"/>
      <w:lang w:val="en-GB" w:eastAsia="en-GB" w:bidi="ar-SA"/>
    </w:rPr>
  </w:style>
  <w:style w:type="paragraph" w:customStyle="1" w:styleId="StyleStyleBodyTextAfter0ptVerdanaBold">
    <w:name w:val="Style Style Body Text + After:  0 pt + Verdana Bold"/>
    <w:basedOn w:val="StyleBodyTextAfter0pt"/>
    <w:link w:val="StyleStyleBodyTextAfter0ptVerdanaBoldChar"/>
    <w:rsid w:val="00A579C8"/>
    <w:rPr>
      <w:b/>
      <w:bCs/>
    </w:rPr>
  </w:style>
  <w:style w:type="character" w:customStyle="1" w:styleId="StyleStyleBodyTextAfter0ptVerdanaBoldChar">
    <w:name w:val="Style Style Body Text + After:  0 pt + Verdana Bold Char"/>
    <w:link w:val="StyleStyleBodyTextAfter0ptVerdanaBold"/>
    <w:rsid w:val="00A579C8"/>
    <w:rPr>
      <w:rFonts w:ascii="Verdana" w:hAnsi="Verdana"/>
      <w:b/>
      <w:bCs/>
      <w:color w:val="333333"/>
      <w:szCs w:val="24"/>
      <w:lang w:val="en-GB" w:eastAsia="en-GB" w:bidi="ar-SA"/>
    </w:rPr>
  </w:style>
  <w:style w:type="paragraph" w:customStyle="1" w:styleId="StyleStyleBodyTextAfter0ptVerdanaBoldAuto">
    <w:name w:val="Style Style Body Text + After:  0 pt + Verdana Bold Auto"/>
    <w:basedOn w:val="StyleBodyTextAfter0pt"/>
    <w:link w:val="StyleStyleBodyTextAfter0ptVerdanaBoldAutoChar"/>
    <w:rsid w:val="00A579C8"/>
    <w:rPr>
      <w:b/>
      <w:bCs/>
      <w:color w:val="auto"/>
    </w:rPr>
  </w:style>
  <w:style w:type="character" w:customStyle="1" w:styleId="StyleStyleBodyTextAfter0ptVerdanaBoldAutoChar">
    <w:name w:val="Style Style Body Text + After:  0 pt + Verdana Bold Auto Char"/>
    <w:link w:val="StyleStyleBodyTextAfter0ptVerdanaBoldAuto"/>
    <w:rsid w:val="00A579C8"/>
    <w:rPr>
      <w:rFonts w:ascii="Verdana" w:hAnsi="Verdana"/>
      <w:b/>
      <w:bCs/>
      <w:color w:val="333333"/>
      <w:szCs w:val="24"/>
      <w:lang w:val="en-GB" w:eastAsia="en-GB" w:bidi="ar-SA"/>
    </w:rPr>
  </w:style>
  <w:style w:type="character" w:customStyle="1" w:styleId="Heading1Char">
    <w:name w:val="Heading 1 Char"/>
    <w:aliases w:val="(Section) Char,Large Bold Char,PDS TITLE Char,Section Char,Oscar Faber 1 Char,L1 Char,New Section Char,PA Chapter Char,heading a Char,Outline1 Char,Halcrow 1 Char,Kapittel Char,Numbered - 1 Char,heading 1 Char,Hoofdstuk Char,Chapter Char"/>
    <w:link w:val="Heading1"/>
    <w:rsid w:val="00B60F8E"/>
    <w:rPr>
      <w:rFonts w:ascii="Verdana" w:hAnsi="Verdana" w:cs="Arial"/>
      <w:b/>
      <w:bCs/>
      <w:color w:val="263673"/>
      <w:kern w:val="32"/>
      <w:sz w:val="28"/>
      <w:szCs w:val="32"/>
      <w:lang w:eastAsia="en-GB"/>
    </w:rPr>
  </w:style>
  <w:style w:type="paragraph" w:customStyle="1" w:styleId="StyleHeading1Gray-80">
    <w:name w:val="Style Heading 1 + Gray-80%"/>
    <w:basedOn w:val="Heading1"/>
    <w:link w:val="StyleHeading1Gray-80Char"/>
    <w:rsid w:val="00D02D0C"/>
  </w:style>
  <w:style w:type="character" w:customStyle="1" w:styleId="StyleHeading1Gray-80Char">
    <w:name w:val="Style Heading 1 + Gray-80% Char"/>
    <w:basedOn w:val="Heading1Char"/>
    <w:link w:val="StyleHeading1Gray-80"/>
    <w:rsid w:val="00D02D0C"/>
    <w:rPr>
      <w:rFonts w:ascii="Verdana" w:hAnsi="Verdana" w:cs="Arial"/>
      <w:b/>
      <w:bCs/>
      <w:color w:val="263673"/>
      <w:kern w:val="32"/>
      <w:sz w:val="28"/>
      <w:szCs w:val="32"/>
      <w:lang w:eastAsia="en-GB"/>
    </w:rPr>
  </w:style>
  <w:style w:type="paragraph" w:customStyle="1" w:styleId="StyleHeading1Auto">
    <w:name w:val="Style Heading 1 + Auto"/>
    <w:basedOn w:val="Heading1"/>
    <w:rsid w:val="00D02D0C"/>
  </w:style>
  <w:style w:type="character" w:customStyle="1" w:styleId="FooterChar">
    <w:name w:val="Footer Char"/>
    <w:link w:val="Footer"/>
    <w:uiPriority w:val="99"/>
    <w:rsid w:val="00CF6094"/>
    <w:rPr>
      <w:rFonts w:ascii="Verdana" w:hAnsi="Verdana"/>
      <w:i/>
      <w:color w:val="808080"/>
      <w:sz w:val="16"/>
    </w:rPr>
  </w:style>
  <w:style w:type="paragraph" w:styleId="BalloonText">
    <w:name w:val="Balloon Text"/>
    <w:basedOn w:val="Normal"/>
    <w:link w:val="BalloonTextChar"/>
    <w:uiPriority w:val="99"/>
    <w:rsid w:val="00CF6094"/>
    <w:rPr>
      <w:rFonts w:ascii="Tahoma" w:hAnsi="Tahoma" w:cs="Tahoma"/>
      <w:sz w:val="16"/>
      <w:szCs w:val="16"/>
    </w:rPr>
  </w:style>
  <w:style w:type="character" w:customStyle="1" w:styleId="BalloonTextChar">
    <w:name w:val="Balloon Text Char"/>
    <w:link w:val="BalloonText"/>
    <w:uiPriority w:val="99"/>
    <w:rsid w:val="00CF6094"/>
    <w:rPr>
      <w:rFonts w:ascii="Tahoma" w:hAnsi="Tahoma" w:cs="Tahoma"/>
      <w:color w:val="333333"/>
      <w:sz w:val="16"/>
      <w:szCs w:val="16"/>
    </w:rPr>
  </w:style>
  <w:style w:type="paragraph" w:styleId="ListParagraph">
    <w:name w:val="List Paragraph"/>
    <w:aliases w:val="List Paragraph1,Lijstalinea,Heading 2_sj,1st level - Bullet List Paragraph,Lettre d'introduction,Normal bullet 2,Bullet list"/>
    <w:basedOn w:val="Normal"/>
    <w:link w:val="ListParagraphChar"/>
    <w:uiPriority w:val="34"/>
    <w:qFormat/>
    <w:rsid w:val="008F2FE9"/>
    <w:pPr>
      <w:numPr>
        <w:numId w:val="11"/>
      </w:numPr>
    </w:pPr>
  </w:style>
  <w:style w:type="paragraph" w:styleId="NoSpacing">
    <w:name w:val="No Spacing"/>
    <w:link w:val="NoSpacingChar"/>
    <w:uiPriority w:val="1"/>
    <w:qFormat/>
    <w:rsid w:val="005C3A30"/>
    <w:rPr>
      <w:rFonts w:ascii="Calibri" w:eastAsia="MS Mincho" w:hAnsi="Calibri" w:cs="Arial"/>
      <w:sz w:val="22"/>
      <w:szCs w:val="22"/>
      <w:lang w:val="en-US" w:eastAsia="ja-JP"/>
    </w:rPr>
  </w:style>
  <w:style w:type="character" w:customStyle="1" w:styleId="NoSpacingChar">
    <w:name w:val="No Spacing Char"/>
    <w:link w:val="NoSpacing"/>
    <w:uiPriority w:val="1"/>
    <w:rsid w:val="005C3A30"/>
    <w:rPr>
      <w:rFonts w:ascii="Calibri" w:eastAsia="MS Mincho" w:hAnsi="Calibri" w:cs="Arial"/>
      <w:sz w:val="22"/>
      <w:szCs w:val="22"/>
      <w:lang w:val="en-US" w:eastAsia="ja-JP"/>
    </w:rPr>
  </w:style>
  <w:style w:type="paragraph" w:customStyle="1" w:styleId="AnnexHeading">
    <w:name w:val="AnnexHeading"/>
    <w:basedOn w:val="Normal"/>
    <w:next w:val="Normal"/>
    <w:uiPriority w:val="6"/>
    <w:qFormat/>
    <w:rsid w:val="00930BFF"/>
    <w:pPr>
      <w:keepNext/>
      <w:pageBreakBefore/>
      <w:numPr>
        <w:numId w:val="13"/>
      </w:numPr>
      <w:spacing w:after="240" w:line="240" w:lineRule="atLeast"/>
      <w:jc w:val="left"/>
    </w:pPr>
    <w:rPr>
      <w:rFonts w:ascii="Calibri" w:eastAsia="Calibri" w:hAnsi="Calibri"/>
      <w:b/>
      <w:color w:val="0067AC"/>
      <w:sz w:val="32"/>
      <w:lang w:eastAsia="en-US"/>
    </w:rPr>
  </w:style>
  <w:style w:type="paragraph" w:customStyle="1" w:styleId="AnnexH2">
    <w:name w:val="AnnexH2"/>
    <w:basedOn w:val="Normal"/>
    <w:next w:val="BodyText"/>
    <w:uiPriority w:val="6"/>
    <w:qFormat/>
    <w:rsid w:val="00930BFF"/>
    <w:pPr>
      <w:keepNext/>
      <w:numPr>
        <w:ilvl w:val="1"/>
        <w:numId w:val="13"/>
      </w:numPr>
      <w:spacing w:before="200" w:after="120" w:line="240" w:lineRule="atLeast"/>
      <w:jc w:val="left"/>
    </w:pPr>
    <w:rPr>
      <w:rFonts w:ascii="Calibri" w:eastAsia="Calibri" w:hAnsi="Calibri"/>
      <w:b/>
      <w:color w:val="0067AC"/>
      <w:sz w:val="26"/>
      <w:lang w:eastAsia="en-US"/>
    </w:rPr>
  </w:style>
  <w:style w:type="paragraph" w:customStyle="1" w:styleId="AnnexH3">
    <w:name w:val="AnnexH3"/>
    <w:basedOn w:val="Normal"/>
    <w:next w:val="BodyText"/>
    <w:uiPriority w:val="6"/>
    <w:qFormat/>
    <w:rsid w:val="00930BFF"/>
    <w:pPr>
      <w:keepNext/>
      <w:numPr>
        <w:ilvl w:val="2"/>
        <w:numId w:val="13"/>
      </w:numPr>
      <w:spacing w:before="200" w:after="120" w:line="240" w:lineRule="atLeast"/>
      <w:jc w:val="left"/>
    </w:pPr>
    <w:rPr>
      <w:rFonts w:ascii="Calibri" w:eastAsia="Calibri" w:hAnsi="Calibri"/>
      <w:b/>
      <w:color w:val="0067AC"/>
      <w:sz w:val="22"/>
      <w:lang w:eastAsia="en-US"/>
    </w:rPr>
  </w:style>
  <w:style w:type="paragraph" w:customStyle="1" w:styleId="AnnexH4">
    <w:name w:val="AnnexH4"/>
    <w:basedOn w:val="Normal"/>
    <w:next w:val="BodyText"/>
    <w:uiPriority w:val="6"/>
    <w:qFormat/>
    <w:rsid w:val="00930BFF"/>
    <w:pPr>
      <w:keepNext/>
      <w:numPr>
        <w:ilvl w:val="3"/>
        <w:numId w:val="13"/>
      </w:numPr>
      <w:spacing w:before="120" w:after="120" w:line="240" w:lineRule="atLeast"/>
      <w:jc w:val="left"/>
    </w:pPr>
    <w:rPr>
      <w:rFonts w:ascii="Calibri" w:eastAsia="Calibri" w:hAnsi="Calibri"/>
      <w:b/>
      <w:i/>
      <w:color w:val="0067AC"/>
      <w:sz w:val="22"/>
      <w:lang w:eastAsia="en-US"/>
    </w:rPr>
  </w:style>
  <w:style w:type="paragraph" w:customStyle="1" w:styleId="AnnexTable">
    <w:name w:val="AnnexTable"/>
    <w:basedOn w:val="Normal"/>
    <w:next w:val="BodyText"/>
    <w:uiPriority w:val="6"/>
    <w:qFormat/>
    <w:rsid w:val="00930BFF"/>
    <w:pPr>
      <w:keepNext/>
      <w:numPr>
        <w:ilvl w:val="4"/>
        <w:numId w:val="13"/>
      </w:numPr>
      <w:spacing w:before="120" w:after="120" w:line="240" w:lineRule="atLeast"/>
      <w:jc w:val="left"/>
    </w:pPr>
    <w:rPr>
      <w:rFonts w:ascii="Calibri" w:eastAsia="Calibri" w:hAnsi="Calibri"/>
      <w:b/>
      <w:color w:val="0067AC"/>
      <w:lang w:eastAsia="en-US"/>
    </w:rPr>
  </w:style>
  <w:style w:type="paragraph" w:customStyle="1" w:styleId="AnnexFigure">
    <w:name w:val="AnnexFigure"/>
    <w:basedOn w:val="Normal"/>
    <w:next w:val="BodyText"/>
    <w:uiPriority w:val="6"/>
    <w:qFormat/>
    <w:rsid w:val="00930BFF"/>
    <w:pPr>
      <w:keepNext/>
      <w:numPr>
        <w:ilvl w:val="5"/>
        <w:numId w:val="13"/>
      </w:numPr>
      <w:spacing w:before="120" w:after="120" w:line="240" w:lineRule="atLeast"/>
      <w:jc w:val="left"/>
    </w:pPr>
    <w:rPr>
      <w:rFonts w:ascii="Calibri" w:eastAsia="Calibri" w:hAnsi="Calibri"/>
      <w:b/>
      <w:color w:val="0067AC"/>
      <w:lang w:eastAsia="en-US"/>
    </w:rPr>
  </w:style>
  <w:style w:type="numbering" w:customStyle="1" w:styleId="NumbLstAnnex">
    <w:name w:val="NumbLstAnnex"/>
    <w:uiPriority w:val="99"/>
    <w:rsid w:val="00930BFF"/>
    <w:pPr>
      <w:numPr>
        <w:numId w:val="12"/>
      </w:numPr>
    </w:pPr>
  </w:style>
  <w:style w:type="paragraph" w:customStyle="1" w:styleId="Body">
    <w:name w:val="Body"/>
    <w:basedOn w:val="Normal"/>
    <w:link w:val="BodyChar"/>
    <w:qFormat/>
    <w:rsid w:val="00B02883"/>
    <w:pPr>
      <w:spacing w:after="240"/>
      <w:jc w:val="left"/>
    </w:pPr>
    <w:rPr>
      <w:color w:val="auto"/>
      <w:sz w:val="18"/>
      <w:szCs w:val="20"/>
      <w:lang w:val="fr-FR" w:eastAsia="en-US"/>
    </w:rPr>
  </w:style>
  <w:style w:type="character" w:customStyle="1" w:styleId="BodyChar">
    <w:name w:val="Body Char"/>
    <w:link w:val="Body"/>
    <w:rsid w:val="00B02883"/>
    <w:rPr>
      <w:rFonts w:ascii="Verdana" w:hAnsi="Verdana"/>
      <w:sz w:val="18"/>
      <w:lang w:val="fr-FR" w:eastAsia="en-US"/>
    </w:rPr>
  </w:style>
  <w:style w:type="paragraph" w:customStyle="1" w:styleId="HeadingBody">
    <w:name w:val="Heading Body"/>
    <w:basedOn w:val="Normal"/>
    <w:link w:val="HeadingBodyChar"/>
    <w:qFormat/>
    <w:rsid w:val="00B02883"/>
    <w:pPr>
      <w:spacing w:after="120"/>
    </w:pPr>
    <w:rPr>
      <w:b/>
      <w:color w:val="auto"/>
      <w:szCs w:val="18"/>
      <w:lang w:eastAsia="en-US"/>
    </w:rPr>
  </w:style>
  <w:style w:type="character" w:customStyle="1" w:styleId="HeadingBodyChar">
    <w:name w:val="Heading Body Char"/>
    <w:link w:val="HeadingBody"/>
    <w:rsid w:val="00B02883"/>
    <w:rPr>
      <w:rFonts w:ascii="Verdana" w:hAnsi="Verdana"/>
      <w:b/>
      <w:szCs w:val="18"/>
      <w:lang w:eastAsia="en-US"/>
    </w:rPr>
  </w:style>
  <w:style w:type="paragraph" w:customStyle="1" w:styleId="Titlepublication">
    <w:name w:val="Title publication"/>
    <w:basedOn w:val="Normal"/>
    <w:link w:val="TitlepublicationChar"/>
    <w:qFormat/>
    <w:rsid w:val="00B02883"/>
    <w:pPr>
      <w:spacing w:after="240"/>
      <w:jc w:val="center"/>
    </w:pPr>
    <w:rPr>
      <w:b/>
      <w:color w:val="FF0000"/>
      <w:sz w:val="52"/>
      <w:szCs w:val="52"/>
      <w:lang w:eastAsia="en-US"/>
    </w:rPr>
  </w:style>
  <w:style w:type="paragraph" w:customStyle="1" w:styleId="Subtitlepublication">
    <w:name w:val="Subtitle publication"/>
    <w:basedOn w:val="Normal"/>
    <w:link w:val="SubtitlepublicationChar"/>
    <w:qFormat/>
    <w:rsid w:val="00B02883"/>
    <w:pPr>
      <w:spacing w:after="240"/>
      <w:jc w:val="center"/>
    </w:pPr>
    <w:rPr>
      <w:b/>
      <w:i/>
      <w:color w:val="FF0000"/>
      <w:sz w:val="32"/>
      <w:szCs w:val="20"/>
      <w:lang w:eastAsia="en-US"/>
    </w:rPr>
  </w:style>
  <w:style w:type="character" w:customStyle="1" w:styleId="TitlepublicationChar">
    <w:name w:val="Title publication Char"/>
    <w:link w:val="Titlepublication"/>
    <w:rsid w:val="00B02883"/>
    <w:rPr>
      <w:rFonts w:ascii="Verdana" w:hAnsi="Verdana"/>
      <w:b/>
      <w:color w:val="FF0000"/>
      <w:sz w:val="52"/>
      <w:szCs w:val="52"/>
      <w:lang w:eastAsia="en-US"/>
    </w:rPr>
  </w:style>
  <w:style w:type="paragraph" w:customStyle="1" w:styleId="Editorname">
    <w:name w:val="Editor name"/>
    <w:basedOn w:val="Normal"/>
    <w:link w:val="EditornameChar"/>
    <w:qFormat/>
    <w:rsid w:val="00B02883"/>
    <w:pPr>
      <w:spacing w:after="240"/>
      <w:jc w:val="center"/>
    </w:pPr>
    <w:rPr>
      <w:color w:val="FF0000"/>
      <w:sz w:val="24"/>
      <w:szCs w:val="20"/>
      <w:lang w:eastAsia="en-US"/>
    </w:rPr>
  </w:style>
  <w:style w:type="character" w:customStyle="1" w:styleId="SubtitlepublicationChar">
    <w:name w:val="Subtitle publication Char"/>
    <w:link w:val="Subtitlepublication"/>
    <w:rsid w:val="00B02883"/>
    <w:rPr>
      <w:rFonts w:ascii="Verdana" w:hAnsi="Verdana"/>
      <w:b/>
      <w:i/>
      <w:color w:val="FF0000"/>
      <w:sz w:val="32"/>
      <w:lang w:eastAsia="en-US"/>
    </w:rPr>
  </w:style>
  <w:style w:type="character" w:customStyle="1" w:styleId="EditornameChar">
    <w:name w:val="Editor name Char"/>
    <w:link w:val="Editorname"/>
    <w:rsid w:val="00B02883"/>
    <w:rPr>
      <w:rFonts w:ascii="Verdana" w:hAnsi="Verdana"/>
      <w:color w:val="FF0000"/>
      <w:sz w:val="24"/>
      <w:lang w:eastAsia="en-US"/>
    </w:rPr>
  </w:style>
  <w:style w:type="character" w:styleId="FootnoteReference">
    <w:name w:val="footnote reference"/>
    <w:aliases w:val="Footnote symbol,Odwołanie przypisu,Footnote Reference Number,Footnote Reference Superscript,SUPERS,Times 10 Point,Exposant 3 Point, Exposant 3 Point,Ref,de nota al pie,-E Fußnotenzeichen,ftref,number,stylish,BVI fnr,Footnote sign,fr,o"/>
    <w:basedOn w:val="DefaultParagraphFont"/>
    <w:link w:val="AppelnotedebasdepageCharCharCharCharCharCharChar"/>
    <w:uiPriority w:val="99"/>
    <w:qFormat/>
    <w:rsid w:val="005A27C0"/>
    <w:rPr>
      <w:vertAlign w:val="superscript"/>
    </w:rPr>
  </w:style>
  <w:style w:type="character" w:customStyle="1" w:styleId="FootnoteTextChar">
    <w:name w:val="Footnote Text Char"/>
    <w:aliases w:val="Voetnoottekst Char1 Char,Voetnoottekst Char Char Char,Voetnoottekst Char2 Char Char Char,Voetnoottekst Char1 Char Char Char Char,Voetnoottekst Char Char Char Char Char Char,Voetnoottekst Char2 Char Char Char Char Char Char,f Char"/>
    <w:basedOn w:val="DefaultParagraphFont"/>
    <w:link w:val="FootnoteText"/>
    <w:uiPriority w:val="99"/>
    <w:rsid w:val="005A27C0"/>
    <w:rPr>
      <w:rFonts w:ascii="Verdana" w:hAnsi="Verdana"/>
      <w:color w:val="333333"/>
      <w:lang w:eastAsia="en-GB"/>
    </w:rPr>
  </w:style>
  <w:style w:type="paragraph" w:customStyle="1" w:styleId="AppelnotedebasdepageCharCharCharCharCharCharChar">
    <w:name w:val="Appel note de bas de page Char Char Char Char Char Char Char"/>
    <w:basedOn w:val="Normal"/>
    <w:link w:val="FootnoteReference"/>
    <w:uiPriority w:val="99"/>
    <w:rsid w:val="005A27C0"/>
    <w:rPr>
      <w:rFonts w:ascii="Times New Roman" w:hAnsi="Times New Roman"/>
      <w:color w:val="auto"/>
      <w:szCs w:val="20"/>
      <w:vertAlign w:val="superscript"/>
      <w:lang w:eastAsia="zh-CN"/>
    </w:rPr>
  </w:style>
  <w:style w:type="character" w:customStyle="1" w:styleId="Heading4Char">
    <w:name w:val="Heading 4 Char"/>
    <w:aliases w:val="Numbered - 4 Char,h4 Char,ALK_K4 Char,Level 2 - a Char,PA Micro Section Char,Oscar Faber Appendix Char,r Appendix Char,Halcrow Appendix Char,Appendix Char,Oscar Faber 4 Char,level 4 para number Char,Ignore1 Char,Kopje Char,OTBsubpara Char"/>
    <w:basedOn w:val="DefaultParagraphFont"/>
    <w:link w:val="Heading4"/>
    <w:rsid w:val="005A27C0"/>
    <w:rPr>
      <w:rFonts w:ascii="Arial" w:hAnsi="Arial" w:cs="Arial"/>
      <w:i/>
      <w:color w:val="000000"/>
      <w:sz w:val="24"/>
      <w:szCs w:val="32"/>
      <w:lang w:eastAsia="en-GB"/>
    </w:rPr>
  </w:style>
  <w:style w:type="character" w:customStyle="1" w:styleId="Heading5Char">
    <w:name w:val="Heading 5 Char"/>
    <w:aliases w:val="Ignore2 Char,Numbered - 5 Char,Level 3 - i Char,Heading 5(war) Char,DNV-H5 Char,Block Label Char,Heading 5 CFMU Char,Para 5 Char,h5 Char,DO NOT USE_h5 Char,H5 Char,Roman list Char,Schedule A to X Char"/>
    <w:basedOn w:val="DefaultParagraphFont"/>
    <w:link w:val="Heading5"/>
    <w:rsid w:val="005A27C0"/>
    <w:rPr>
      <w:rFonts w:ascii="Arial" w:hAnsi="Arial"/>
      <w:b/>
      <w:sz w:val="24"/>
      <w:szCs w:val="24"/>
      <w:lang w:eastAsia="en-GB"/>
    </w:rPr>
  </w:style>
  <w:style w:type="character" w:customStyle="1" w:styleId="Heading6Char">
    <w:name w:val="Heading 6 Char"/>
    <w:aliases w:val="Do Not Use 6 Char,L6 Char,. (a.) Char,Legal Level 1. Char,level 1 bullet Char"/>
    <w:basedOn w:val="DefaultParagraphFont"/>
    <w:link w:val="Heading6"/>
    <w:rsid w:val="005A27C0"/>
    <w:rPr>
      <w:rFonts w:ascii="Arial" w:hAnsi="Arial"/>
      <w:b/>
      <w:szCs w:val="24"/>
      <w:lang w:eastAsia="en-US"/>
    </w:rPr>
  </w:style>
  <w:style w:type="character" w:customStyle="1" w:styleId="Heading7Char">
    <w:name w:val="Heading 7 Char"/>
    <w:aliases w:val="Do Not Use 7 Char,L7 Char,. [(1)] Char,Appendix 2 Char,Legal Level 1.1. Char,level 2 bullets Char"/>
    <w:basedOn w:val="DefaultParagraphFont"/>
    <w:link w:val="Heading7"/>
    <w:uiPriority w:val="99"/>
    <w:rsid w:val="005A27C0"/>
    <w:rPr>
      <w:rFonts w:ascii="Arial" w:hAnsi="Arial"/>
      <w:szCs w:val="24"/>
      <w:lang w:eastAsia="en-US"/>
    </w:rPr>
  </w:style>
  <w:style w:type="character" w:customStyle="1" w:styleId="Heading8Char">
    <w:name w:val="Heading 8 Char"/>
    <w:aliases w:val="Do Not Use 8 Char,L8 Char,. [(a)] Char,Appendix 3 Char,Legal Level 1.1.1. Char,level 3 bullets Char"/>
    <w:basedOn w:val="DefaultParagraphFont"/>
    <w:link w:val="Heading8"/>
    <w:uiPriority w:val="99"/>
    <w:rsid w:val="005A27C0"/>
    <w:rPr>
      <w:rFonts w:ascii="Arial" w:hAnsi="Arial"/>
      <w:i/>
      <w:iCs/>
      <w:szCs w:val="24"/>
      <w:lang w:eastAsia="en-US"/>
    </w:rPr>
  </w:style>
  <w:style w:type="character" w:customStyle="1" w:styleId="Heading9Char">
    <w:name w:val="Heading 9 Char"/>
    <w:aliases w:val="Do Not Use 9 Char,L9 Char,. [(iii)] Char,Appendix 4 Char,Legal Level 1.1.1.1. Char"/>
    <w:basedOn w:val="DefaultParagraphFont"/>
    <w:link w:val="Heading9"/>
    <w:uiPriority w:val="99"/>
    <w:rsid w:val="005A27C0"/>
    <w:rPr>
      <w:rFonts w:ascii="Arial" w:hAnsi="Arial" w:cs="Arial"/>
      <w:sz w:val="22"/>
      <w:szCs w:val="22"/>
      <w:lang w:eastAsia="en-US"/>
    </w:rPr>
  </w:style>
  <w:style w:type="paragraph" w:styleId="Caption">
    <w:name w:val="caption"/>
    <w:basedOn w:val="BodyText"/>
    <w:next w:val="BodyText"/>
    <w:qFormat/>
    <w:rsid w:val="005A27C0"/>
    <w:pPr>
      <w:keepNext/>
      <w:spacing w:before="120" w:after="60"/>
    </w:pPr>
    <w:rPr>
      <w:rFonts w:ascii="Arial" w:hAnsi="Arial"/>
      <w:b/>
      <w:bCs/>
      <w:color w:val="auto"/>
      <w:sz w:val="22"/>
      <w:szCs w:val="20"/>
      <w:lang w:eastAsia="en-US"/>
    </w:rPr>
  </w:style>
  <w:style w:type="character" w:customStyle="1" w:styleId="Heading3Char">
    <w:name w:val="Heading 3 Char"/>
    <w:aliases w:val="SZRptH3 Char,note bullet Char,Minor Char1,Mi Char,Headline Char,Oscar Faber 3 Char1,L3 Char,Halcrow 3 Char,Outline3 Char,Minor Char Char,Oscar Faber 3 Char Char,Underavsn. Char,Use Char,Subparagraaf Char,3 bullet Char,b Char,2 Char"/>
    <w:basedOn w:val="DefaultParagraphFont"/>
    <w:link w:val="Heading3"/>
    <w:rsid w:val="005A27C0"/>
    <w:rPr>
      <w:rFonts w:ascii="Verdana" w:hAnsi="Verdana" w:cs="Arial"/>
      <w:b/>
      <w:bCs/>
      <w:color w:val="263673"/>
      <w:szCs w:val="26"/>
      <w:lang w:eastAsia="en-GB"/>
    </w:rPr>
  </w:style>
  <w:style w:type="character" w:customStyle="1" w:styleId="ListParagraphChar">
    <w:name w:val="List Paragraph Char"/>
    <w:aliases w:val="List Paragraph1 Char,Lijstalinea Char,Heading 2_sj Char,1st level - Bullet List Paragraph Char,Lettre d'introduction Char,Normal bullet 2 Char,Bullet list Char"/>
    <w:basedOn w:val="DefaultParagraphFont"/>
    <w:link w:val="ListParagraph"/>
    <w:uiPriority w:val="34"/>
    <w:rsid w:val="005A27C0"/>
    <w:rPr>
      <w:rFonts w:ascii="Verdana" w:hAnsi="Verdana"/>
      <w:color w:val="333333"/>
      <w:szCs w:val="24"/>
      <w:lang w:eastAsia="en-GB"/>
    </w:rPr>
  </w:style>
  <w:style w:type="paragraph" w:customStyle="1" w:styleId="Subject">
    <w:name w:val="Subject"/>
    <w:basedOn w:val="Normal"/>
    <w:uiPriority w:val="99"/>
    <w:rsid w:val="002505F3"/>
    <w:pPr>
      <w:spacing w:before="200" w:line="288" w:lineRule="auto"/>
      <w:jc w:val="left"/>
    </w:pPr>
    <w:rPr>
      <w:rFonts w:ascii="Arial" w:hAnsi="Arial"/>
      <w:b/>
      <w:color w:val="auto"/>
      <w:sz w:val="22"/>
    </w:rPr>
  </w:style>
  <w:style w:type="paragraph" w:customStyle="1" w:styleId="Recipient">
    <w:name w:val="Recipient"/>
    <w:basedOn w:val="BodyText"/>
    <w:uiPriority w:val="99"/>
    <w:rsid w:val="002505F3"/>
    <w:pPr>
      <w:spacing w:after="240" w:line="288" w:lineRule="auto"/>
    </w:pPr>
    <w:rPr>
      <w:rFonts w:ascii="Arial" w:hAnsi="Arial"/>
      <w:color w:val="auto"/>
      <w:sz w:val="16"/>
    </w:rPr>
  </w:style>
  <w:style w:type="paragraph" w:customStyle="1" w:styleId="References">
    <w:name w:val="References"/>
    <w:basedOn w:val="BodyText"/>
    <w:uiPriority w:val="99"/>
    <w:rsid w:val="002505F3"/>
    <w:pPr>
      <w:spacing w:after="240" w:line="288" w:lineRule="auto"/>
    </w:pPr>
    <w:rPr>
      <w:rFonts w:ascii="Arial" w:hAnsi="Arial"/>
      <w:color w:val="auto"/>
      <w:sz w:val="16"/>
    </w:rPr>
  </w:style>
  <w:style w:type="paragraph" w:styleId="Salutation">
    <w:name w:val="Salutation"/>
    <w:basedOn w:val="BodyText"/>
    <w:next w:val="Normal"/>
    <w:link w:val="SalutationChar"/>
    <w:rsid w:val="002505F3"/>
    <w:pPr>
      <w:spacing w:before="240" w:after="240" w:line="288" w:lineRule="auto"/>
    </w:pPr>
    <w:rPr>
      <w:rFonts w:ascii="Arial" w:hAnsi="Arial"/>
      <w:color w:val="auto"/>
      <w:sz w:val="16"/>
    </w:rPr>
  </w:style>
  <w:style w:type="character" w:customStyle="1" w:styleId="SalutationChar">
    <w:name w:val="Salutation Char"/>
    <w:basedOn w:val="DefaultParagraphFont"/>
    <w:link w:val="Salutation"/>
    <w:rsid w:val="002505F3"/>
    <w:rPr>
      <w:rFonts w:ascii="Arial" w:hAnsi="Arial"/>
      <w:sz w:val="16"/>
      <w:szCs w:val="24"/>
      <w:lang w:eastAsia="en-GB"/>
    </w:rPr>
  </w:style>
  <w:style w:type="paragraph" w:customStyle="1" w:styleId="OfficeAddress">
    <w:name w:val="OfficeAddress"/>
    <w:basedOn w:val="BodyText"/>
    <w:uiPriority w:val="99"/>
    <w:rsid w:val="002505F3"/>
    <w:pPr>
      <w:spacing w:after="240" w:line="288" w:lineRule="auto"/>
    </w:pPr>
    <w:rPr>
      <w:rFonts w:ascii="Arial" w:hAnsi="Arial"/>
      <w:color w:val="auto"/>
      <w:sz w:val="16"/>
    </w:rPr>
  </w:style>
  <w:style w:type="paragraph" w:customStyle="1" w:styleId="ContactDetails">
    <w:name w:val="ContactDetails"/>
    <w:basedOn w:val="BodyText"/>
    <w:uiPriority w:val="99"/>
    <w:rsid w:val="002505F3"/>
    <w:pPr>
      <w:tabs>
        <w:tab w:val="left" w:pos="318"/>
      </w:tabs>
      <w:spacing w:after="240" w:line="288" w:lineRule="auto"/>
    </w:pPr>
    <w:rPr>
      <w:rFonts w:ascii="Arial" w:hAnsi="Arial"/>
      <w:b/>
      <w:color w:val="auto"/>
      <w:sz w:val="16"/>
    </w:rPr>
  </w:style>
  <w:style w:type="paragraph" w:styleId="Quote">
    <w:name w:val="Quote"/>
    <w:basedOn w:val="BodyText"/>
    <w:next w:val="BodyText"/>
    <w:link w:val="QuoteChar"/>
    <w:qFormat/>
    <w:rsid w:val="002505F3"/>
    <w:pPr>
      <w:spacing w:before="240" w:after="240" w:line="288" w:lineRule="auto"/>
    </w:pPr>
    <w:rPr>
      <w:rFonts w:ascii="Times New Roman" w:hAnsi="Times New Roman"/>
      <w:i/>
      <w:color w:val="auto"/>
    </w:rPr>
  </w:style>
  <w:style w:type="character" w:customStyle="1" w:styleId="QuoteChar">
    <w:name w:val="Quote Char"/>
    <w:basedOn w:val="DefaultParagraphFont"/>
    <w:link w:val="Quote"/>
    <w:rsid w:val="002505F3"/>
    <w:rPr>
      <w:i/>
      <w:szCs w:val="24"/>
      <w:lang w:eastAsia="en-GB"/>
    </w:rPr>
  </w:style>
  <w:style w:type="paragraph" w:customStyle="1" w:styleId="RegisteredOffice">
    <w:name w:val="RegisteredOffice"/>
    <w:basedOn w:val="BodyText"/>
    <w:uiPriority w:val="99"/>
    <w:rsid w:val="002505F3"/>
    <w:pPr>
      <w:spacing w:after="240"/>
    </w:pPr>
    <w:rPr>
      <w:rFonts w:ascii="Arial" w:hAnsi="Arial"/>
      <w:color w:val="FFFFFF"/>
      <w:sz w:val="14"/>
    </w:rPr>
  </w:style>
  <w:style w:type="paragraph" w:customStyle="1" w:styleId="BlueArrowhead">
    <w:name w:val="BlueArrowhead"/>
    <w:basedOn w:val="BodyText"/>
    <w:uiPriority w:val="99"/>
    <w:rsid w:val="002505F3"/>
    <w:pPr>
      <w:spacing w:after="240"/>
      <w:jc w:val="right"/>
    </w:pPr>
    <w:rPr>
      <w:rFonts w:ascii="Arial" w:hAnsi="Arial"/>
      <w:noProof/>
      <w:color w:val="0033CC"/>
      <w:position w:val="8"/>
      <w:sz w:val="16"/>
      <w:szCs w:val="16"/>
    </w:rPr>
  </w:style>
  <w:style w:type="paragraph" w:customStyle="1" w:styleId="BodyTextnumbered">
    <w:name w:val="Body Text (numbered)"/>
    <w:basedOn w:val="BodyText"/>
    <w:uiPriority w:val="99"/>
    <w:rsid w:val="002505F3"/>
    <w:pPr>
      <w:numPr>
        <w:numId w:val="15"/>
      </w:numPr>
      <w:spacing w:after="240" w:line="288" w:lineRule="auto"/>
    </w:pPr>
    <w:rPr>
      <w:rFonts w:ascii="Arial" w:hAnsi="Arial"/>
      <w:color w:val="auto"/>
    </w:rPr>
  </w:style>
  <w:style w:type="paragraph" w:styleId="Title">
    <w:name w:val="Title"/>
    <w:basedOn w:val="Normal"/>
    <w:link w:val="TitleChar"/>
    <w:uiPriority w:val="99"/>
    <w:qFormat/>
    <w:rsid w:val="002505F3"/>
    <w:pPr>
      <w:spacing w:before="240"/>
      <w:jc w:val="left"/>
    </w:pPr>
    <w:rPr>
      <w:rFonts w:ascii="Arial" w:hAnsi="Arial" w:cs="Arial"/>
      <w:b/>
      <w:bCs/>
      <w:color w:val="003C64"/>
      <w:kern w:val="28"/>
      <w:sz w:val="32"/>
      <w:szCs w:val="32"/>
    </w:rPr>
  </w:style>
  <w:style w:type="character" w:customStyle="1" w:styleId="TitleChar">
    <w:name w:val="Title Char"/>
    <w:basedOn w:val="DefaultParagraphFont"/>
    <w:link w:val="Title"/>
    <w:uiPriority w:val="99"/>
    <w:rsid w:val="002505F3"/>
    <w:rPr>
      <w:rFonts w:ascii="Arial" w:hAnsi="Arial" w:cs="Arial"/>
      <w:b/>
      <w:bCs/>
      <w:color w:val="003C64"/>
      <w:kern w:val="28"/>
      <w:sz w:val="32"/>
      <w:szCs w:val="32"/>
      <w:lang w:eastAsia="en-GB"/>
    </w:rPr>
  </w:style>
  <w:style w:type="paragraph" w:styleId="TOC3">
    <w:name w:val="toc 3"/>
    <w:basedOn w:val="Normal"/>
    <w:next w:val="Normal"/>
    <w:uiPriority w:val="39"/>
    <w:rsid w:val="002505F3"/>
    <w:pPr>
      <w:tabs>
        <w:tab w:val="left" w:pos="1134"/>
        <w:tab w:val="right" w:leader="dot" w:pos="10260"/>
      </w:tabs>
      <w:spacing w:line="288" w:lineRule="auto"/>
      <w:ind w:left="1134" w:right="692" w:hanging="1134"/>
      <w:jc w:val="left"/>
    </w:pPr>
    <w:rPr>
      <w:rFonts w:ascii="Arial" w:hAnsi="Arial"/>
      <w:color w:val="auto"/>
      <w:sz w:val="24"/>
    </w:rPr>
  </w:style>
  <w:style w:type="paragraph" w:styleId="Subtitle">
    <w:name w:val="Subtitle"/>
    <w:basedOn w:val="Normal"/>
    <w:link w:val="SubtitleChar"/>
    <w:uiPriority w:val="99"/>
    <w:qFormat/>
    <w:rsid w:val="002505F3"/>
    <w:pPr>
      <w:spacing w:after="60" w:line="288" w:lineRule="auto"/>
      <w:jc w:val="left"/>
    </w:pPr>
    <w:rPr>
      <w:rFonts w:ascii="Arial" w:hAnsi="Arial" w:cs="Arial"/>
      <w:color w:val="003C64"/>
      <w:sz w:val="24"/>
    </w:rPr>
  </w:style>
  <w:style w:type="character" w:customStyle="1" w:styleId="SubtitleChar">
    <w:name w:val="Subtitle Char"/>
    <w:basedOn w:val="DefaultParagraphFont"/>
    <w:link w:val="Subtitle"/>
    <w:uiPriority w:val="99"/>
    <w:rsid w:val="002505F3"/>
    <w:rPr>
      <w:rFonts w:ascii="Arial" w:hAnsi="Arial" w:cs="Arial"/>
      <w:color w:val="003C64"/>
      <w:sz w:val="24"/>
      <w:szCs w:val="24"/>
      <w:lang w:eastAsia="en-GB"/>
    </w:rPr>
  </w:style>
  <w:style w:type="paragraph" w:styleId="ListBullet">
    <w:name w:val="List Bullet"/>
    <w:aliases w:val=" Char Char, Char Char Char Char Char Char Char Char Char Char Char Char Char Char Char Char Char Char Char Char Char Char,List bullett, Znak,Znak, Char,Char Char Char, Char1, Char Char Cha,Char2,Char Char Cha,Char Ch, Char Ch,Char Char,Char"/>
    <w:basedOn w:val="BodyText"/>
    <w:link w:val="ListBulletChar"/>
    <w:rsid w:val="002505F3"/>
    <w:pPr>
      <w:tabs>
        <w:tab w:val="num" w:pos="1418"/>
      </w:tabs>
      <w:spacing w:after="0" w:line="288" w:lineRule="auto"/>
      <w:ind w:left="1418" w:hanging="284"/>
    </w:pPr>
    <w:rPr>
      <w:rFonts w:ascii="Arial" w:hAnsi="Arial"/>
      <w:color w:val="auto"/>
    </w:rPr>
  </w:style>
  <w:style w:type="paragraph" w:styleId="ListBullet3">
    <w:name w:val="List Bullet 3"/>
    <w:basedOn w:val="BodyText"/>
    <w:uiPriority w:val="99"/>
    <w:rsid w:val="002505F3"/>
    <w:pPr>
      <w:tabs>
        <w:tab w:val="left" w:pos="851"/>
      </w:tabs>
      <w:spacing w:after="0" w:line="288" w:lineRule="auto"/>
      <w:ind w:left="851" w:hanging="284"/>
    </w:pPr>
    <w:rPr>
      <w:rFonts w:ascii="Arial" w:hAnsi="Arial"/>
      <w:color w:val="auto"/>
    </w:rPr>
  </w:style>
  <w:style w:type="paragraph" w:customStyle="1" w:styleId="Blockquote">
    <w:name w:val="Block quote"/>
    <w:basedOn w:val="BodyText"/>
    <w:next w:val="BodyText"/>
    <w:uiPriority w:val="99"/>
    <w:rsid w:val="002505F3"/>
    <w:pPr>
      <w:shd w:val="clear" w:color="auto" w:fill="E6E6E6"/>
      <w:spacing w:before="240" w:after="240" w:line="288" w:lineRule="auto"/>
    </w:pPr>
    <w:rPr>
      <w:rFonts w:ascii="Arial" w:hAnsi="Arial"/>
      <w:b/>
      <w:i/>
      <w:color w:val="auto"/>
    </w:rPr>
  </w:style>
  <w:style w:type="paragraph" w:customStyle="1" w:styleId="Headingnonumber">
    <w:name w:val="Heading no number"/>
    <w:basedOn w:val="Heading1"/>
    <w:next w:val="BodyText"/>
    <w:uiPriority w:val="99"/>
    <w:rsid w:val="002505F3"/>
    <w:pPr>
      <w:keepNext w:val="0"/>
      <w:pageBreakBefore/>
      <w:pBdr>
        <w:bottom w:val="single" w:sz="8" w:space="1" w:color="999999"/>
      </w:pBdr>
      <w:tabs>
        <w:tab w:val="left" w:pos="851"/>
      </w:tabs>
      <w:spacing w:after="360" w:line="288" w:lineRule="auto"/>
      <w:outlineLvl w:val="9"/>
    </w:pPr>
    <w:rPr>
      <w:rFonts w:ascii="Arial" w:hAnsi="Arial"/>
      <w:bCs w:val="0"/>
      <w:color w:val="003C64"/>
      <w:kern w:val="0"/>
      <w:sz w:val="40"/>
      <w:szCs w:val="44"/>
    </w:rPr>
  </w:style>
  <w:style w:type="paragraph" w:styleId="TOC4">
    <w:name w:val="toc 4"/>
    <w:basedOn w:val="Normal"/>
    <w:next w:val="Normal"/>
    <w:uiPriority w:val="39"/>
    <w:rsid w:val="002505F3"/>
    <w:pPr>
      <w:tabs>
        <w:tab w:val="left" w:pos="1134"/>
        <w:tab w:val="right" w:leader="dot" w:pos="10260"/>
      </w:tabs>
      <w:spacing w:line="288" w:lineRule="auto"/>
      <w:ind w:left="1134" w:right="873" w:hanging="1134"/>
      <w:jc w:val="left"/>
    </w:pPr>
    <w:rPr>
      <w:rFonts w:ascii="Arial" w:hAnsi="Arial"/>
      <w:i/>
      <w:color w:val="auto"/>
      <w:sz w:val="24"/>
    </w:rPr>
  </w:style>
  <w:style w:type="paragraph" w:styleId="TOC5">
    <w:name w:val="toc 5"/>
    <w:basedOn w:val="TOC1"/>
    <w:next w:val="Normal"/>
    <w:uiPriority w:val="39"/>
    <w:rsid w:val="002505F3"/>
    <w:pPr>
      <w:tabs>
        <w:tab w:val="clear" w:pos="8777"/>
        <w:tab w:val="left" w:pos="1134"/>
        <w:tab w:val="right" w:leader="dot" w:pos="10260"/>
      </w:tabs>
      <w:spacing w:before="360" w:line="288" w:lineRule="auto"/>
      <w:ind w:left="2268" w:right="873" w:hanging="1134"/>
      <w:jc w:val="left"/>
    </w:pPr>
    <w:rPr>
      <w:rFonts w:ascii="Arial" w:hAnsi="Arial"/>
      <w:b/>
      <w:noProof/>
      <w:color w:val="auto"/>
      <w:sz w:val="28"/>
    </w:rPr>
  </w:style>
  <w:style w:type="paragraph" w:customStyle="1" w:styleId="Annex">
    <w:name w:val="Annex"/>
    <w:basedOn w:val="BodyText"/>
    <w:next w:val="Subtitle"/>
    <w:uiPriority w:val="99"/>
    <w:rsid w:val="002505F3"/>
    <w:pPr>
      <w:pageBreakBefore/>
      <w:spacing w:before="4000" w:after="240"/>
      <w:ind w:left="1985"/>
      <w:jc w:val="left"/>
    </w:pPr>
    <w:rPr>
      <w:rFonts w:ascii="Arial" w:hAnsi="Arial"/>
      <w:b/>
      <w:color w:val="003C64"/>
      <w:sz w:val="40"/>
      <w:szCs w:val="40"/>
    </w:rPr>
  </w:style>
  <w:style w:type="paragraph" w:customStyle="1" w:styleId="AnnexSubtitle">
    <w:name w:val="Annex Subtitle"/>
    <w:basedOn w:val="Subtitle"/>
    <w:uiPriority w:val="99"/>
    <w:rsid w:val="002505F3"/>
    <w:pPr>
      <w:spacing w:before="120"/>
      <w:ind w:left="3402"/>
    </w:pPr>
  </w:style>
  <w:style w:type="paragraph" w:customStyle="1" w:styleId="Source">
    <w:name w:val="Source"/>
    <w:basedOn w:val="BodyText"/>
    <w:next w:val="BodyText"/>
    <w:uiPriority w:val="99"/>
    <w:rsid w:val="002505F3"/>
    <w:rPr>
      <w:rFonts w:ascii="Arial" w:hAnsi="Arial"/>
      <w:i/>
      <w:color w:val="auto"/>
      <w:sz w:val="18"/>
      <w:szCs w:val="20"/>
      <w:lang w:eastAsia="en-US"/>
    </w:rPr>
  </w:style>
  <w:style w:type="paragraph" w:customStyle="1" w:styleId="Tableheader">
    <w:name w:val="Table header"/>
    <w:basedOn w:val="BodyText"/>
    <w:link w:val="TableheaderChar"/>
    <w:rsid w:val="002505F3"/>
    <w:pPr>
      <w:spacing w:after="0"/>
    </w:pPr>
    <w:rPr>
      <w:rFonts w:ascii="Arial" w:hAnsi="Arial"/>
      <w:color w:val="FFFFFF"/>
      <w:szCs w:val="20"/>
      <w:lang w:eastAsia="en-US"/>
    </w:rPr>
  </w:style>
  <w:style w:type="paragraph" w:customStyle="1" w:styleId="Tabletext">
    <w:name w:val="Table text"/>
    <w:basedOn w:val="BodyText"/>
    <w:link w:val="TabletextChar"/>
    <w:rsid w:val="002505F3"/>
    <w:pPr>
      <w:spacing w:after="0"/>
    </w:pPr>
    <w:rPr>
      <w:rFonts w:ascii="Arial" w:hAnsi="Arial"/>
      <w:color w:val="auto"/>
      <w:szCs w:val="20"/>
      <w:lang w:eastAsia="en-US"/>
    </w:rPr>
  </w:style>
  <w:style w:type="paragraph" w:customStyle="1" w:styleId="Landscapefooter">
    <w:name w:val="Landscape footer"/>
    <w:basedOn w:val="Footer"/>
    <w:uiPriority w:val="99"/>
    <w:rsid w:val="002505F3"/>
    <w:pPr>
      <w:tabs>
        <w:tab w:val="clear" w:pos="4153"/>
        <w:tab w:val="clear" w:pos="8306"/>
        <w:tab w:val="center" w:pos="7371"/>
        <w:tab w:val="right" w:pos="14402"/>
      </w:tabs>
      <w:spacing w:line="288" w:lineRule="auto"/>
      <w:jc w:val="center"/>
    </w:pPr>
    <w:rPr>
      <w:rFonts w:ascii="Arial" w:hAnsi="Arial"/>
      <w:b/>
      <w:i w:val="0"/>
      <w:color w:val="auto"/>
      <w:szCs w:val="24"/>
    </w:rPr>
  </w:style>
  <w:style w:type="paragraph" w:customStyle="1" w:styleId="Tabledata">
    <w:name w:val="Table data"/>
    <w:basedOn w:val="Tabletext"/>
    <w:uiPriority w:val="99"/>
    <w:rsid w:val="002505F3"/>
    <w:pPr>
      <w:jc w:val="center"/>
    </w:pPr>
  </w:style>
  <w:style w:type="paragraph" w:styleId="TableofFigures">
    <w:name w:val="table of figures"/>
    <w:basedOn w:val="Normal"/>
    <w:next w:val="Normal"/>
    <w:uiPriority w:val="99"/>
    <w:rsid w:val="002505F3"/>
    <w:pPr>
      <w:tabs>
        <w:tab w:val="right" w:leader="dot" w:pos="10263"/>
      </w:tabs>
      <w:spacing w:line="288" w:lineRule="auto"/>
      <w:ind w:left="1134" w:right="873"/>
      <w:jc w:val="left"/>
    </w:pPr>
    <w:rPr>
      <w:rFonts w:ascii="Arial" w:hAnsi="Arial"/>
      <w:color w:val="auto"/>
      <w:sz w:val="24"/>
    </w:rPr>
  </w:style>
  <w:style w:type="paragraph" w:customStyle="1" w:styleId="Tabledecimaltab">
    <w:name w:val="Table decimal tab"/>
    <w:basedOn w:val="Tabledata"/>
    <w:uiPriority w:val="99"/>
    <w:rsid w:val="002505F3"/>
    <w:pPr>
      <w:tabs>
        <w:tab w:val="decimal" w:pos="851"/>
      </w:tabs>
      <w:jc w:val="left"/>
    </w:pPr>
  </w:style>
  <w:style w:type="paragraph" w:styleId="TOC6">
    <w:name w:val="toc 6"/>
    <w:basedOn w:val="TOC5"/>
    <w:next w:val="Normal"/>
    <w:uiPriority w:val="39"/>
    <w:rsid w:val="002505F3"/>
  </w:style>
  <w:style w:type="paragraph" w:customStyle="1" w:styleId="Listroman">
    <w:name w:val="List roman"/>
    <w:uiPriority w:val="99"/>
    <w:rsid w:val="002505F3"/>
    <w:pPr>
      <w:numPr>
        <w:numId w:val="16"/>
      </w:numPr>
      <w:tabs>
        <w:tab w:val="clear" w:pos="1418"/>
      </w:tabs>
      <w:spacing w:line="288" w:lineRule="auto"/>
      <w:ind w:left="1004"/>
    </w:pPr>
    <w:rPr>
      <w:rFonts w:ascii="Arial" w:hAnsi="Arial"/>
      <w:sz w:val="24"/>
      <w:szCs w:val="24"/>
      <w:lang w:eastAsia="en-GB"/>
    </w:rPr>
  </w:style>
  <w:style w:type="paragraph" w:customStyle="1" w:styleId="Listalpha">
    <w:name w:val="List alpha"/>
    <w:basedOn w:val="Listroman"/>
    <w:uiPriority w:val="99"/>
    <w:rsid w:val="002505F3"/>
    <w:pPr>
      <w:numPr>
        <w:ilvl w:val="1"/>
      </w:numPr>
      <w:tabs>
        <w:tab w:val="clear" w:pos="1701"/>
      </w:tabs>
      <w:ind w:left="1288" w:hanging="284"/>
    </w:pPr>
  </w:style>
  <w:style w:type="paragraph" w:customStyle="1" w:styleId="CVheading">
    <w:name w:val="CV heading"/>
    <w:basedOn w:val="BodyText"/>
    <w:next w:val="BodyText"/>
    <w:uiPriority w:val="99"/>
    <w:rsid w:val="002505F3"/>
    <w:pPr>
      <w:pBdr>
        <w:bottom w:val="single" w:sz="8" w:space="1" w:color="999999"/>
      </w:pBdr>
      <w:spacing w:after="360" w:line="288" w:lineRule="auto"/>
      <w:ind w:firstLine="1134"/>
    </w:pPr>
    <w:rPr>
      <w:rFonts w:ascii="Arial" w:hAnsi="Arial"/>
      <w:b/>
      <w:color w:val="auto"/>
      <w:sz w:val="40"/>
    </w:rPr>
  </w:style>
  <w:style w:type="paragraph" w:customStyle="1" w:styleId="Annexheading2">
    <w:name w:val="Annex heading 2"/>
    <w:basedOn w:val="BodyText"/>
    <w:next w:val="BodyText"/>
    <w:uiPriority w:val="99"/>
    <w:rsid w:val="002505F3"/>
    <w:pPr>
      <w:pBdr>
        <w:bottom w:val="single" w:sz="8" w:space="1" w:color="999999"/>
      </w:pBdr>
      <w:spacing w:before="450" w:after="360" w:line="288" w:lineRule="auto"/>
    </w:pPr>
    <w:rPr>
      <w:rFonts w:ascii="Arial" w:hAnsi="Arial"/>
      <w:b/>
      <w:color w:val="003C64"/>
      <w:sz w:val="40"/>
    </w:rPr>
  </w:style>
  <w:style w:type="paragraph" w:customStyle="1" w:styleId="Annexheading3">
    <w:name w:val="Annex heading 3"/>
    <w:basedOn w:val="BodyText"/>
    <w:next w:val="BodyText"/>
    <w:uiPriority w:val="99"/>
    <w:rsid w:val="002505F3"/>
    <w:pPr>
      <w:spacing w:before="120" w:line="288" w:lineRule="auto"/>
    </w:pPr>
    <w:rPr>
      <w:rFonts w:ascii="Arial" w:hAnsi="Arial"/>
      <w:color w:val="auto"/>
    </w:rPr>
  </w:style>
  <w:style w:type="paragraph" w:styleId="TOC7">
    <w:name w:val="toc 7"/>
    <w:basedOn w:val="TOC2"/>
    <w:next w:val="Normal"/>
    <w:uiPriority w:val="99"/>
    <w:rsid w:val="002505F3"/>
    <w:pPr>
      <w:tabs>
        <w:tab w:val="left" w:pos="1134"/>
        <w:tab w:val="right" w:leader="dot" w:pos="10260"/>
      </w:tabs>
      <w:spacing w:line="288" w:lineRule="auto"/>
      <w:ind w:left="2268" w:right="873" w:hanging="1134"/>
      <w:jc w:val="left"/>
    </w:pPr>
    <w:rPr>
      <w:rFonts w:ascii="Arial" w:hAnsi="Arial"/>
      <w:b/>
      <w:color w:val="auto"/>
      <w:sz w:val="24"/>
      <w:szCs w:val="20"/>
    </w:rPr>
  </w:style>
  <w:style w:type="paragraph" w:styleId="TOC8">
    <w:name w:val="toc 8"/>
    <w:basedOn w:val="TOC7"/>
    <w:next w:val="Normal"/>
    <w:uiPriority w:val="99"/>
    <w:rsid w:val="002505F3"/>
    <w:pPr>
      <w:tabs>
        <w:tab w:val="right" w:leader="dot" w:pos="10762"/>
      </w:tabs>
    </w:pPr>
    <w:rPr>
      <w:b w:val="0"/>
      <w:szCs w:val="24"/>
    </w:rPr>
  </w:style>
  <w:style w:type="paragraph" w:customStyle="1" w:styleId="CVSubheading">
    <w:name w:val="CV Subheading"/>
    <w:basedOn w:val="BodyText"/>
    <w:next w:val="BodyText"/>
    <w:uiPriority w:val="99"/>
    <w:rsid w:val="002505F3"/>
    <w:pPr>
      <w:spacing w:after="0" w:line="288" w:lineRule="auto"/>
    </w:pPr>
    <w:rPr>
      <w:rFonts w:ascii="Arial" w:hAnsi="Arial"/>
      <w:b/>
      <w:color w:val="auto"/>
    </w:rPr>
  </w:style>
  <w:style w:type="table" w:styleId="TableGrid">
    <w:name w:val="Table Grid"/>
    <w:aliases w:val="TabelEcorys,Table Grid IDEA"/>
    <w:basedOn w:val="TableNormal"/>
    <w:uiPriority w:val="59"/>
    <w:rsid w:val="002505F3"/>
    <w:pPr>
      <w:spacing w:line="288" w:lineRule="auto"/>
    </w:pPr>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rsid w:val="002505F3"/>
    <w:rPr>
      <w:sz w:val="16"/>
      <w:szCs w:val="16"/>
    </w:rPr>
  </w:style>
  <w:style w:type="paragraph" w:styleId="CommentText">
    <w:name w:val="annotation text"/>
    <w:basedOn w:val="Normal"/>
    <w:link w:val="CommentTextChar"/>
    <w:uiPriority w:val="99"/>
    <w:rsid w:val="002505F3"/>
    <w:pPr>
      <w:spacing w:line="288" w:lineRule="auto"/>
      <w:jc w:val="left"/>
    </w:pPr>
    <w:rPr>
      <w:rFonts w:ascii="Arial" w:hAnsi="Arial"/>
      <w:color w:val="auto"/>
      <w:szCs w:val="20"/>
    </w:rPr>
  </w:style>
  <w:style w:type="character" w:customStyle="1" w:styleId="CommentTextChar">
    <w:name w:val="Comment Text Char"/>
    <w:basedOn w:val="DefaultParagraphFont"/>
    <w:link w:val="CommentText"/>
    <w:uiPriority w:val="99"/>
    <w:rsid w:val="002505F3"/>
    <w:rPr>
      <w:rFonts w:ascii="Arial" w:hAnsi="Arial"/>
      <w:lang w:eastAsia="en-GB"/>
    </w:rPr>
  </w:style>
  <w:style w:type="table" w:customStyle="1" w:styleId="ecTable">
    <w:name w:val="ec Table"/>
    <w:basedOn w:val="TableNormal"/>
    <w:rsid w:val="002505F3"/>
    <w:rPr>
      <w:rFonts w:ascii="Arial" w:hAnsi="Arial"/>
      <w:lang w:eastAsia="en-GB"/>
    </w:rPr>
    <w:tblPr>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Pr>
    <w:tcPr>
      <w:shd w:val="clear" w:color="auto" w:fill="DBDBE0"/>
    </w:tcPr>
    <w:tblStylePr w:type="firstRow">
      <w:rPr>
        <w:b/>
      </w:rPr>
      <w:tblPr/>
      <w:tcPr>
        <w:shd w:val="clear" w:color="auto" w:fill="003C64"/>
      </w:tcPr>
    </w:tblStylePr>
  </w:style>
  <w:style w:type="character" w:customStyle="1" w:styleId="TabletextChar">
    <w:name w:val="Table text Char"/>
    <w:basedOn w:val="DefaultParagraphFont"/>
    <w:link w:val="Tabletext"/>
    <w:rsid w:val="002505F3"/>
    <w:rPr>
      <w:rFonts w:ascii="Arial" w:hAnsi="Arial"/>
      <w:lang w:eastAsia="en-US"/>
    </w:rPr>
  </w:style>
  <w:style w:type="paragraph" w:customStyle="1" w:styleId="FootnoteText1">
    <w:name w:val="Footnote Text1"/>
    <w:uiPriority w:val="99"/>
    <w:rsid w:val="002505F3"/>
    <w:rPr>
      <w:rFonts w:ascii="Helvetica" w:eastAsia="ヒラギノ角ゴ Pro W3" w:hAnsi="Helvetica"/>
      <w:color w:val="000000"/>
      <w:lang w:val="en-US" w:eastAsia="en-GB"/>
    </w:rPr>
  </w:style>
  <w:style w:type="table" w:customStyle="1" w:styleId="TableGrid1">
    <w:name w:val="Table Grid1"/>
    <w:basedOn w:val="TableNormal"/>
    <w:next w:val="TableGrid"/>
    <w:uiPriority w:val="59"/>
    <w:rsid w:val="002505F3"/>
    <w:pPr>
      <w:spacing w:line="288" w:lineRule="auto"/>
    </w:pPr>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2505F3"/>
    <w:pPr>
      <w:spacing w:line="288" w:lineRule="auto"/>
    </w:pPr>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headerChar">
    <w:name w:val="Table header Char"/>
    <w:basedOn w:val="DefaultParagraphFont"/>
    <w:link w:val="Tableheader"/>
    <w:rsid w:val="002505F3"/>
    <w:rPr>
      <w:rFonts w:ascii="Arial" w:hAnsi="Arial"/>
      <w:color w:val="FFFFFF"/>
      <w:lang w:eastAsia="en-US"/>
    </w:rPr>
  </w:style>
  <w:style w:type="paragraph" w:styleId="CommentSubject">
    <w:name w:val="annotation subject"/>
    <w:basedOn w:val="CommentText"/>
    <w:next w:val="CommentText"/>
    <w:link w:val="CommentSubjectChar"/>
    <w:uiPriority w:val="99"/>
    <w:rsid w:val="002505F3"/>
    <w:pPr>
      <w:spacing w:line="240" w:lineRule="auto"/>
    </w:pPr>
    <w:rPr>
      <w:b/>
      <w:bCs/>
    </w:rPr>
  </w:style>
  <w:style w:type="character" w:customStyle="1" w:styleId="CommentSubjectChar">
    <w:name w:val="Comment Subject Char"/>
    <w:basedOn w:val="CommentTextChar"/>
    <w:link w:val="CommentSubject"/>
    <w:uiPriority w:val="99"/>
    <w:rsid w:val="002505F3"/>
    <w:rPr>
      <w:rFonts w:ascii="Arial" w:hAnsi="Arial"/>
      <w:b/>
      <w:bCs/>
      <w:lang w:eastAsia="en-GB"/>
    </w:rPr>
  </w:style>
  <w:style w:type="character" w:styleId="LineNumber">
    <w:name w:val="line number"/>
    <w:basedOn w:val="DefaultParagraphFont"/>
    <w:uiPriority w:val="99"/>
    <w:rsid w:val="002505F3"/>
  </w:style>
  <w:style w:type="table" w:customStyle="1" w:styleId="TableGrid3">
    <w:name w:val="Table Grid3"/>
    <w:basedOn w:val="TableNormal"/>
    <w:next w:val="TableGrid"/>
    <w:uiPriority w:val="59"/>
    <w:rsid w:val="002505F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NumberLevel2">
    <w:name w:val="List Number (Level 2)"/>
    <w:basedOn w:val="Normal"/>
    <w:uiPriority w:val="99"/>
    <w:rsid w:val="002505F3"/>
    <w:pPr>
      <w:tabs>
        <w:tab w:val="num" w:pos="1417"/>
      </w:tabs>
      <w:spacing w:after="240" w:line="276" w:lineRule="auto"/>
      <w:ind w:left="1417" w:right="170" w:hanging="708"/>
    </w:pPr>
    <w:rPr>
      <w:rFonts w:asciiTheme="minorHAnsi" w:hAnsiTheme="minorHAnsi"/>
      <w:color w:val="auto"/>
      <w:sz w:val="22"/>
      <w:szCs w:val="20"/>
      <w:lang w:eastAsia="en-US"/>
    </w:rPr>
  </w:style>
  <w:style w:type="paragraph" w:customStyle="1" w:styleId="ListNumberLevel3">
    <w:name w:val="List Number (Level 3)"/>
    <w:basedOn w:val="Normal"/>
    <w:uiPriority w:val="99"/>
    <w:rsid w:val="002505F3"/>
    <w:pPr>
      <w:tabs>
        <w:tab w:val="num" w:pos="2126"/>
      </w:tabs>
      <w:spacing w:after="240" w:line="276" w:lineRule="auto"/>
      <w:ind w:left="2126" w:right="170" w:hanging="709"/>
    </w:pPr>
    <w:rPr>
      <w:rFonts w:asciiTheme="minorHAnsi" w:hAnsiTheme="minorHAnsi"/>
      <w:color w:val="auto"/>
      <w:sz w:val="22"/>
      <w:szCs w:val="20"/>
      <w:lang w:eastAsia="en-US"/>
    </w:rPr>
  </w:style>
  <w:style w:type="paragraph" w:customStyle="1" w:styleId="ListNumberLevel4">
    <w:name w:val="List Number (Level 4)"/>
    <w:basedOn w:val="Normal"/>
    <w:uiPriority w:val="99"/>
    <w:rsid w:val="002505F3"/>
    <w:pPr>
      <w:tabs>
        <w:tab w:val="num" w:pos="2835"/>
      </w:tabs>
      <w:spacing w:after="240" w:line="276" w:lineRule="auto"/>
      <w:ind w:left="2835" w:right="170" w:hanging="709"/>
    </w:pPr>
    <w:rPr>
      <w:rFonts w:asciiTheme="minorHAnsi" w:hAnsiTheme="minorHAnsi"/>
      <w:color w:val="auto"/>
      <w:sz w:val="22"/>
      <w:szCs w:val="20"/>
      <w:lang w:eastAsia="en-US"/>
    </w:rPr>
  </w:style>
  <w:style w:type="character" w:customStyle="1" w:styleId="apple-converted-space">
    <w:name w:val="apple-converted-space"/>
    <w:basedOn w:val="DefaultParagraphFont"/>
    <w:rsid w:val="002505F3"/>
  </w:style>
  <w:style w:type="paragraph" w:styleId="NormalWeb">
    <w:name w:val="Normal (Web)"/>
    <w:basedOn w:val="Normal"/>
    <w:uiPriority w:val="99"/>
    <w:unhideWhenUsed/>
    <w:rsid w:val="002505F3"/>
    <w:pPr>
      <w:spacing w:before="100" w:beforeAutospacing="1" w:after="100" w:afterAutospacing="1" w:line="276" w:lineRule="auto"/>
      <w:ind w:left="170" w:right="170"/>
    </w:pPr>
    <w:rPr>
      <w:rFonts w:asciiTheme="minorHAnsi" w:hAnsiTheme="minorHAnsi"/>
      <w:color w:val="auto"/>
      <w:sz w:val="22"/>
      <w:szCs w:val="22"/>
      <w:lang w:val="de-DE" w:eastAsia="de-DE"/>
    </w:rPr>
  </w:style>
  <w:style w:type="character" w:customStyle="1" w:styleId="ListBulletChar">
    <w:name w:val="List Bullet Char"/>
    <w:aliases w:val=" Char Char Char1, Char Char Char Char Char Char Char Char Char Char Char Char Char Char Char Char Char Char Char Char Char Char Char,List bullett Char, Znak Char,Znak Char, Char Char1,Char Char Char Char1, Char1 Char, Char Char Cha Char"/>
    <w:basedOn w:val="DefaultParagraphFont"/>
    <w:link w:val="ListBullet"/>
    <w:rsid w:val="002505F3"/>
    <w:rPr>
      <w:rFonts w:ascii="Arial" w:hAnsi="Arial"/>
      <w:szCs w:val="24"/>
      <w:lang w:eastAsia="en-GB"/>
    </w:rPr>
  </w:style>
  <w:style w:type="table" w:styleId="LightShading-Accent1">
    <w:name w:val="Light Shading Accent 1"/>
    <w:basedOn w:val="TableNormal"/>
    <w:uiPriority w:val="60"/>
    <w:rsid w:val="002505F3"/>
    <w:rPr>
      <w:rFonts w:asciiTheme="minorHAnsi" w:eastAsiaTheme="minorHAnsi" w:hAnsiTheme="minorHAnsi" w:cstheme="minorBidi"/>
      <w:color w:val="365F91" w:themeColor="accent1" w:themeShade="BF"/>
      <w:sz w:val="22"/>
      <w:szCs w:val="22"/>
      <w:lang w:eastAsia="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DefaultText">
    <w:name w:val="Default Text"/>
    <w:basedOn w:val="Normal"/>
    <w:link w:val="DefaultTextChar"/>
    <w:qFormat/>
    <w:rsid w:val="002505F3"/>
    <w:pPr>
      <w:spacing w:line="280" w:lineRule="atLeast"/>
      <w:jc w:val="left"/>
    </w:pPr>
    <w:rPr>
      <w:rFonts w:ascii="Arial" w:hAnsi="Arial"/>
      <w:color w:val="auto"/>
      <w:sz w:val="18"/>
      <w:lang w:eastAsia="nl-NL"/>
    </w:rPr>
  </w:style>
  <w:style w:type="character" w:customStyle="1" w:styleId="DefaultTextChar">
    <w:name w:val="Default Text Char"/>
    <w:basedOn w:val="DefaultParagraphFont"/>
    <w:link w:val="DefaultText"/>
    <w:rsid w:val="002505F3"/>
    <w:rPr>
      <w:rFonts w:ascii="Arial" w:hAnsi="Arial"/>
      <w:sz w:val="18"/>
      <w:szCs w:val="24"/>
      <w:lang w:eastAsia="nl-NL"/>
    </w:rPr>
  </w:style>
  <w:style w:type="character" w:styleId="FollowedHyperlink">
    <w:name w:val="FollowedHyperlink"/>
    <w:basedOn w:val="DefaultParagraphFont"/>
    <w:uiPriority w:val="99"/>
    <w:rsid w:val="002505F3"/>
    <w:rPr>
      <w:color w:val="800080" w:themeColor="followedHyperlink"/>
      <w:u w:val="single"/>
    </w:rPr>
  </w:style>
  <w:style w:type="character" w:styleId="Strong">
    <w:name w:val="Strong"/>
    <w:basedOn w:val="DefaultParagraphFont"/>
    <w:uiPriority w:val="22"/>
    <w:qFormat/>
    <w:rsid w:val="002505F3"/>
    <w:rPr>
      <w:b/>
      <w:bCs/>
    </w:rPr>
  </w:style>
  <w:style w:type="character" w:customStyle="1" w:styleId="personname">
    <w:name w:val="person_name"/>
    <w:basedOn w:val="DefaultParagraphFont"/>
    <w:rsid w:val="002505F3"/>
  </w:style>
  <w:style w:type="character" w:styleId="Emphasis">
    <w:name w:val="Emphasis"/>
    <w:basedOn w:val="DefaultParagraphFont"/>
    <w:uiPriority w:val="20"/>
    <w:qFormat/>
    <w:rsid w:val="002505F3"/>
    <w:rPr>
      <w:i/>
      <w:iCs/>
    </w:rPr>
  </w:style>
  <w:style w:type="paragraph" w:customStyle="1" w:styleId="bibliographie">
    <w:name w:val="bibliographie"/>
    <w:basedOn w:val="Normal"/>
    <w:uiPriority w:val="99"/>
    <w:rsid w:val="002505F3"/>
    <w:pPr>
      <w:autoSpaceDE w:val="0"/>
      <w:autoSpaceDN w:val="0"/>
      <w:spacing w:line="240" w:lineRule="atLeast"/>
      <w:ind w:left="284" w:hanging="284"/>
      <w:jc w:val="left"/>
    </w:pPr>
    <w:rPr>
      <w:rFonts w:ascii="Times New Roman" w:hAnsi="Times New Roman"/>
      <w:color w:val="auto"/>
      <w:szCs w:val="20"/>
      <w:lang w:val="de-DE" w:eastAsia="de-DE"/>
    </w:rPr>
  </w:style>
  <w:style w:type="paragraph" w:styleId="PlainText">
    <w:name w:val="Plain Text"/>
    <w:basedOn w:val="Normal"/>
    <w:link w:val="PlainTextChar"/>
    <w:uiPriority w:val="99"/>
    <w:unhideWhenUsed/>
    <w:rsid w:val="002505F3"/>
    <w:pPr>
      <w:jc w:val="left"/>
    </w:pPr>
    <w:rPr>
      <w:rFonts w:ascii="Calibri" w:eastAsiaTheme="minorHAnsi" w:hAnsi="Calibri" w:cs="Consolas"/>
      <w:color w:val="auto"/>
      <w:sz w:val="22"/>
      <w:szCs w:val="21"/>
      <w:lang w:eastAsia="en-US"/>
    </w:rPr>
  </w:style>
  <w:style w:type="character" w:customStyle="1" w:styleId="PlainTextChar">
    <w:name w:val="Plain Text Char"/>
    <w:basedOn w:val="DefaultParagraphFont"/>
    <w:link w:val="PlainText"/>
    <w:uiPriority w:val="99"/>
    <w:rsid w:val="002505F3"/>
    <w:rPr>
      <w:rFonts w:ascii="Calibri" w:eastAsiaTheme="minorHAnsi" w:hAnsi="Calibri" w:cs="Consolas"/>
      <w:sz w:val="22"/>
      <w:szCs w:val="21"/>
      <w:lang w:eastAsia="en-US"/>
    </w:rPr>
  </w:style>
  <w:style w:type="paragraph" w:customStyle="1" w:styleId="Text1">
    <w:name w:val="Text 1"/>
    <w:basedOn w:val="Normal"/>
    <w:link w:val="Text1Char"/>
    <w:rsid w:val="002505F3"/>
    <w:pPr>
      <w:spacing w:after="240" w:line="276" w:lineRule="auto"/>
      <w:ind w:left="482" w:right="170"/>
    </w:pPr>
    <w:rPr>
      <w:rFonts w:asciiTheme="minorHAnsi" w:hAnsiTheme="minorHAnsi"/>
      <w:color w:val="auto"/>
      <w:sz w:val="22"/>
      <w:szCs w:val="20"/>
      <w:lang w:eastAsia="en-US"/>
    </w:rPr>
  </w:style>
  <w:style w:type="character" w:customStyle="1" w:styleId="Text1Char">
    <w:name w:val="Text 1 Char"/>
    <w:basedOn w:val="DefaultParagraphFont"/>
    <w:link w:val="Text1"/>
    <w:rsid w:val="002505F3"/>
    <w:rPr>
      <w:rFonts w:asciiTheme="minorHAnsi" w:hAnsiTheme="minorHAnsi"/>
      <w:sz w:val="22"/>
      <w:lang w:eastAsia="en-US"/>
    </w:rPr>
  </w:style>
  <w:style w:type="character" w:customStyle="1" w:styleId="element-citation">
    <w:name w:val="element-citation"/>
    <w:basedOn w:val="DefaultParagraphFont"/>
    <w:rsid w:val="002505F3"/>
  </w:style>
  <w:style w:type="character" w:customStyle="1" w:styleId="ref-journal">
    <w:name w:val="ref-journal"/>
    <w:basedOn w:val="DefaultParagraphFont"/>
    <w:rsid w:val="002505F3"/>
  </w:style>
  <w:style w:type="character" w:customStyle="1" w:styleId="ref-vol">
    <w:name w:val="ref-vol"/>
    <w:basedOn w:val="DefaultParagraphFont"/>
    <w:rsid w:val="002505F3"/>
  </w:style>
  <w:style w:type="paragraph" w:customStyle="1" w:styleId="Default">
    <w:name w:val="Default"/>
    <w:uiPriority w:val="99"/>
    <w:rsid w:val="002505F3"/>
    <w:pPr>
      <w:autoSpaceDE w:val="0"/>
      <w:autoSpaceDN w:val="0"/>
      <w:adjustRightInd w:val="0"/>
    </w:pPr>
    <w:rPr>
      <w:rFonts w:ascii="Arial" w:eastAsiaTheme="minorHAnsi" w:hAnsi="Arial" w:cs="Arial"/>
      <w:color w:val="000000"/>
      <w:sz w:val="24"/>
      <w:szCs w:val="24"/>
      <w:lang w:val="de-DE" w:eastAsia="en-US"/>
    </w:rPr>
  </w:style>
  <w:style w:type="paragraph" w:styleId="EndnoteText">
    <w:name w:val="endnote text"/>
    <w:basedOn w:val="Normal"/>
    <w:link w:val="EndnoteTextChar"/>
    <w:uiPriority w:val="99"/>
    <w:unhideWhenUsed/>
    <w:rsid w:val="002505F3"/>
    <w:pPr>
      <w:spacing w:line="276" w:lineRule="auto"/>
      <w:ind w:left="170" w:right="170"/>
    </w:pPr>
    <w:rPr>
      <w:rFonts w:asciiTheme="minorHAnsi" w:eastAsiaTheme="minorHAnsi" w:hAnsiTheme="minorHAnsi"/>
      <w:color w:val="auto"/>
      <w:szCs w:val="20"/>
      <w:lang w:val="de-DE" w:eastAsia="de-DE"/>
    </w:rPr>
  </w:style>
  <w:style w:type="character" w:customStyle="1" w:styleId="EndnoteTextChar">
    <w:name w:val="Endnote Text Char"/>
    <w:basedOn w:val="DefaultParagraphFont"/>
    <w:link w:val="EndnoteText"/>
    <w:uiPriority w:val="99"/>
    <w:rsid w:val="002505F3"/>
    <w:rPr>
      <w:rFonts w:asciiTheme="minorHAnsi" w:eastAsiaTheme="minorHAnsi" w:hAnsiTheme="minorHAnsi"/>
      <w:lang w:val="de-DE" w:eastAsia="de-DE"/>
    </w:rPr>
  </w:style>
  <w:style w:type="character" w:styleId="EndnoteReference">
    <w:name w:val="endnote reference"/>
    <w:basedOn w:val="DefaultParagraphFont"/>
    <w:uiPriority w:val="99"/>
    <w:unhideWhenUsed/>
    <w:rsid w:val="002505F3"/>
    <w:rPr>
      <w:vertAlign w:val="superscript"/>
    </w:rPr>
  </w:style>
  <w:style w:type="character" w:customStyle="1" w:styleId="apple-style-span">
    <w:name w:val="apple-style-span"/>
    <w:basedOn w:val="DefaultParagraphFont"/>
    <w:rsid w:val="002505F3"/>
  </w:style>
  <w:style w:type="paragraph" w:customStyle="1" w:styleId="reference">
    <w:name w:val="reference"/>
    <w:basedOn w:val="Normal"/>
    <w:uiPriority w:val="99"/>
    <w:rsid w:val="002505F3"/>
    <w:pPr>
      <w:spacing w:before="100" w:beforeAutospacing="1" w:after="100" w:afterAutospacing="1" w:line="276" w:lineRule="auto"/>
      <w:ind w:left="170" w:right="170"/>
    </w:pPr>
    <w:rPr>
      <w:rFonts w:asciiTheme="minorHAnsi" w:hAnsiTheme="minorHAnsi"/>
      <w:color w:val="auto"/>
      <w:sz w:val="22"/>
      <w:szCs w:val="22"/>
      <w:lang w:val="de-DE" w:eastAsia="de-DE"/>
    </w:rPr>
  </w:style>
  <w:style w:type="paragraph" w:styleId="TOCHeading">
    <w:name w:val="TOC Heading"/>
    <w:basedOn w:val="Heading1"/>
    <w:next w:val="Normal"/>
    <w:uiPriority w:val="39"/>
    <w:unhideWhenUsed/>
    <w:qFormat/>
    <w:rsid w:val="002505F3"/>
    <w:pPr>
      <w:keepLines/>
      <w:spacing w:before="480" w:after="0" w:line="276" w:lineRule="auto"/>
      <w:ind w:left="360" w:right="170" w:hanging="360"/>
      <w:outlineLvl w:val="9"/>
    </w:pPr>
    <w:rPr>
      <w:rFonts w:asciiTheme="majorHAnsi" w:eastAsiaTheme="majorEastAsia" w:hAnsiTheme="majorHAnsi" w:cstheme="majorBidi"/>
      <w:smallCaps/>
      <w:color w:val="365F91" w:themeColor="accent1" w:themeShade="BF"/>
      <w:kern w:val="0"/>
      <w:szCs w:val="28"/>
      <w:lang w:val="de-DE" w:eastAsia="en-US"/>
    </w:rPr>
  </w:style>
  <w:style w:type="paragraph" w:customStyle="1" w:styleId="Gliederung3">
    <w:name w:val="Gliederung 3"/>
    <w:basedOn w:val="Heading3"/>
    <w:link w:val="Gliederung3Zchn"/>
    <w:uiPriority w:val="99"/>
    <w:qFormat/>
    <w:rsid w:val="002505F3"/>
    <w:pPr>
      <w:numPr>
        <w:ilvl w:val="1"/>
        <w:numId w:val="2"/>
      </w:numPr>
      <w:spacing w:before="120" w:after="240" w:line="300" w:lineRule="atLeast"/>
      <w:ind w:left="574" w:hanging="357"/>
      <w:jc w:val="left"/>
    </w:pPr>
    <w:rPr>
      <w:rFonts w:asciiTheme="minorHAnsi" w:hAnsiTheme="minorHAnsi"/>
      <w:b w:val="0"/>
      <w:bCs w:val="0"/>
      <w:color w:val="4F81BD" w:themeColor="accent1"/>
      <w:sz w:val="22"/>
      <w:szCs w:val="22"/>
      <w:lang w:eastAsia="en-US"/>
    </w:rPr>
  </w:style>
  <w:style w:type="character" w:customStyle="1" w:styleId="Gliederung3Zchn">
    <w:name w:val="Gliederung 3 Zchn"/>
    <w:basedOn w:val="Heading3Char"/>
    <w:link w:val="Gliederung3"/>
    <w:uiPriority w:val="99"/>
    <w:rsid w:val="002505F3"/>
    <w:rPr>
      <w:rFonts w:asciiTheme="minorHAnsi" w:hAnsiTheme="minorHAnsi" w:cs="Arial"/>
      <w:b w:val="0"/>
      <w:bCs w:val="0"/>
      <w:color w:val="4F81BD" w:themeColor="accent1"/>
      <w:sz w:val="22"/>
      <w:szCs w:val="22"/>
      <w:lang w:eastAsia="en-US"/>
    </w:rPr>
  </w:style>
  <w:style w:type="paragraph" w:customStyle="1" w:styleId="Textfeld">
    <w:name w:val="Textfeld"/>
    <w:basedOn w:val="Normal"/>
    <w:link w:val="TextfeldZchn"/>
    <w:qFormat/>
    <w:rsid w:val="002505F3"/>
    <w:pPr>
      <w:spacing w:line="276" w:lineRule="auto"/>
      <w:ind w:left="170" w:right="170"/>
    </w:pPr>
    <w:rPr>
      <w:rFonts w:asciiTheme="minorHAnsi" w:eastAsiaTheme="minorHAnsi" w:hAnsiTheme="minorHAnsi"/>
      <w:color w:val="auto"/>
      <w:sz w:val="22"/>
      <w:szCs w:val="22"/>
      <w:lang w:val="en-US" w:eastAsia="de-DE"/>
    </w:rPr>
  </w:style>
  <w:style w:type="character" w:customStyle="1" w:styleId="TextfeldZchn">
    <w:name w:val="Textfeld Zchn"/>
    <w:basedOn w:val="DefaultParagraphFont"/>
    <w:link w:val="Textfeld"/>
    <w:rsid w:val="002505F3"/>
    <w:rPr>
      <w:rFonts w:asciiTheme="minorHAnsi" w:eastAsiaTheme="minorHAnsi" w:hAnsiTheme="minorHAnsi"/>
      <w:sz w:val="22"/>
      <w:szCs w:val="22"/>
      <w:lang w:val="en-US" w:eastAsia="de-DE"/>
    </w:rPr>
  </w:style>
  <w:style w:type="paragraph" w:customStyle="1" w:styleId="xl65">
    <w:name w:val="xl65"/>
    <w:basedOn w:val="Normal"/>
    <w:uiPriority w:val="99"/>
    <w:rsid w:val="002505F3"/>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Times New Roman" w:hAnsi="Times New Roman"/>
      <w:color w:val="auto"/>
      <w:sz w:val="24"/>
    </w:rPr>
  </w:style>
  <w:style w:type="paragraph" w:customStyle="1" w:styleId="xl66">
    <w:name w:val="xl66"/>
    <w:basedOn w:val="Normal"/>
    <w:uiPriority w:val="99"/>
    <w:rsid w:val="002505F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color w:val="auto"/>
      <w:sz w:val="24"/>
    </w:rPr>
  </w:style>
  <w:style w:type="paragraph" w:customStyle="1" w:styleId="xl67">
    <w:name w:val="xl67"/>
    <w:basedOn w:val="Normal"/>
    <w:uiPriority w:val="99"/>
    <w:rsid w:val="002505F3"/>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jc w:val="left"/>
    </w:pPr>
    <w:rPr>
      <w:rFonts w:ascii="Times New Roman" w:hAnsi="Times New Roman"/>
      <w:b/>
      <w:bCs/>
      <w:color w:val="auto"/>
      <w:sz w:val="24"/>
    </w:rPr>
  </w:style>
  <w:style w:type="paragraph" w:customStyle="1" w:styleId="xl68">
    <w:name w:val="xl68"/>
    <w:basedOn w:val="Normal"/>
    <w:uiPriority w:val="99"/>
    <w:rsid w:val="002505F3"/>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jc w:val="left"/>
    </w:pPr>
    <w:rPr>
      <w:rFonts w:ascii="Times New Roman" w:hAnsi="Times New Roman"/>
      <w:color w:val="auto"/>
      <w:sz w:val="24"/>
    </w:rPr>
  </w:style>
  <w:style w:type="paragraph" w:customStyle="1" w:styleId="xl69">
    <w:name w:val="xl69"/>
    <w:basedOn w:val="Normal"/>
    <w:uiPriority w:val="99"/>
    <w:rsid w:val="002505F3"/>
    <w:pPr>
      <w:pBdr>
        <w:top w:val="single" w:sz="4" w:space="0" w:color="auto"/>
        <w:left w:val="single" w:sz="4" w:space="0" w:color="auto"/>
        <w:bottom w:val="single" w:sz="4" w:space="0" w:color="auto"/>
        <w:right w:val="single" w:sz="4" w:space="0" w:color="auto"/>
      </w:pBdr>
      <w:shd w:val="clear" w:color="000000" w:fill="366092"/>
      <w:spacing w:before="100" w:beforeAutospacing="1" w:after="100" w:afterAutospacing="1"/>
      <w:jc w:val="left"/>
    </w:pPr>
    <w:rPr>
      <w:rFonts w:ascii="Times New Roman" w:hAnsi="Times New Roman"/>
      <w:color w:val="auto"/>
      <w:sz w:val="24"/>
    </w:rPr>
  </w:style>
  <w:style w:type="paragraph" w:customStyle="1" w:styleId="xl70">
    <w:name w:val="xl70"/>
    <w:basedOn w:val="Normal"/>
    <w:uiPriority w:val="99"/>
    <w:rsid w:val="002505F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color w:val="auto"/>
      <w:sz w:val="24"/>
    </w:rPr>
  </w:style>
  <w:style w:type="paragraph" w:customStyle="1" w:styleId="xl71">
    <w:name w:val="xl71"/>
    <w:basedOn w:val="Normal"/>
    <w:uiPriority w:val="99"/>
    <w:rsid w:val="002505F3"/>
    <w:pPr>
      <w:pBdr>
        <w:top w:val="single" w:sz="4" w:space="0" w:color="auto"/>
        <w:left w:val="single" w:sz="4" w:space="0" w:color="auto"/>
        <w:bottom w:val="single" w:sz="4" w:space="0" w:color="auto"/>
        <w:right w:val="single" w:sz="4" w:space="0" w:color="auto"/>
      </w:pBdr>
      <w:shd w:val="clear" w:color="000000" w:fill="C5D9F1"/>
      <w:spacing w:before="100" w:beforeAutospacing="1" w:after="100" w:afterAutospacing="1"/>
      <w:jc w:val="left"/>
    </w:pPr>
    <w:rPr>
      <w:rFonts w:ascii="Times New Roman" w:hAnsi="Times New Roman"/>
      <w:b/>
      <w:bCs/>
      <w:color w:val="auto"/>
      <w:sz w:val="24"/>
    </w:rPr>
  </w:style>
  <w:style w:type="paragraph" w:customStyle="1" w:styleId="xl72">
    <w:name w:val="xl72"/>
    <w:basedOn w:val="Normal"/>
    <w:uiPriority w:val="99"/>
    <w:rsid w:val="002505F3"/>
    <w:pPr>
      <w:spacing w:before="100" w:beforeAutospacing="1" w:after="100" w:afterAutospacing="1"/>
      <w:jc w:val="left"/>
    </w:pPr>
    <w:rPr>
      <w:rFonts w:ascii="Times New Roman" w:hAnsi="Times New Roman"/>
      <w:color w:val="auto"/>
      <w:sz w:val="24"/>
    </w:rPr>
  </w:style>
  <w:style w:type="paragraph" w:customStyle="1" w:styleId="xl73">
    <w:name w:val="xl73"/>
    <w:basedOn w:val="Normal"/>
    <w:uiPriority w:val="99"/>
    <w:rsid w:val="002505F3"/>
    <w:pPr>
      <w:pBdr>
        <w:top w:val="single" w:sz="4" w:space="0" w:color="auto"/>
        <w:left w:val="single" w:sz="4" w:space="0" w:color="auto"/>
        <w:bottom w:val="single" w:sz="4" w:space="0" w:color="auto"/>
        <w:right w:val="single" w:sz="4" w:space="0" w:color="auto"/>
      </w:pBdr>
      <w:shd w:val="clear" w:color="000000" w:fill="366092"/>
      <w:spacing w:before="100" w:beforeAutospacing="1" w:after="100" w:afterAutospacing="1"/>
      <w:jc w:val="left"/>
    </w:pPr>
    <w:rPr>
      <w:rFonts w:ascii="Times New Roman" w:hAnsi="Times New Roman"/>
      <w:b/>
      <w:bCs/>
      <w:color w:val="FFFFFF"/>
      <w:sz w:val="24"/>
    </w:rPr>
  </w:style>
  <w:style w:type="paragraph" w:customStyle="1" w:styleId="xl74">
    <w:name w:val="xl74"/>
    <w:basedOn w:val="Normal"/>
    <w:uiPriority w:val="99"/>
    <w:rsid w:val="002505F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b/>
      <w:bCs/>
      <w:color w:val="FFFFFF"/>
      <w:sz w:val="24"/>
    </w:rPr>
  </w:style>
  <w:style w:type="paragraph" w:customStyle="1" w:styleId="xl75">
    <w:name w:val="xl75"/>
    <w:basedOn w:val="Normal"/>
    <w:uiPriority w:val="99"/>
    <w:rsid w:val="002505F3"/>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jc w:val="left"/>
    </w:pPr>
    <w:rPr>
      <w:rFonts w:ascii="Times New Roman" w:hAnsi="Times New Roman"/>
      <w:color w:val="auto"/>
      <w:sz w:val="24"/>
    </w:rPr>
  </w:style>
  <w:style w:type="paragraph" w:customStyle="1" w:styleId="xl76">
    <w:name w:val="xl76"/>
    <w:basedOn w:val="Normal"/>
    <w:uiPriority w:val="99"/>
    <w:rsid w:val="002505F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auto"/>
      <w:sz w:val="24"/>
    </w:rPr>
  </w:style>
  <w:style w:type="paragraph" w:customStyle="1" w:styleId="paragraph">
    <w:name w:val="paragraph"/>
    <w:basedOn w:val="Normal"/>
    <w:link w:val="paragraphChar"/>
    <w:qFormat/>
    <w:rsid w:val="002505F3"/>
    <w:pPr>
      <w:spacing w:line="300" w:lineRule="exact"/>
      <w:ind w:left="720"/>
      <w:jc w:val="left"/>
    </w:pPr>
    <w:rPr>
      <w:rFonts w:ascii="Arial" w:hAnsi="Arial" w:cs="Arial"/>
      <w:color w:val="auto"/>
      <w:sz w:val="22"/>
      <w:szCs w:val="22"/>
    </w:rPr>
  </w:style>
  <w:style w:type="character" w:customStyle="1" w:styleId="paragraphChar">
    <w:name w:val="paragraph Char"/>
    <w:basedOn w:val="DefaultParagraphFont"/>
    <w:link w:val="paragraph"/>
    <w:rsid w:val="002505F3"/>
    <w:rPr>
      <w:rFonts w:ascii="Arial" w:hAnsi="Arial" w:cs="Arial"/>
      <w:sz w:val="22"/>
      <w:szCs w:val="22"/>
      <w:lang w:eastAsia="en-GB"/>
    </w:rPr>
  </w:style>
  <w:style w:type="paragraph" w:customStyle="1" w:styleId="bullet1">
    <w:name w:val="bullet1"/>
    <w:basedOn w:val="Normal"/>
    <w:link w:val="bullet1Char"/>
    <w:uiPriority w:val="99"/>
    <w:qFormat/>
    <w:rsid w:val="002505F3"/>
    <w:pPr>
      <w:numPr>
        <w:numId w:val="17"/>
      </w:numPr>
      <w:spacing w:after="120"/>
    </w:pPr>
    <w:rPr>
      <w:rFonts w:ascii="Arial" w:hAnsi="Arial"/>
      <w:color w:val="auto"/>
      <w:sz w:val="22"/>
    </w:rPr>
  </w:style>
  <w:style w:type="character" w:customStyle="1" w:styleId="bullet1Char">
    <w:name w:val="bullet1 Char"/>
    <w:basedOn w:val="DefaultParagraphFont"/>
    <w:link w:val="bullet1"/>
    <w:uiPriority w:val="99"/>
    <w:locked/>
    <w:rsid w:val="002505F3"/>
    <w:rPr>
      <w:rFonts w:ascii="Arial" w:hAnsi="Arial"/>
      <w:sz w:val="22"/>
      <w:szCs w:val="24"/>
      <w:lang w:eastAsia="en-GB"/>
    </w:rPr>
  </w:style>
  <w:style w:type="numbering" w:customStyle="1" w:styleId="NoList1">
    <w:name w:val="No List1"/>
    <w:next w:val="NoList"/>
    <w:uiPriority w:val="99"/>
    <w:semiHidden/>
    <w:unhideWhenUsed/>
    <w:rsid w:val="002505F3"/>
  </w:style>
  <w:style w:type="table" w:customStyle="1" w:styleId="TableGrid11">
    <w:name w:val="Table Grid11"/>
    <w:basedOn w:val="TableNormal"/>
    <w:next w:val="TableGrid"/>
    <w:uiPriority w:val="59"/>
    <w:rsid w:val="002505F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0">
    <w:name w:val="Table Text"/>
    <w:aliases w:val="TT"/>
    <w:basedOn w:val="Normal"/>
    <w:link w:val="TableTextChar0"/>
    <w:rsid w:val="002505F3"/>
    <w:pPr>
      <w:spacing w:line="280" w:lineRule="atLeast"/>
      <w:jc w:val="left"/>
    </w:pPr>
    <w:rPr>
      <w:rFonts w:ascii="Arial" w:hAnsi="Arial" w:cs="Arial"/>
      <w:color w:val="auto"/>
      <w:sz w:val="16"/>
      <w:szCs w:val="16"/>
      <w:lang w:eastAsia="en-US"/>
    </w:rPr>
  </w:style>
  <w:style w:type="character" w:customStyle="1" w:styleId="TableTextChar0">
    <w:name w:val="Table Text Char"/>
    <w:basedOn w:val="DefaultParagraphFont"/>
    <w:link w:val="TableText0"/>
    <w:rsid w:val="002505F3"/>
    <w:rPr>
      <w:rFonts w:ascii="Arial" w:hAnsi="Arial" w:cs="Arial"/>
      <w:sz w:val="16"/>
      <w:szCs w:val="16"/>
      <w:lang w:eastAsia="en-US"/>
    </w:rPr>
  </w:style>
  <w:style w:type="character" w:customStyle="1" w:styleId="Pogrubienie1">
    <w:name w:val="Pogrubienie1"/>
    <w:basedOn w:val="DefaultParagraphFont"/>
    <w:rsid w:val="002505F3"/>
  </w:style>
  <w:style w:type="paragraph" w:customStyle="1" w:styleId="CharCharCarCharCarCharCarCharCarCharCarCharCarCharCharCharCharCar">
    <w:name w:val="Char Char Car Char Car Char Car Char Car Char Car Char Car Char Char Char Char Car"/>
    <w:basedOn w:val="Normal"/>
    <w:next w:val="Normal"/>
    <w:uiPriority w:val="99"/>
    <w:rsid w:val="002505F3"/>
    <w:pPr>
      <w:spacing w:after="160" w:line="240" w:lineRule="exact"/>
      <w:jc w:val="left"/>
    </w:pPr>
    <w:rPr>
      <w:rFonts w:ascii="Arial" w:hAnsi="Arial" w:cs="Arial"/>
      <w:color w:val="auto"/>
      <w:szCs w:val="20"/>
      <w:lang w:val="en-US" w:eastAsia="en-US"/>
    </w:rPr>
  </w:style>
  <w:style w:type="character" w:customStyle="1" w:styleId="hps">
    <w:name w:val="hps"/>
    <w:basedOn w:val="DefaultParagraphFont"/>
    <w:rsid w:val="002505F3"/>
  </w:style>
  <w:style w:type="paragraph" w:customStyle="1" w:styleId="1Ebene">
    <w:name w:val="1.Ebene"/>
    <w:basedOn w:val="Heading1"/>
    <w:uiPriority w:val="99"/>
    <w:qFormat/>
    <w:rsid w:val="002505F3"/>
    <w:pPr>
      <w:keepLines/>
      <w:numPr>
        <w:numId w:val="18"/>
      </w:numPr>
      <w:spacing w:before="240" w:after="120" w:line="288" w:lineRule="auto"/>
      <w:ind w:left="426" w:hanging="426"/>
    </w:pPr>
    <w:rPr>
      <w:rFonts w:asciiTheme="majorHAnsi" w:eastAsiaTheme="majorEastAsia" w:hAnsiTheme="majorHAnsi" w:cstheme="majorBidi"/>
      <w:bCs w:val="0"/>
      <w:smallCaps/>
      <w:color w:val="365F91"/>
      <w:kern w:val="0"/>
      <w:lang w:val="de-DE" w:eastAsia="en-US"/>
    </w:rPr>
  </w:style>
  <w:style w:type="character" w:customStyle="1" w:styleId="2EbeneZchn">
    <w:name w:val="2.Ebene Zchn"/>
    <w:basedOn w:val="DefaultParagraphFont"/>
    <w:link w:val="2Ebene"/>
    <w:uiPriority w:val="99"/>
    <w:locked/>
    <w:rsid w:val="002505F3"/>
    <w:rPr>
      <w:rFonts w:asciiTheme="majorHAnsi" w:eastAsiaTheme="majorEastAsia" w:hAnsiTheme="majorHAnsi" w:cstheme="majorBidi"/>
      <w:b/>
      <w:smallCaps/>
      <w:color w:val="365F91"/>
      <w:sz w:val="24"/>
      <w:szCs w:val="24"/>
    </w:rPr>
  </w:style>
  <w:style w:type="paragraph" w:customStyle="1" w:styleId="2Ebene">
    <w:name w:val="2.Ebene"/>
    <w:basedOn w:val="1Ebene"/>
    <w:link w:val="2EbeneZchn"/>
    <w:uiPriority w:val="99"/>
    <w:qFormat/>
    <w:rsid w:val="002505F3"/>
    <w:pPr>
      <w:numPr>
        <w:ilvl w:val="1"/>
      </w:numPr>
      <w:ind w:left="567" w:hanging="567"/>
    </w:pPr>
    <w:rPr>
      <w:sz w:val="24"/>
      <w:szCs w:val="24"/>
      <w:lang w:val="en-GB" w:eastAsia="zh-CN"/>
    </w:rPr>
  </w:style>
  <w:style w:type="paragraph" w:customStyle="1" w:styleId="3Ebene">
    <w:name w:val="3.Ebene"/>
    <w:basedOn w:val="2Ebene"/>
    <w:uiPriority w:val="99"/>
    <w:qFormat/>
    <w:rsid w:val="002505F3"/>
    <w:pPr>
      <w:numPr>
        <w:ilvl w:val="2"/>
      </w:numPr>
      <w:tabs>
        <w:tab w:val="num" w:pos="360"/>
        <w:tab w:val="num" w:pos="1418"/>
        <w:tab w:val="num" w:pos="2160"/>
      </w:tabs>
      <w:ind w:left="851" w:hanging="851"/>
    </w:pPr>
    <w:rPr>
      <w:sz w:val="22"/>
      <w:szCs w:val="22"/>
    </w:rPr>
  </w:style>
  <w:style w:type="character" w:customStyle="1" w:styleId="ListemitLeerraumZchn">
    <w:name w:val="Liste mit Leerraum Zchn"/>
    <w:basedOn w:val="ListParagraphChar"/>
    <w:link w:val="ListemitLeerraum"/>
    <w:uiPriority w:val="99"/>
    <w:locked/>
    <w:rsid w:val="002505F3"/>
    <w:rPr>
      <w:rFonts w:asciiTheme="minorHAnsi" w:eastAsiaTheme="minorHAnsi" w:hAnsiTheme="minorHAnsi" w:cstheme="minorBidi"/>
      <w:color w:val="333333"/>
      <w:sz w:val="24"/>
      <w:szCs w:val="24"/>
      <w:lang w:eastAsia="de-DE"/>
    </w:rPr>
  </w:style>
  <w:style w:type="paragraph" w:customStyle="1" w:styleId="ListemitLeerraum">
    <w:name w:val="Liste mit Leerraum"/>
    <w:basedOn w:val="ListParagraph"/>
    <w:link w:val="ListemitLeerraumZchn"/>
    <w:uiPriority w:val="99"/>
    <w:qFormat/>
    <w:rsid w:val="002505F3"/>
    <w:pPr>
      <w:numPr>
        <w:numId w:val="19"/>
      </w:numPr>
      <w:spacing w:after="120" w:line="288" w:lineRule="auto"/>
      <w:ind w:left="714" w:hanging="357"/>
    </w:pPr>
    <w:rPr>
      <w:rFonts w:asciiTheme="minorHAnsi" w:eastAsiaTheme="minorHAnsi" w:hAnsiTheme="minorHAnsi" w:cstheme="minorBidi"/>
      <w:color w:val="auto"/>
      <w:sz w:val="24"/>
      <w:lang w:eastAsia="de-DE"/>
    </w:rPr>
  </w:style>
  <w:style w:type="character" w:customStyle="1" w:styleId="rightside">
    <w:name w:val="right_side"/>
    <w:basedOn w:val="DefaultParagraphFont"/>
    <w:rsid w:val="002505F3"/>
  </w:style>
  <w:style w:type="paragraph" w:customStyle="1" w:styleId="broodtekst">
    <w:name w:val="broodtekst"/>
    <w:basedOn w:val="Normal"/>
    <w:link w:val="broodtekstChar"/>
    <w:rsid w:val="002505F3"/>
    <w:pPr>
      <w:spacing w:line="280" w:lineRule="atLeast"/>
      <w:jc w:val="left"/>
    </w:pPr>
    <w:rPr>
      <w:rFonts w:ascii="Arial" w:hAnsi="Arial"/>
      <w:color w:val="auto"/>
      <w:sz w:val="18"/>
      <w:lang w:eastAsia="nl-NL"/>
    </w:rPr>
  </w:style>
  <w:style w:type="character" w:customStyle="1" w:styleId="broodtekstChar">
    <w:name w:val="broodtekst Char"/>
    <w:link w:val="broodtekst"/>
    <w:rsid w:val="002505F3"/>
    <w:rPr>
      <w:rFonts w:ascii="Arial" w:hAnsi="Arial"/>
      <w:sz w:val="18"/>
      <w:szCs w:val="24"/>
      <w:lang w:eastAsia="nl-NL"/>
    </w:rPr>
  </w:style>
  <w:style w:type="paragraph" w:customStyle="1" w:styleId="ECVSectionDetails">
    <w:name w:val="_ECV_SectionDetails"/>
    <w:basedOn w:val="Normal"/>
    <w:uiPriority w:val="99"/>
    <w:rsid w:val="002505F3"/>
    <w:pPr>
      <w:widowControl w:val="0"/>
      <w:suppressLineNumbers/>
      <w:suppressAutoHyphens/>
      <w:autoSpaceDE w:val="0"/>
      <w:spacing w:before="28" w:line="100" w:lineRule="atLeast"/>
      <w:jc w:val="left"/>
    </w:pPr>
    <w:rPr>
      <w:rFonts w:ascii="Arial" w:eastAsia="SimSun" w:hAnsi="Arial" w:cs="Mangal"/>
      <w:color w:val="3F3A38"/>
      <w:spacing w:val="-6"/>
      <w:kern w:val="2"/>
      <w:sz w:val="18"/>
      <w:lang w:eastAsia="zh-CN" w:bidi="hi-IN"/>
    </w:rPr>
  </w:style>
  <w:style w:type="paragraph" w:customStyle="1" w:styleId="AEACVBold-heading">
    <w:name w:val="AEACVBold-heading"/>
    <w:basedOn w:val="Normal"/>
    <w:next w:val="Normal"/>
    <w:uiPriority w:val="99"/>
    <w:qFormat/>
    <w:rsid w:val="002505F3"/>
    <w:pPr>
      <w:keepNext/>
    </w:pPr>
    <w:rPr>
      <w:rFonts w:ascii="Arial" w:eastAsia="Arial" w:hAnsi="Arial"/>
      <w:b/>
      <w:color w:val="auto"/>
      <w:lang w:eastAsia="en-US"/>
    </w:rPr>
  </w:style>
  <w:style w:type="paragraph" w:customStyle="1" w:styleId="CVNormal-FirstLine">
    <w:name w:val="CV Normal - First Line"/>
    <w:basedOn w:val="Normal"/>
    <w:next w:val="Normal"/>
    <w:uiPriority w:val="99"/>
    <w:rsid w:val="002505F3"/>
    <w:pPr>
      <w:suppressAutoHyphens/>
      <w:spacing w:before="74"/>
      <w:ind w:left="113" w:right="113"/>
      <w:jc w:val="left"/>
    </w:pPr>
    <w:rPr>
      <w:rFonts w:ascii="Arial Narrow" w:hAnsi="Arial Narrow"/>
      <w:color w:val="auto"/>
      <w:szCs w:val="20"/>
      <w:lang w:val="en-US" w:eastAsia="ar-SA"/>
    </w:rPr>
  </w:style>
  <w:style w:type="character" w:customStyle="1" w:styleId="italic1">
    <w:name w:val="italic1"/>
    <w:basedOn w:val="DefaultParagraphFont"/>
    <w:rsid w:val="002505F3"/>
    <w:rPr>
      <w:i/>
      <w:iCs/>
    </w:rPr>
  </w:style>
  <w:style w:type="paragraph" w:customStyle="1" w:styleId="ECVText">
    <w:name w:val="_ECV_Text"/>
    <w:basedOn w:val="BodyText"/>
    <w:uiPriority w:val="99"/>
    <w:rsid w:val="002505F3"/>
    <w:pPr>
      <w:widowControl w:val="0"/>
      <w:suppressAutoHyphens/>
      <w:spacing w:after="0" w:line="100" w:lineRule="atLeast"/>
      <w:jc w:val="left"/>
    </w:pPr>
    <w:rPr>
      <w:rFonts w:ascii="Arial" w:eastAsia="SimSun" w:hAnsi="Arial" w:cs="Mangal"/>
      <w:color w:val="3F3A38"/>
      <w:spacing w:val="-6"/>
      <w:kern w:val="2"/>
      <w:sz w:val="16"/>
      <w:lang w:eastAsia="zh-CN" w:bidi="hi-IN"/>
    </w:rPr>
  </w:style>
  <w:style w:type="character" w:customStyle="1" w:styleId="nowrap">
    <w:name w:val="nowrap"/>
    <w:basedOn w:val="DefaultParagraphFont"/>
    <w:rsid w:val="002505F3"/>
  </w:style>
  <w:style w:type="paragraph" w:customStyle="1" w:styleId="ECVSectionBullet">
    <w:name w:val="_ECV_SectionBullet"/>
    <w:basedOn w:val="Normal"/>
    <w:uiPriority w:val="99"/>
    <w:rsid w:val="002505F3"/>
    <w:pPr>
      <w:widowControl w:val="0"/>
      <w:suppressLineNumbers/>
      <w:suppressAutoHyphens/>
      <w:autoSpaceDE w:val="0"/>
      <w:spacing w:line="100" w:lineRule="atLeast"/>
      <w:jc w:val="left"/>
    </w:pPr>
    <w:rPr>
      <w:rFonts w:ascii="Arial" w:eastAsia="SimSun" w:hAnsi="Arial" w:cs="Mangal"/>
      <w:color w:val="3F3A38"/>
      <w:spacing w:val="-6"/>
      <w:kern w:val="2"/>
      <w:sz w:val="18"/>
      <w:lang w:eastAsia="zh-CN" w:bidi="hi-IN"/>
    </w:rPr>
  </w:style>
  <w:style w:type="character" w:customStyle="1" w:styleId="leaf">
    <w:name w:val="leaf"/>
    <w:basedOn w:val="DefaultParagraphFont"/>
    <w:rsid w:val="002505F3"/>
  </w:style>
  <w:style w:type="paragraph" w:styleId="Revision">
    <w:name w:val="Revision"/>
    <w:hidden/>
    <w:uiPriority w:val="99"/>
    <w:semiHidden/>
    <w:rsid w:val="002505F3"/>
    <w:rPr>
      <w:rFonts w:ascii="Arial" w:hAnsi="Arial"/>
      <w:sz w:val="24"/>
      <w:szCs w:val="24"/>
      <w:lang w:eastAsia="en-GB"/>
    </w:rPr>
  </w:style>
  <w:style w:type="character" w:customStyle="1" w:styleId="BodyTextChar1">
    <w:name w:val="Body Text Char1"/>
    <w:aliases w:val="Body Text Char1 Char3 Char,Body Text Char Char Char2 Char,Body Text Char1 Char Char Char1 Char,Body Text Char Char Char2 Char Char Char,Body Text Char2 Char Char Char1 Char Char Char,Body Text Char Char1 Char Char Char Char Char Char1"/>
    <w:basedOn w:val="DefaultParagraphFont"/>
    <w:semiHidden/>
    <w:locked/>
    <w:rsid w:val="002505F3"/>
    <w:rPr>
      <w:rFonts w:ascii="Arial" w:hAnsi="Arial"/>
      <w:szCs w:val="24"/>
    </w:rPr>
  </w:style>
  <w:style w:type="character" w:customStyle="1" w:styleId="xapple-converted-space">
    <w:name w:val="x_apple-converted-space"/>
    <w:basedOn w:val="DefaultParagraphFont"/>
    <w:rsid w:val="002505F3"/>
  </w:style>
  <w:style w:type="paragraph" w:customStyle="1" w:styleId="xl63">
    <w:name w:val="xl63"/>
    <w:basedOn w:val="Normal"/>
    <w:uiPriority w:val="99"/>
    <w:rsid w:val="002505F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color w:val="auto"/>
      <w:sz w:val="24"/>
    </w:rPr>
  </w:style>
  <w:style w:type="paragraph" w:customStyle="1" w:styleId="xl64">
    <w:name w:val="xl64"/>
    <w:basedOn w:val="Normal"/>
    <w:uiPriority w:val="99"/>
    <w:rsid w:val="002505F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left"/>
    </w:pPr>
    <w:rPr>
      <w:rFonts w:ascii="Times New Roman" w:hAnsi="Times New Roman"/>
      <w:b/>
      <w:bCs/>
      <w:color w:val="auto"/>
      <w:sz w:val="24"/>
    </w:rPr>
  </w:style>
  <w:style w:type="paragraph" w:customStyle="1" w:styleId="xl77">
    <w:name w:val="xl77"/>
    <w:basedOn w:val="Normal"/>
    <w:uiPriority w:val="99"/>
    <w:rsid w:val="002505F3"/>
    <w:pPr>
      <w:pBdr>
        <w:top w:val="single" w:sz="4" w:space="0" w:color="auto"/>
        <w:left w:val="single" w:sz="4" w:space="0" w:color="auto"/>
        <w:bottom w:val="single" w:sz="4" w:space="0" w:color="auto"/>
        <w:right w:val="single" w:sz="4" w:space="0" w:color="auto"/>
      </w:pBdr>
      <w:shd w:val="clear" w:color="000000" w:fill="538DD5"/>
      <w:spacing w:before="100" w:beforeAutospacing="1" w:after="100" w:afterAutospacing="1"/>
      <w:jc w:val="left"/>
    </w:pPr>
    <w:rPr>
      <w:rFonts w:ascii="Times New Roman" w:hAnsi="Times New Roman"/>
      <w:color w:val="FFFFFF"/>
      <w:sz w:val="24"/>
    </w:rPr>
  </w:style>
  <w:style w:type="paragraph" w:customStyle="1" w:styleId="xl78">
    <w:name w:val="xl78"/>
    <w:basedOn w:val="Normal"/>
    <w:uiPriority w:val="99"/>
    <w:rsid w:val="002505F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color w:val="FFFFFF"/>
      <w:sz w:val="24"/>
    </w:rPr>
  </w:style>
  <w:style w:type="paragraph" w:customStyle="1" w:styleId="xl79">
    <w:name w:val="xl79"/>
    <w:basedOn w:val="Normal"/>
    <w:uiPriority w:val="99"/>
    <w:rsid w:val="002505F3"/>
    <w:pPr>
      <w:pBdr>
        <w:top w:val="single" w:sz="4" w:space="0" w:color="auto"/>
        <w:left w:val="single" w:sz="4" w:space="0" w:color="auto"/>
        <w:bottom w:val="single" w:sz="4" w:space="0" w:color="auto"/>
        <w:right w:val="single" w:sz="4" w:space="0" w:color="auto"/>
      </w:pBdr>
      <w:shd w:val="clear" w:color="000000" w:fill="538DD5"/>
      <w:spacing w:before="100" w:beforeAutospacing="1" w:after="100" w:afterAutospacing="1"/>
      <w:jc w:val="center"/>
      <w:textAlignment w:val="center"/>
    </w:pPr>
    <w:rPr>
      <w:rFonts w:ascii="Times New Roman" w:hAnsi="Times New Roman"/>
      <w:b/>
      <w:bCs/>
      <w:color w:val="FFFFFF"/>
      <w:sz w:val="24"/>
    </w:rPr>
  </w:style>
  <w:style w:type="paragraph" w:customStyle="1" w:styleId="xl80">
    <w:name w:val="xl80"/>
    <w:basedOn w:val="Normal"/>
    <w:uiPriority w:val="99"/>
    <w:rsid w:val="002505F3"/>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jc w:val="left"/>
    </w:pPr>
    <w:rPr>
      <w:rFonts w:ascii="Times New Roman" w:hAnsi="Times New Roman"/>
      <w:color w:val="auto"/>
      <w:sz w:val="24"/>
    </w:rPr>
  </w:style>
  <w:style w:type="paragraph" w:customStyle="1" w:styleId="xl81">
    <w:name w:val="xl81"/>
    <w:basedOn w:val="Normal"/>
    <w:uiPriority w:val="99"/>
    <w:rsid w:val="002505F3"/>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auto"/>
      <w:sz w:val="24"/>
    </w:rPr>
  </w:style>
  <w:style w:type="paragraph" w:customStyle="1" w:styleId="xl82">
    <w:name w:val="xl82"/>
    <w:basedOn w:val="Normal"/>
    <w:uiPriority w:val="99"/>
    <w:rsid w:val="002505F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auto"/>
      <w:sz w:val="24"/>
    </w:rPr>
  </w:style>
  <w:style w:type="paragraph" w:customStyle="1" w:styleId="xl83">
    <w:name w:val="xl83"/>
    <w:basedOn w:val="Normal"/>
    <w:uiPriority w:val="99"/>
    <w:rsid w:val="002505F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color w:val="auto"/>
      <w:sz w:val="24"/>
    </w:rPr>
  </w:style>
  <w:style w:type="character" w:customStyle="1" w:styleId="Heading1Char1">
    <w:name w:val="Heading 1 Char1"/>
    <w:aliases w:val="(Section) Char1,Large Bold Char1,PDS TITLE Char1,Section Char1,Oscar Faber 1 Char1,L1 Char1,New Section Char1,PA Chapter Char1,heading a Char1,Outline1 Char1,Halcrow 1 Char1,Kapittel Char1,Numbered - 1 Char1,heading 1 Char1,Chapter Char1"/>
    <w:basedOn w:val="DefaultParagraphFont"/>
    <w:rsid w:val="000F4E97"/>
    <w:rPr>
      <w:rFonts w:asciiTheme="majorHAnsi" w:eastAsiaTheme="majorEastAsia" w:hAnsiTheme="majorHAnsi" w:cstheme="majorBidi"/>
      <w:b/>
      <w:bCs/>
      <w:color w:val="365F91" w:themeColor="accent1" w:themeShade="BF"/>
      <w:sz w:val="28"/>
      <w:szCs w:val="28"/>
    </w:rPr>
  </w:style>
  <w:style w:type="character" w:customStyle="1" w:styleId="Heading2Char1">
    <w:name w:val="Heading 2 Char1"/>
    <w:aliases w:val="h2 Char1,(SubSection) Char1,Para Nos Char1,Para Char1,Main Heading Char1,Main Headi Char1,H2 Char1,Oscar Faber 2 Char1,SUBHEADING Char1,Heading 2a Char1,1.1 Heading 2 Char1,Paragraaf Char1,SZRptH2 Char2,SZRptH2 Char Char1,L2 Char1"/>
    <w:basedOn w:val="DefaultParagraphFont"/>
    <w:semiHidden/>
    <w:rsid w:val="000F4E97"/>
    <w:rPr>
      <w:rFonts w:asciiTheme="majorHAnsi" w:eastAsiaTheme="majorEastAsia" w:hAnsiTheme="majorHAnsi" w:cstheme="majorBidi"/>
      <w:b/>
      <w:bCs/>
      <w:color w:val="4F81BD" w:themeColor="accent1"/>
      <w:sz w:val="26"/>
      <w:szCs w:val="26"/>
    </w:rPr>
  </w:style>
  <w:style w:type="character" w:customStyle="1" w:styleId="Heading3Char1">
    <w:name w:val="Heading 3 Char1"/>
    <w:aliases w:val="SZRptH3 Char1,note bullet Char1,Minor Char2,Mi Char1,Headline Char1,Oscar Faber 3 Char2,L3 Char1,Halcrow 3 Char1,Outline3 Char1,Minor Char Char1,Oscar Faber 3 Char Char1,Underavsn. Char1,Use Char1,Subparagraaf Char1,3 bullet Char1"/>
    <w:basedOn w:val="DefaultParagraphFont"/>
    <w:semiHidden/>
    <w:rsid w:val="000F4E97"/>
    <w:rPr>
      <w:rFonts w:asciiTheme="majorHAnsi" w:eastAsiaTheme="majorEastAsia" w:hAnsiTheme="majorHAnsi" w:cstheme="majorBidi"/>
      <w:b/>
      <w:bCs/>
      <w:color w:val="4F81BD" w:themeColor="accent1"/>
      <w:sz w:val="24"/>
      <w:szCs w:val="24"/>
    </w:rPr>
  </w:style>
  <w:style w:type="character" w:customStyle="1" w:styleId="Heading4Char1">
    <w:name w:val="Heading 4 Char1"/>
    <w:aliases w:val="Numbered - 4 Char1,h4 Char1,ALK_K4 Char1,Level 2 - a Char1,PA Micro Section Char1,Oscar Faber Appendix Char1,r Appendix Char1,Halcrow Appendix Char1,Appendix Char1,Oscar Faber 4 Char1,level 4 para number Char1,Ignore1 Char1,Kopje Char1"/>
    <w:basedOn w:val="DefaultParagraphFont"/>
    <w:semiHidden/>
    <w:rsid w:val="000F4E97"/>
    <w:rPr>
      <w:rFonts w:asciiTheme="majorHAnsi" w:eastAsiaTheme="majorEastAsia" w:hAnsiTheme="majorHAnsi" w:cstheme="majorBidi"/>
      <w:b/>
      <w:bCs/>
      <w:i/>
      <w:iCs/>
      <w:color w:val="4F81BD" w:themeColor="accent1"/>
      <w:sz w:val="24"/>
      <w:szCs w:val="24"/>
    </w:rPr>
  </w:style>
  <w:style w:type="character" w:customStyle="1" w:styleId="Heading5Char1">
    <w:name w:val="Heading 5 Char1"/>
    <w:aliases w:val="Ignore2 Char1,Numbered - 5 Char1,Level 3 - i Char1,Heading 5(war) Char1,DNV-H5 Char1,Block Label Char1,Heading 5 CFMU Char1,Para 5 Char1,h5 Char1,DO NOT USE_h5 Char1,H5 Char1,Roman list Char1,Schedule A to X Char1"/>
    <w:basedOn w:val="DefaultParagraphFont"/>
    <w:semiHidden/>
    <w:rsid w:val="000F4E97"/>
    <w:rPr>
      <w:rFonts w:asciiTheme="majorHAnsi" w:eastAsiaTheme="majorEastAsia" w:hAnsiTheme="majorHAnsi" w:cstheme="majorBidi"/>
      <w:color w:val="243F60" w:themeColor="accent1" w:themeShade="7F"/>
      <w:sz w:val="24"/>
      <w:szCs w:val="24"/>
    </w:rPr>
  </w:style>
  <w:style w:type="character" w:customStyle="1" w:styleId="Heading6Char1">
    <w:name w:val="Heading 6 Char1"/>
    <w:aliases w:val="Do Not Use 6 Char1,L6 Char1,. (a.) Char1,Legal Level 1. Char1,level 1 bullet Char1"/>
    <w:basedOn w:val="DefaultParagraphFont"/>
    <w:semiHidden/>
    <w:rsid w:val="000F4E97"/>
    <w:rPr>
      <w:rFonts w:asciiTheme="majorHAnsi" w:eastAsiaTheme="majorEastAsia" w:hAnsiTheme="majorHAnsi" w:cstheme="majorBidi"/>
      <w:i/>
      <w:iCs/>
      <w:color w:val="243F60" w:themeColor="accent1" w:themeShade="7F"/>
      <w:sz w:val="24"/>
      <w:szCs w:val="24"/>
    </w:rPr>
  </w:style>
  <w:style w:type="character" w:customStyle="1" w:styleId="Heading7Char1">
    <w:name w:val="Heading 7 Char1"/>
    <w:aliases w:val="Do Not Use 7 Char1,L7 Char1,. [(1)] Char1,Appendix 2 Char1,Legal Level 1.1. Char1,level 2 bullets Char1"/>
    <w:basedOn w:val="DefaultParagraphFont"/>
    <w:semiHidden/>
    <w:rsid w:val="000F4E97"/>
    <w:rPr>
      <w:rFonts w:asciiTheme="majorHAnsi" w:eastAsiaTheme="majorEastAsia" w:hAnsiTheme="majorHAnsi" w:cstheme="majorBidi"/>
      <w:i/>
      <w:iCs/>
      <w:color w:val="404040" w:themeColor="text1" w:themeTint="BF"/>
      <w:sz w:val="24"/>
      <w:szCs w:val="24"/>
    </w:rPr>
  </w:style>
  <w:style w:type="character" w:customStyle="1" w:styleId="Heading8Char1">
    <w:name w:val="Heading 8 Char1"/>
    <w:aliases w:val="Do Not Use 8 Char1,L8 Char1,. [(a)] Char1,Appendix 3 Char1,Legal Level 1.1.1. Char1,level 3 bullets Char1"/>
    <w:basedOn w:val="DefaultParagraphFont"/>
    <w:semiHidden/>
    <w:rsid w:val="000F4E97"/>
    <w:rPr>
      <w:rFonts w:asciiTheme="majorHAnsi" w:eastAsiaTheme="majorEastAsia" w:hAnsiTheme="majorHAnsi" w:cstheme="majorBidi"/>
      <w:color w:val="404040" w:themeColor="text1" w:themeTint="BF"/>
    </w:rPr>
  </w:style>
  <w:style w:type="character" w:customStyle="1" w:styleId="Heading9Char1">
    <w:name w:val="Heading 9 Char1"/>
    <w:aliases w:val="Do Not Use 9 Char1,L9 Char1,. [(iii)] Char1,Appendix 4 Char1,Legal Level 1.1.1.1. Char1"/>
    <w:basedOn w:val="DefaultParagraphFont"/>
    <w:semiHidden/>
    <w:rsid w:val="000F4E97"/>
    <w:rPr>
      <w:rFonts w:asciiTheme="majorHAnsi" w:eastAsiaTheme="majorEastAsia" w:hAnsiTheme="majorHAnsi" w:cstheme="majorBidi"/>
      <w:i/>
      <w:iCs/>
      <w:color w:val="404040" w:themeColor="text1" w:themeTint="BF"/>
    </w:rPr>
  </w:style>
  <w:style w:type="character" w:customStyle="1" w:styleId="FootnoteTextChar1">
    <w:name w:val="Footnote Text Char1"/>
    <w:aliases w:val="Voetnoottekst Char1 Char1,Voetnoottekst Char Char Char1,Voetnoottekst Char2 Char Char Char1,Voetnoottekst Char1 Char Char Char Char1,Voetnoottekst Char Char Char Char Char Char1,Voetnoottekst Char2 Char Char Char Char Char Char1"/>
    <w:basedOn w:val="DefaultParagraphFont"/>
    <w:uiPriority w:val="99"/>
    <w:semiHidden/>
    <w:rsid w:val="000F4E97"/>
    <w:rPr>
      <w:rFonts w:ascii="Arial" w:hAnsi="Arial"/>
      <w:lang w:eastAsia="en-GB"/>
    </w:rPr>
  </w:style>
  <w:style w:type="character" w:customStyle="1" w:styleId="DateChar">
    <w:name w:val="Date Char"/>
    <w:basedOn w:val="DefaultParagraphFont"/>
    <w:link w:val="Date"/>
    <w:uiPriority w:val="99"/>
    <w:rsid w:val="000F4E97"/>
    <w:rPr>
      <w:rFonts w:ascii="Verdana" w:hAnsi="Verdana"/>
      <w:color w:val="808080"/>
      <w:sz w:val="16"/>
      <w:szCs w:val="24"/>
      <w:lang w:eastAsia="en-GB"/>
    </w:rPr>
  </w:style>
  <w:style w:type="character" w:customStyle="1" w:styleId="cit-publ-name">
    <w:name w:val="cit-publ-name"/>
    <w:basedOn w:val="DefaultParagraphFont"/>
    <w:rsid w:val="00453199"/>
  </w:style>
  <w:style w:type="table" w:styleId="LightList-Accent1">
    <w:name w:val="Light List Accent 1"/>
    <w:basedOn w:val="TableNormal"/>
    <w:uiPriority w:val="61"/>
    <w:rsid w:val="00211990"/>
    <w:rPr>
      <w:rFonts w:asciiTheme="minorHAnsi" w:eastAsiaTheme="minorHAnsi" w:hAnsiTheme="minorHAnsi" w:cstheme="minorBidi"/>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247364">
      <w:bodyDiv w:val="1"/>
      <w:marLeft w:val="0"/>
      <w:marRight w:val="0"/>
      <w:marTop w:val="0"/>
      <w:marBottom w:val="0"/>
      <w:divBdr>
        <w:top w:val="none" w:sz="0" w:space="0" w:color="auto"/>
        <w:left w:val="none" w:sz="0" w:space="0" w:color="auto"/>
        <w:bottom w:val="none" w:sz="0" w:space="0" w:color="auto"/>
        <w:right w:val="none" w:sz="0" w:space="0" w:color="auto"/>
      </w:divBdr>
    </w:div>
    <w:div w:id="58482009">
      <w:bodyDiv w:val="1"/>
      <w:marLeft w:val="0"/>
      <w:marRight w:val="0"/>
      <w:marTop w:val="0"/>
      <w:marBottom w:val="0"/>
      <w:divBdr>
        <w:top w:val="none" w:sz="0" w:space="0" w:color="auto"/>
        <w:left w:val="none" w:sz="0" w:space="0" w:color="auto"/>
        <w:bottom w:val="none" w:sz="0" w:space="0" w:color="auto"/>
        <w:right w:val="none" w:sz="0" w:space="0" w:color="auto"/>
      </w:divBdr>
    </w:div>
    <w:div w:id="108549346">
      <w:bodyDiv w:val="1"/>
      <w:marLeft w:val="0"/>
      <w:marRight w:val="0"/>
      <w:marTop w:val="0"/>
      <w:marBottom w:val="0"/>
      <w:divBdr>
        <w:top w:val="none" w:sz="0" w:space="0" w:color="auto"/>
        <w:left w:val="none" w:sz="0" w:space="0" w:color="auto"/>
        <w:bottom w:val="none" w:sz="0" w:space="0" w:color="auto"/>
        <w:right w:val="none" w:sz="0" w:space="0" w:color="auto"/>
      </w:divBdr>
    </w:div>
    <w:div w:id="240406910">
      <w:bodyDiv w:val="1"/>
      <w:marLeft w:val="0"/>
      <w:marRight w:val="0"/>
      <w:marTop w:val="0"/>
      <w:marBottom w:val="0"/>
      <w:divBdr>
        <w:top w:val="none" w:sz="0" w:space="0" w:color="auto"/>
        <w:left w:val="none" w:sz="0" w:space="0" w:color="auto"/>
        <w:bottom w:val="none" w:sz="0" w:space="0" w:color="auto"/>
        <w:right w:val="none" w:sz="0" w:space="0" w:color="auto"/>
      </w:divBdr>
    </w:div>
    <w:div w:id="277831628">
      <w:bodyDiv w:val="1"/>
      <w:marLeft w:val="0"/>
      <w:marRight w:val="0"/>
      <w:marTop w:val="0"/>
      <w:marBottom w:val="0"/>
      <w:divBdr>
        <w:top w:val="none" w:sz="0" w:space="0" w:color="auto"/>
        <w:left w:val="none" w:sz="0" w:space="0" w:color="auto"/>
        <w:bottom w:val="none" w:sz="0" w:space="0" w:color="auto"/>
        <w:right w:val="none" w:sz="0" w:space="0" w:color="auto"/>
      </w:divBdr>
    </w:div>
    <w:div w:id="324824398">
      <w:bodyDiv w:val="1"/>
      <w:marLeft w:val="0"/>
      <w:marRight w:val="0"/>
      <w:marTop w:val="0"/>
      <w:marBottom w:val="0"/>
      <w:divBdr>
        <w:top w:val="none" w:sz="0" w:space="0" w:color="auto"/>
        <w:left w:val="none" w:sz="0" w:space="0" w:color="auto"/>
        <w:bottom w:val="none" w:sz="0" w:space="0" w:color="auto"/>
        <w:right w:val="none" w:sz="0" w:space="0" w:color="auto"/>
      </w:divBdr>
    </w:div>
    <w:div w:id="358510332">
      <w:bodyDiv w:val="1"/>
      <w:marLeft w:val="0"/>
      <w:marRight w:val="0"/>
      <w:marTop w:val="0"/>
      <w:marBottom w:val="0"/>
      <w:divBdr>
        <w:top w:val="none" w:sz="0" w:space="0" w:color="auto"/>
        <w:left w:val="none" w:sz="0" w:space="0" w:color="auto"/>
        <w:bottom w:val="none" w:sz="0" w:space="0" w:color="auto"/>
        <w:right w:val="none" w:sz="0" w:space="0" w:color="auto"/>
      </w:divBdr>
    </w:div>
    <w:div w:id="369109429">
      <w:bodyDiv w:val="1"/>
      <w:marLeft w:val="0"/>
      <w:marRight w:val="0"/>
      <w:marTop w:val="0"/>
      <w:marBottom w:val="0"/>
      <w:divBdr>
        <w:top w:val="none" w:sz="0" w:space="0" w:color="auto"/>
        <w:left w:val="none" w:sz="0" w:space="0" w:color="auto"/>
        <w:bottom w:val="none" w:sz="0" w:space="0" w:color="auto"/>
        <w:right w:val="none" w:sz="0" w:space="0" w:color="auto"/>
      </w:divBdr>
    </w:div>
    <w:div w:id="501705750">
      <w:bodyDiv w:val="1"/>
      <w:marLeft w:val="0"/>
      <w:marRight w:val="0"/>
      <w:marTop w:val="0"/>
      <w:marBottom w:val="0"/>
      <w:divBdr>
        <w:top w:val="none" w:sz="0" w:space="0" w:color="auto"/>
        <w:left w:val="none" w:sz="0" w:space="0" w:color="auto"/>
        <w:bottom w:val="none" w:sz="0" w:space="0" w:color="auto"/>
        <w:right w:val="none" w:sz="0" w:space="0" w:color="auto"/>
      </w:divBdr>
    </w:div>
    <w:div w:id="534273231">
      <w:bodyDiv w:val="1"/>
      <w:marLeft w:val="0"/>
      <w:marRight w:val="0"/>
      <w:marTop w:val="0"/>
      <w:marBottom w:val="0"/>
      <w:divBdr>
        <w:top w:val="none" w:sz="0" w:space="0" w:color="auto"/>
        <w:left w:val="none" w:sz="0" w:space="0" w:color="auto"/>
        <w:bottom w:val="none" w:sz="0" w:space="0" w:color="auto"/>
        <w:right w:val="none" w:sz="0" w:space="0" w:color="auto"/>
      </w:divBdr>
    </w:div>
    <w:div w:id="555626725">
      <w:bodyDiv w:val="1"/>
      <w:marLeft w:val="0"/>
      <w:marRight w:val="0"/>
      <w:marTop w:val="0"/>
      <w:marBottom w:val="0"/>
      <w:divBdr>
        <w:top w:val="none" w:sz="0" w:space="0" w:color="auto"/>
        <w:left w:val="none" w:sz="0" w:space="0" w:color="auto"/>
        <w:bottom w:val="none" w:sz="0" w:space="0" w:color="auto"/>
        <w:right w:val="none" w:sz="0" w:space="0" w:color="auto"/>
      </w:divBdr>
    </w:div>
    <w:div w:id="726688017">
      <w:bodyDiv w:val="1"/>
      <w:marLeft w:val="0"/>
      <w:marRight w:val="0"/>
      <w:marTop w:val="0"/>
      <w:marBottom w:val="0"/>
      <w:divBdr>
        <w:top w:val="none" w:sz="0" w:space="0" w:color="auto"/>
        <w:left w:val="none" w:sz="0" w:space="0" w:color="auto"/>
        <w:bottom w:val="none" w:sz="0" w:space="0" w:color="auto"/>
        <w:right w:val="none" w:sz="0" w:space="0" w:color="auto"/>
      </w:divBdr>
    </w:div>
    <w:div w:id="777875134">
      <w:bodyDiv w:val="1"/>
      <w:marLeft w:val="0"/>
      <w:marRight w:val="0"/>
      <w:marTop w:val="0"/>
      <w:marBottom w:val="0"/>
      <w:divBdr>
        <w:top w:val="none" w:sz="0" w:space="0" w:color="auto"/>
        <w:left w:val="none" w:sz="0" w:space="0" w:color="auto"/>
        <w:bottom w:val="none" w:sz="0" w:space="0" w:color="auto"/>
        <w:right w:val="none" w:sz="0" w:space="0" w:color="auto"/>
      </w:divBdr>
    </w:div>
    <w:div w:id="830170885">
      <w:bodyDiv w:val="1"/>
      <w:marLeft w:val="0"/>
      <w:marRight w:val="0"/>
      <w:marTop w:val="0"/>
      <w:marBottom w:val="0"/>
      <w:divBdr>
        <w:top w:val="none" w:sz="0" w:space="0" w:color="auto"/>
        <w:left w:val="none" w:sz="0" w:space="0" w:color="auto"/>
        <w:bottom w:val="none" w:sz="0" w:space="0" w:color="auto"/>
        <w:right w:val="none" w:sz="0" w:space="0" w:color="auto"/>
      </w:divBdr>
    </w:div>
    <w:div w:id="947933335">
      <w:bodyDiv w:val="1"/>
      <w:marLeft w:val="0"/>
      <w:marRight w:val="0"/>
      <w:marTop w:val="0"/>
      <w:marBottom w:val="0"/>
      <w:divBdr>
        <w:top w:val="none" w:sz="0" w:space="0" w:color="auto"/>
        <w:left w:val="none" w:sz="0" w:space="0" w:color="auto"/>
        <w:bottom w:val="none" w:sz="0" w:space="0" w:color="auto"/>
        <w:right w:val="none" w:sz="0" w:space="0" w:color="auto"/>
      </w:divBdr>
    </w:div>
    <w:div w:id="1027754591">
      <w:bodyDiv w:val="1"/>
      <w:marLeft w:val="0"/>
      <w:marRight w:val="0"/>
      <w:marTop w:val="0"/>
      <w:marBottom w:val="0"/>
      <w:divBdr>
        <w:top w:val="none" w:sz="0" w:space="0" w:color="auto"/>
        <w:left w:val="none" w:sz="0" w:space="0" w:color="auto"/>
        <w:bottom w:val="none" w:sz="0" w:space="0" w:color="auto"/>
        <w:right w:val="none" w:sz="0" w:space="0" w:color="auto"/>
      </w:divBdr>
    </w:div>
    <w:div w:id="1101871786">
      <w:bodyDiv w:val="1"/>
      <w:marLeft w:val="0"/>
      <w:marRight w:val="0"/>
      <w:marTop w:val="0"/>
      <w:marBottom w:val="0"/>
      <w:divBdr>
        <w:top w:val="none" w:sz="0" w:space="0" w:color="auto"/>
        <w:left w:val="none" w:sz="0" w:space="0" w:color="auto"/>
        <w:bottom w:val="none" w:sz="0" w:space="0" w:color="auto"/>
        <w:right w:val="none" w:sz="0" w:space="0" w:color="auto"/>
      </w:divBdr>
    </w:div>
    <w:div w:id="1154029742">
      <w:bodyDiv w:val="1"/>
      <w:marLeft w:val="0"/>
      <w:marRight w:val="0"/>
      <w:marTop w:val="0"/>
      <w:marBottom w:val="0"/>
      <w:divBdr>
        <w:top w:val="none" w:sz="0" w:space="0" w:color="auto"/>
        <w:left w:val="none" w:sz="0" w:space="0" w:color="auto"/>
        <w:bottom w:val="none" w:sz="0" w:space="0" w:color="auto"/>
        <w:right w:val="none" w:sz="0" w:space="0" w:color="auto"/>
      </w:divBdr>
    </w:div>
    <w:div w:id="1154837196">
      <w:bodyDiv w:val="1"/>
      <w:marLeft w:val="0"/>
      <w:marRight w:val="0"/>
      <w:marTop w:val="0"/>
      <w:marBottom w:val="0"/>
      <w:divBdr>
        <w:top w:val="none" w:sz="0" w:space="0" w:color="auto"/>
        <w:left w:val="none" w:sz="0" w:space="0" w:color="auto"/>
        <w:bottom w:val="none" w:sz="0" w:space="0" w:color="auto"/>
        <w:right w:val="none" w:sz="0" w:space="0" w:color="auto"/>
      </w:divBdr>
    </w:div>
    <w:div w:id="1203706927">
      <w:bodyDiv w:val="1"/>
      <w:marLeft w:val="0"/>
      <w:marRight w:val="0"/>
      <w:marTop w:val="0"/>
      <w:marBottom w:val="0"/>
      <w:divBdr>
        <w:top w:val="none" w:sz="0" w:space="0" w:color="auto"/>
        <w:left w:val="none" w:sz="0" w:space="0" w:color="auto"/>
        <w:bottom w:val="none" w:sz="0" w:space="0" w:color="auto"/>
        <w:right w:val="none" w:sz="0" w:space="0" w:color="auto"/>
      </w:divBdr>
    </w:div>
    <w:div w:id="1225602629">
      <w:bodyDiv w:val="1"/>
      <w:marLeft w:val="0"/>
      <w:marRight w:val="0"/>
      <w:marTop w:val="0"/>
      <w:marBottom w:val="0"/>
      <w:divBdr>
        <w:top w:val="none" w:sz="0" w:space="0" w:color="auto"/>
        <w:left w:val="none" w:sz="0" w:space="0" w:color="auto"/>
        <w:bottom w:val="none" w:sz="0" w:space="0" w:color="auto"/>
        <w:right w:val="none" w:sz="0" w:space="0" w:color="auto"/>
      </w:divBdr>
    </w:div>
    <w:div w:id="1704818437">
      <w:bodyDiv w:val="1"/>
      <w:marLeft w:val="0"/>
      <w:marRight w:val="0"/>
      <w:marTop w:val="0"/>
      <w:marBottom w:val="0"/>
      <w:divBdr>
        <w:top w:val="none" w:sz="0" w:space="0" w:color="auto"/>
        <w:left w:val="none" w:sz="0" w:space="0" w:color="auto"/>
        <w:bottom w:val="none" w:sz="0" w:space="0" w:color="auto"/>
        <w:right w:val="none" w:sz="0" w:space="0" w:color="auto"/>
      </w:divBdr>
    </w:div>
    <w:div w:id="1739667355">
      <w:bodyDiv w:val="1"/>
      <w:marLeft w:val="0"/>
      <w:marRight w:val="0"/>
      <w:marTop w:val="0"/>
      <w:marBottom w:val="0"/>
      <w:divBdr>
        <w:top w:val="none" w:sz="0" w:space="0" w:color="auto"/>
        <w:left w:val="none" w:sz="0" w:space="0" w:color="auto"/>
        <w:bottom w:val="none" w:sz="0" w:space="0" w:color="auto"/>
        <w:right w:val="none" w:sz="0" w:space="0" w:color="auto"/>
      </w:divBdr>
    </w:div>
    <w:div w:id="1910454620">
      <w:bodyDiv w:val="1"/>
      <w:marLeft w:val="0"/>
      <w:marRight w:val="0"/>
      <w:marTop w:val="0"/>
      <w:marBottom w:val="0"/>
      <w:divBdr>
        <w:top w:val="none" w:sz="0" w:space="0" w:color="auto"/>
        <w:left w:val="none" w:sz="0" w:space="0" w:color="auto"/>
        <w:bottom w:val="none" w:sz="0" w:space="0" w:color="auto"/>
        <w:right w:val="none" w:sz="0" w:space="0" w:color="auto"/>
      </w:divBdr>
    </w:div>
    <w:div w:id="1963151208">
      <w:bodyDiv w:val="1"/>
      <w:marLeft w:val="0"/>
      <w:marRight w:val="0"/>
      <w:marTop w:val="0"/>
      <w:marBottom w:val="0"/>
      <w:divBdr>
        <w:top w:val="none" w:sz="0" w:space="0" w:color="auto"/>
        <w:left w:val="none" w:sz="0" w:space="0" w:color="auto"/>
        <w:bottom w:val="none" w:sz="0" w:space="0" w:color="auto"/>
        <w:right w:val="none" w:sz="0" w:space="0" w:color="auto"/>
      </w:divBdr>
    </w:div>
    <w:div w:id="2046175514">
      <w:bodyDiv w:val="1"/>
      <w:marLeft w:val="0"/>
      <w:marRight w:val="0"/>
      <w:marTop w:val="0"/>
      <w:marBottom w:val="0"/>
      <w:divBdr>
        <w:top w:val="none" w:sz="0" w:space="0" w:color="auto"/>
        <w:left w:val="none" w:sz="0" w:space="0" w:color="auto"/>
        <w:bottom w:val="none" w:sz="0" w:space="0" w:color="auto"/>
        <w:right w:val="none" w:sz="0" w:space="0" w:color="auto"/>
      </w:divBdr>
    </w:div>
    <w:div w:id="2063869857">
      <w:bodyDiv w:val="1"/>
      <w:marLeft w:val="0"/>
      <w:marRight w:val="0"/>
      <w:marTop w:val="0"/>
      <w:marBottom w:val="0"/>
      <w:divBdr>
        <w:top w:val="none" w:sz="0" w:space="0" w:color="auto"/>
        <w:left w:val="none" w:sz="0" w:space="0" w:color="auto"/>
        <w:bottom w:val="none" w:sz="0" w:space="0" w:color="auto"/>
        <w:right w:val="none" w:sz="0" w:space="0" w:color="auto"/>
      </w:divBdr>
    </w:div>
    <w:div w:id="2102598935">
      <w:bodyDiv w:val="1"/>
      <w:marLeft w:val="0"/>
      <w:marRight w:val="0"/>
      <w:marTop w:val="0"/>
      <w:marBottom w:val="0"/>
      <w:divBdr>
        <w:top w:val="none" w:sz="0" w:space="0" w:color="auto"/>
        <w:left w:val="none" w:sz="0" w:space="0" w:color="auto"/>
        <w:bottom w:val="none" w:sz="0" w:space="0" w:color="auto"/>
        <w:right w:val="none" w:sz="0" w:space="0" w:color="auto"/>
      </w:divBdr>
    </w:div>
    <w:div w:id="2139492628">
      <w:bodyDiv w:val="1"/>
      <w:marLeft w:val="0"/>
      <w:marRight w:val="0"/>
      <w:marTop w:val="0"/>
      <w:marBottom w:val="0"/>
      <w:divBdr>
        <w:top w:val="none" w:sz="0" w:space="0" w:color="auto"/>
        <w:left w:val="none" w:sz="0" w:space="0" w:color="auto"/>
        <w:bottom w:val="none" w:sz="0" w:space="0" w:color="auto"/>
        <w:right w:val="none" w:sz="0" w:space="0" w:color="auto"/>
      </w:divBdr>
    </w:div>
    <w:div w:id="21467710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0.png"/><Relationship Id="rId21" Type="http://schemas.openxmlformats.org/officeDocument/2006/relationships/footer" Target="footer2.xml"/><Relationship Id="rId42" Type="http://schemas.openxmlformats.org/officeDocument/2006/relationships/image" Target="media/image10.emf"/><Relationship Id="rId63" Type="http://schemas.openxmlformats.org/officeDocument/2006/relationships/chart" Target="charts/chart27.xml"/><Relationship Id="rId84" Type="http://schemas.openxmlformats.org/officeDocument/2006/relationships/hyperlink" Target="http://www.palgrave.com/authors/author-detail/Philippe-M%C3%A9haut/41729" TargetMode="External"/><Relationship Id="rId138" Type="http://schemas.openxmlformats.org/officeDocument/2006/relationships/image" Target="media/image41.png"/><Relationship Id="rId159" Type="http://schemas.openxmlformats.org/officeDocument/2006/relationships/hyperlink" Target="http://europa.eu.int/citizensrights/signpost/about/index_en.htm" TargetMode="External"/><Relationship Id="rId107" Type="http://schemas.openxmlformats.org/officeDocument/2006/relationships/image" Target="media/image12.emf"/><Relationship Id="rId11" Type="http://schemas.openxmlformats.org/officeDocument/2006/relationships/image" Target="media/image2.jpeg"/><Relationship Id="rId32" Type="http://schemas.openxmlformats.org/officeDocument/2006/relationships/chart" Target="charts/chart8.xml"/><Relationship Id="rId53" Type="http://schemas.openxmlformats.org/officeDocument/2006/relationships/chart" Target="charts/chart17.xml"/><Relationship Id="rId74" Type="http://schemas.openxmlformats.org/officeDocument/2006/relationships/hyperlink" Target="http://simonbreakspear.com/wp-content/uploads/2015/09/Breakspear-PISA-Paper.pdf" TargetMode="External"/><Relationship Id="rId128" Type="http://schemas.openxmlformats.org/officeDocument/2006/relationships/image" Target="media/image31.png"/><Relationship Id="rId149" Type="http://schemas.openxmlformats.org/officeDocument/2006/relationships/header" Target="header15.xml"/><Relationship Id="rId5" Type="http://schemas.openxmlformats.org/officeDocument/2006/relationships/numbering" Target="numbering.xml"/><Relationship Id="rId95" Type="http://schemas.openxmlformats.org/officeDocument/2006/relationships/hyperlink" Target="http://www.sfi.dk/danskernes_kompetencer-7149.aspx" TargetMode="External"/><Relationship Id="rId160" Type="http://schemas.openxmlformats.org/officeDocument/2006/relationships/header" Target="header21.xml"/><Relationship Id="rId22" Type="http://schemas.openxmlformats.org/officeDocument/2006/relationships/footer" Target="footer3.xml"/><Relationship Id="rId43" Type="http://schemas.openxmlformats.org/officeDocument/2006/relationships/oleObject" Target="embeddings/Microsoft_Visio_2003-2010_Drawing1.vsd"/><Relationship Id="rId64" Type="http://schemas.openxmlformats.org/officeDocument/2006/relationships/header" Target="header6.xml"/><Relationship Id="rId118" Type="http://schemas.openxmlformats.org/officeDocument/2006/relationships/image" Target="media/image21.png"/><Relationship Id="rId139" Type="http://schemas.openxmlformats.org/officeDocument/2006/relationships/header" Target="header14.xml"/><Relationship Id="rId85" Type="http://schemas.openxmlformats.org/officeDocument/2006/relationships/hyperlink" Target="http://www.sociedadyeducacion.org/site/wp-content/uploads/Claves-para-la-mejora-educacion-de-adultos.pdf" TargetMode="External"/><Relationship Id="rId150" Type="http://schemas.openxmlformats.org/officeDocument/2006/relationships/header" Target="header16.xml"/><Relationship Id="rId12" Type="http://schemas.openxmlformats.org/officeDocument/2006/relationships/image" Target="media/image3.wmf"/><Relationship Id="rId33" Type="http://schemas.openxmlformats.org/officeDocument/2006/relationships/chart" Target="charts/chart9.xml"/><Relationship Id="rId108" Type="http://schemas.openxmlformats.org/officeDocument/2006/relationships/oleObject" Target="embeddings/Microsoft_Visio_2003-2010_Drawing2.vsd"/><Relationship Id="rId129" Type="http://schemas.openxmlformats.org/officeDocument/2006/relationships/image" Target="media/image32.png"/><Relationship Id="rId54" Type="http://schemas.openxmlformats.org/officeDocument/2006/relationships/chart" Target="charts/chart18.xml"/><Relationship Id="rId70" Type="http://schemas.openxmlformats.org/officeDocument/2006/relationships/header" Target="header9.xml"/><Relationship Id="rId75" Type="http://schemas.openxmlformats.org/officeDocument/2006/relationships/hyperlink" Target="http://www.mecd.gob.es/dctm/inee/internacional/piaac/piaac2013vol2.pdf?documentId=0901e72b81770705" TargetMode="External"/><Relationship Id="rId91" Type="http://schemas.openxmlformats.org/officeDocument/2006/relationships/hyperlink" Target="http://www.oecd.org/edu/skills-beyond-school/41529765.pdf" TargetMode="External"/><Relationship Id="rId96" Type="http://schemas.openxmlformats.org/officeDocument/2006/relationships/hyperlink" Target="http://ora.ox.ac.uk/objects/uuid%3A15c39d54-f896-425b-aaa8-93ba5bf03529/datastreams/THESIS02" TargetMode="External"/><Relationship Id="rId140" Type="http://schemas.openxmlformats.org/officeDocument/2006/relationships/footer" Target="footer14.xml"/><Relationship Id="rId145" Type="http://schemas.openxmlformats.org/officeDocument/2006/relationships/oleObject" Target="embeddings/Microsoft_Visio_2003-2010_Drawing5.vsd"/><Relationship Id="rId161" Type="http://schemas.openxmlformats.org/officeDocument/2006/relationships/header" Target="header22.xml"/><Relationship Id="rId166" Type="http://schemas.openxmlformats.org/officeDocument/2006/relationships/header" Target="header24.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eader" Target="header3.xml"/><Relationship Id="rId28" Type="http://schemas.openxmlformats.org/officeDocument/2006/relationships/chart" Target="charts/chart4.xml"/><Relationship Id="rId49" Type="http://schemas.openxmlformats.org/officeDocument/2006/relationships/header" Target="header5.xml"/><Relationship Id="rId114" Type="http://schemas.openxmlformats.org/officeDocument/2006/relationships/image" Target="media/image17.png"/><Relationship Id="rId119" Type="http://schemas.openxmlformats.org/officeDocument/2006/relationships/image" Target="media/image22.png"/><Relationship Id="rId44" Type="http://schemas.openxmlformats.org/officeDocument/2006/relationships/image" Target="media/image90.emf"/><Relationship Id="rId60" Type="http://schemas.openxmlformats.org/officeDocument/2006/relationships/chart" Target="charts/chart24.xml"/><Relationship Id="rId65" Type="http://schemas.openxmlformats.org/officeDocument/2006/relationships/header" Target="header7.xml"/><Relationship Id="rId81" Type="http://schemas.openxmlformats.org/officeDocument/2006/relationships/hyperlink" Target="http://www.epasi.eu/CountryReportDK.pdf" TargetMode="External"/><Relationship Id="rId86" Type="http://schemas.openxmlformats.org/officeDocument/2006/relationships/hyperlink" Target="http://eric.ed.gov/?id=EJ734142" TargetMode="External"/><Relationship Id="rId130" Type="http://schemas.openxmlformats.org/officeDocument/2006/relationships/image" Target="media/image33.png"/><Relationship Id="rId135" Type="http://schemas.openxmlformats.org/officeDocument/2006/relationships/image" Target="media/image38.png"/><Relationship Id="rId151" Type="http://schemas.openxmlformats.org/officeDocument/2006/relationships/footer" Target="footer15.xml"/><Relationship Id="rId156" Type="http://schemas.openxmlformats.org/officeDocument/2006/relationships/header" Target="header19.xml"/><Relationship Id="rId13" Type="http://schemas.openxmlformats.org/officeDocument/2006/relationships/image" Target="media/image4.wmf"/><Relationship Id="rId18" Type="http://schemas.openxmlformats.org/officeDocument/2006/relationships/header" Target="header1.xml"/><Relationship Id="rId39" Type="http://schemas.openxmlformats.org/officeDocument/2006/relationships/chart" Target="charts/chart15.xml"/><Relationship Id="rId109" Type="http://schemas.openxmlformats.org/officeDocument/2006/relationships/image" Target="media/image13.emf"/><Relationship Id="rId34" Type="http://schemas.openxmlformats.org/officeDocument/2006/relationships/chart" Target="charts/chart10.xml"/><Relationship Id="rId50" Type="http://schemas.openxmlformats.org/officeDocument/2006/relationships/footer" Target="footer5.xml"/><Relationship Id="rId55" Type="http://schemas.openxmlformats.org/officeDocument/2006/relationships/chart" Target="charts/chart19.xml"/><Relationship Id="rId76" Type="http://schemas.openxmlformats.org/officeDocument/2006/relationships/header" Target="header11.xml"/><Relationship Id="rId97" Type="http://schemas.openxmlformats.org/officeDocument/2006/relationships/hyperlink" Target="http://www.infonet-ae.eu/articles-science-55/2188-pisa-and-piaac-study-methodology-some-achievement-and-many-errors%20Accessed%2014.05.15" TargetMode="External"/><Relationship Id="rId104" Type="http://schemas.openxmlformats.org/officeDocument/2006/relationships/footer" Target="footer12.xml"/><Relationship Id="rId120" Type="http://schemas.openxmlformats.org/officeDocument/2006/relationships/image" Target="media/image23.png"/><Relationship Id="rId125" Type="http://schemas.openxmlformats.org/officeDocument/2006/relationships/image" Target="media/image28.png"/><Relationship Id="rId141" Type="http://schemas.openxmlformats.org/officeDocument/2006/relationships/image" Target="media/image42.emf"/><Relationship Id="rId146" Type="http://schemas.openxmlformats.org/officeDocument/2006/relationships/image" Target="media/image45.emf"/><Relationship Id="rId167" Type="http://schemas.openxmlformats.org/officeDocument/2006/relationships/footer" Target="footer20.xml"/><Relationship Id="rId7" Type="http://schemas.openxmlformats.org/officeDocument/2006/relationships/settings" Target="settings.xml"/><Relationship Id="rId71" Type="http://schemas.openxmlformats.org/officeDocument/2006/relationships/footer" Target="footer8.xml"/><Relationship Id="rId92" Type="http://schemas.openxmlformats.org/officeDocument/2006/relationships/hyperlink" Target="http://www.lline.fi/en/issue/1_2014/issue-12014" TargetMode="External"/><Relationship Id="rId162" Type="http://schemas.openxmlformats.org/officeDocument/2006/relationships/footer" Target="footer19.xml"/><Relationship Id="rId2" Type="http://schemas.openxmlformats.org/officeDocument/2006/relationships/customXml" Target="../customXml/item2.xml"/><Relationship Id="rId29" Type="http://schemas.openxmlformats.org/officeDocument/2006/relationships/chart" Target="charts/chart5.xml"/><Relationship Id="rId24" Type="http://schemas.openxmlformats.org/officeDocument/2006/relationships/footer" Target="footer4.xml"/><Relationship Id="rId40" Type="http://schemas.openxmlformats.org/officeDocument/2006/relationships/image" Target="media/image9.emf"/><Relationship Id="rId45" Type="http://schemas.openxmlformats.org/officeDocument/2006/relationships/oleObject" Target="embeddings/oleObject3.bin"/><Relationship Id="rId66" Type="http://schemas.openxmlformats.org/officeDocument/2006/relationships/footer" Target="footer7.xml"/><Relationship Id="rId87" Type="http://schemas.openxmlformats.org/officeDocument/2006/relationships/hyperlink" Target="http://www.infonet-ae.eu/interviews-european-affairs-45/2213-it-s-not-what-i-know-that-will-help-me-but-what-i-can-do-with-it" TargetMode="External"/><Relationship Id="rId110" Type="http://schemas.openxmlformats.org/officeDocument/2006/relationships/oleObject" Target="embeddings/Microsoft_Visio_2003-2010_Drawing3.vsd"/><Relationship Id="rId115" Type="http://schemas.openxmlformats.org/officeDocument/2006/relationships/image" Target="media/image18.png"/><Relationship Id="rId131" Type="http://schemas.openxmlformats.org/officeDocument/2006/relationships/image" Target="media/image34.png"/><Relationship Id="rId136" Type="http://schemas.openxmlformats.org/officeDocument/2006/relationships/image" Target="media/image39.png"/><Relationship Id="rId157" Type="http://schemas.openxmlformats.org/officeDocument/2006/relationships/footer" Target="footer18.xml"/><Relationship Id="rId61" Type="http://schemas.openxmlformats.org/officeDocument/2006/relationships/chart" Target="charts/chart25.xml"/><Relationship Id="rId82" Type="http://schemas.openxmlformats.org/officeDocument/2006/relationships/hyperlink" Target="http://www.palgrave.com/authors/author-detail/Jan-Germen-Janmaat/16132" TargetMode="External"/><Relationship Id="rId152" Type="http://schemas.openxmlformats.org/officeDocument/2006/relationships/footer" Target="footer16.xml"/><Relationship Id="rId19" Type="http://schemas.openxmlformats.org/officeDocument/2006/relationships/header" Target="header2.xml"/><Relationship Id="rId14" Type="http://schemas.openxmlformats.org/officeDocument/2006/relationships/image" Target="media/image5.png"/><Relationship Id="rId30" Type="http://schemas.openxmlformats.org/officeDocument/2006/relationships/chart" Target="charts/chart6.xml"/><Relationship Id="rId35" Type="http://schemas.openxmlformats.org/officeDocument/2006/relationships/chart" Target="charts/chart11.xml"/><Relationship Id="rId56" Type="http://schemas.openxmlformats.org/officeDocument/2006/relationships/chart" Target="charts/chart20.xml"/><Relationship Id="rId77" Type="http://schemas.openxmlformats.org/officeDocument/2006/relationships/footer" Target="footer10.xml"/><Relationship Id="rId100" Type="http://schemas.openxmlformats.org/officeDocument/2006/relationships/hyperlink" Target="http://www.palgrave.com/authors/author-detail/Jan-Germen-Janmaat/16132" TargetMode="External"/><Relationship Id="rId105" Type="http://schemas.openxmlformats.org/officeDocument/2006/relationships/header" Target="header13.xml"/><Relationship Id="rId126" Type="http://schemas.openxmlformats.org/officeDocument/2006/relationships/image" Target="media/image29.png"/><Relationship Id="rId147" Type="http://schemas.openxmlformats.org/officeDocument/2006/relationships/image" Target="media/image46.emf"/><Relationship Id="rId168"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footer" Target="footer6.xml"/><Relationship Id="rId72" Type="http://schemas.openxmlformats.org/officeDocument/2006/relationships/header" Target="header10.xml"/><Relationship Id="rId93" Type="http://schemas.openxmlformats.org/officeDocument/2006/relationships/hyperlink" Target="http://www.ces.fas.harvard.edu/conferences/left/left_papers/SocDemo05-08.pdf" TargetMode="External"/><Relationship Id="rId98" Type="http://schemas.openxmlformats.org/officeDocument/2006/relationships/hyperlink" Target="https://community.lincs.ed.gov/discussion/avoid-misleading-piaac-claims" TargetMode="External"/><Relationship Id="rId121" Type="http://schemas.openxmlformats.org/officeDocument/2006/relationships/image" Target="media/image24.png"/><Relationship Id="rId142" Type="http://schemas.openxmlformats.org/officeDocument/2006/relationships/oleObject" Target="embeddings/Microsoft_Visio_2003-2010_Drawing4.vsd"/><Relationship Id="rId163" Type="http://schemas.openxmlformats.org/officeDocument/2006/relationships/image" Target="media/image47.wmf"/><Relationship Id="rId3" Type="http://schemas.openxmlformats.org/officeDocument/2006/relationships/customXml" Target="../customXml/item3.xml"/><Relationship Id="rId25" Type="http://schemas.openxmlformats.org/officeDocument/2006/relationships/chart" Target="charts/chart1.xml"/><Relationship Id="rId46" Type="http://schemas.openxmlformats.org/officeDocument/2006/relationships/image" Target="media/image100.emf"/><Relationship Id="rId67" Type="http://schemas.openxmlformats.org/officeDocument/2006/relationships/hyperlink" Target="http://dx.doi.org/10.1086/669122" TargetMode="External"/><Relationship Id="rId116" Type="http://schemas.openxmlformats.org/officeDocument/2006/relationships/image" Target="media/image19.png"/><Relationship Id="rId137" Type="http://schemas.openxmlformats.org/officeDocument/2006/relationships/image" Target="media/image40.png"/><Relationship Id="rId158" Type="http://schemas.openxmlformats.org/officeDocument/2006/relationships/header" Target="header20.xml"/><Relationship Id="rId20" Type="http://schemas.openxmlformats.org/officeDocument/2006/relationships/footer" Target="footer1.xml"/><Relationship Id="rId41" Type="http://schemas.openxmlformats.org/officeDocument/2006/relationships/oleObject" Target="embeddings/Microsoft_Visio_2003-2010_Drawing.vsd"/><Relationship Id="rId62" Type="http://schemas.openxmlformats.org/officeDocument/2006/relationships/chart" Target="charts/chart26.xml"/><Relationship Id="rId83" Type="http://schemas.openxmlformats.org/officeDocument/2006/relationships/hyperlink" Target="http://www.palgrave.com/authors/author-detail/Marie-DuruBellat/41730" TargetMode="External"/><Relationship Id="rId88" Type="http://schemas.openxmlformats.org/officeDocument/2006/relationships/hyperlink" Target="http://www.oecd-ilibrary.org/economics/making-the-most-of-skills-in-denmark_5jz2qt4crff8-en" TargetMode="External"/><Relationship Id="rId111" Type="http://schemas.openxmlformats.org/officeDocument/2006/relationships/image" Target="media/image14.png"/><Relationship Id="rId132" Type="http://schemas.openxmlformats.org/officeDocument/2006/relationships/image" Target="media/image35.png"/><Relationship Id="rId153" Type="http://schemas.openxmlformats.org/officeDocument/2006/relationships/header" Target="header17.xml"/><Relationship Id="rId15" Type="http://schemas.openxmlformats.org/officeDocument/2006/relationships/image" Target="media/image6.png"/><Relationship Id="rId36" Type="http://schemas.openxmlformats.org/officeDocument/2006/relationships/chart" Target="charts/chart12.xml"/><Relationship Id="rId57" Type="http://schemas.openxmlformats.org/officeDocument/2006/relationships/chart" Target="charts/chart21.xml"/><Relationship Id="rId106" Type="http://schemas.openxmlformats.org/officeDocument/2006/relationships/footer" Target="footer13.xml"/><Relationship Id="rId127" Type="http://schemas.openxmlformats.org/officeDocument/2006/relationships/image" Target="media/image30.png"/><Relationship Id="rId10" Type="http://schemas.openxmlformats.org/officeDocument/2006/relationships/endnotes" Target="endnotes.xml"/><Relationship Id="rId31" Type="http://schemas.openxmlformats.org/officeDocument/2006/relationships/chart" Target="charts/chart7.xml"/><Relationship Id="rId52" Type="http://schemas.openxmlformats.org/officeDocument/2006/relationships/chart" Target="charts/chart16.xml"/><Relationship Id="rId73" Type="http://schemas.openxmlformats.org/officeDocument/2006/relationships/footer" Target="footer9.xml"/><Relationship Id="rId78" Type="http://schemas.openxmlformats.org/officeDocument/2006/relationships/header" Target="header12.xml"/><Relationship Id="rId94" Type="http://schemas.openxmlformats.org/officeDocument/2006/relationships/hyperlink" Target="http://www.mecd.gob.es/dctm/inee/internacional/piaac/piaac2013vol2.pdf?documentId=0901e72b81770705" TargetMode="External"/><Relationship Id="rId99" Type="http://schemas.openxmlformats.org/officeDocument/2006/relationships/hyperlink" Target="http://www.uis.unesco.org/Education/Documents/UNSD_newsletter_27e_ISCED.pdf" TargetMode="External"/><Relationship Id="rId101" Type="http://schemas.openxmlformats.org/officeDocument/2006/relationships/hyperlink" Target="http://www.palgrave.com/authors/author-detail/Marie-DuruBellat/41730" TargetMode="External"/><Relationship Id="rId122" Type="http://schemas.openxmlformats.org/officeDocument/2006/relationships/image" Target="media/image25.png"/><Relationship Id="rId143" Type="http://schemas.openxmlformats.org/officeDocument/2006/relationships/image" Target="media/image43.emf"/><Relationship Id="rId148" Type="http://schemas.openxmlformats.org/officeDocument/2006/relationships/oleObject" Target="embeddings/Microsoft_Visio_2003-2010_Drawing6.vsd"/><Relationship Id="rId164" Type="http://schemas.openxmlformats.org/officeDocument/2006/relationships/image" Target="media/image48.png"/><Relationship Id="rId16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hart" Target="charts/chart2.xml"/><Relationship Id="rId47" Type="http://schemas.openxmlformats.org/officeDocument/2006/relationships/oleObject" Target="embeddings/oleObject4.bin"/><Relationship Id="rId68" Type="http://schemas.openxmlformats.org/officeDocument/2006/relationships/hyperlink" Target="http://www.gini-research.org" TargetMode="External"/><Relationship Id="rId89" Type="http://schemas.openxmlformats.org/officeDocument/2006/relationships/hyperlink" Target="http://www.mecd.gob.es/dctm/inee/internacional/piaac/piaac2013vol2.pdf?documentId=0901e72b81770705" TargetMode="External"/><Relationship Id="rId112" Type="http://schemas.openxmlformats.org/officeDocument/2006/relationships/image" Target="media/image15.png"/><Relationship Id="rId133" Type="http://schemas.openxmlformats.org/officeDocument/2006/relationships/image" Target="media/image36.png"/><Relationship Id="rId154" Type="http://schemas.openxmlformats.org/officeDocument/2006/relationships/footer" Target="footer17.xml"/><Relationship Id="rId16" Type="http://schemas.openxmlformats.org/officeDocument/2006/relationships/hyperlink" Target="http://europa.eu.int/citizensrights/signpost/about/index_en.htm" TargetMode="External"/><Relationship Id="rId37" Type="http://schemas.openxmlformats.org/officeDocument/2006/relationships/chart" Target="charts/chart13.xml"/><Relationship Id="rId58" Type="http://schemas.openxmlformats.org/officeDocument/2006/relationships/chart" Target="charts/chart22.xml"/><Relationship Id="rId79" Type="http://schemas.openxmlformats.org/officeDocument/2006/relationships/footer" Target="footer11.xml"/><Relationship Id="rId102" Type="http://schemas.openxmlformats.org/officeDocument/2006/relationships/hyperlink" Target="http://www.palgrave.com/authors/author-detail/Philippe-M%C3%A9haut/41729" TargetMode="External"/><Relationship Id="rId123" Type="http://schemas.openxmlformats.org/officeDocument/2006/relationships/image" Target="media/image26.png"/><Relationship Id="rId144" Type="http://schemas.openxmlformats.org/officeDocument/2006/relationships/image" Target="media/image44.emf"/><Relationship Id="rId90" Type="http://schemas.openxmlformats.org/officeDocument/2006/relationships/hyperlink" Target="http://www.enseignementsup-recherche.gouv.fr/cid81688/parcours-et-reussite-aux-diplomes-universitaires-indicateurs-de-la-session-2012.html" TargetMode="External"/><Relationship Id="rId165" Type="http://schemas.openxmlformats.org/officeDocument/2006/relationships/header" Target="header23.xml"/><Relationship Id="rId27" Type="http://schemas.openxmlformats.org/officeDocument/2006/relationships/chart" Target="charts/chart3.xml"/><Relationship Id="rId48" Type="http://schemas.openxmlformats.org/officeDocument/2006/relationships/header" Target="header4.xml"/><Relationship Id="rId69" Type="http://schemas.openxmlformats.org/officeDocument/2006/relationships/header" Target="header8.xml"/><Relationship Id="rId113" Type="http://schemas.openxmlformats.org/officeDocument/2006/relationships/image" Target="media/image16.png"/><Relationship Id="rId134" Type="http://schemas.openxmlformats.org/officeDocument/2006/relationships/image" Target="media/image37.png"/><Relationship Id="rId80" Type="http://schemas.openxmlformats.org/officeDocument/2006/relationships/hyperlink" Target="http://www.cedefop.europa.eu/en/publications-and-resources/statistics-and-indicators/statistics-and-graphs/adult-skills-and-vet" TargetMode="External"/><Relationship Id="rId155" Type="http://schemas.openxmlformats.org/officeDocument/2006/relationships/header" Target="header18.xml"/><Relationship Id="rId17" Type="http://schemas.openxmlformats.org/officeDocument/2006/relationships/hyperlink" Target="http://europa.eu" TargetMode="External"/><Relationship Id="rId38" Type="http://schemas.openxmlformats.org/officeDocument/2006/relationships/chart" Target="charts/chart14.xml"/><Relationship Id="rId59" Type="http://schemas.openxmlformats.org/officeDocument/2006/relationships/chart" Target="charts/chart23.xml"/><Relationship Id="rId103" Type="http://schemas.openxmlformats.org/officeDocument/2006/relationships/hyperlink" Target="http://www.mecd.gob.es/dctm/inee/internacional/piaac/piaac2013vol2.pdf?documentId=0901e72b81770705" TargetMode="External"/><Relationship Id="rId124" Type="http://schemas.openxmlformats.org/officeDocument/2006/relationships/image" Target="media/image27.png"/></Relationships>
</file>

<file path=word/_rels/footnotes.xml.rels><?xml version="1.0" encoding="UTF-8" standalone="yes"?>
<Relationships xmlns="http://schemas.openxmlformats.org/package/2006/relationships"><Relationship Id="rId3" Type="http://schemas.openxmlformats.org/officeDocument/2006/relationships/hyperlink" Target="https://stats.oecd.org/Index.aspx?DataSetCode=RENRL" TargetMode="External"/><Relationship Id="rId2" Type="http://schemas.openxmlformats.org/officeDocument/2006/relationships/hyperlink" Target="http://epp.eurostat.ec.europa.eu/statistics_explained/index.php/School_enrolment_and_early_leavers_from_education_and_training" TargetMode="External"/><Relationship Id="rId1" Type="http://schemas.openxmlformats.org/officeDocument/2006/relationships/hyperlink" Target="http://ec.europa.eu/eurostat/cache/metadata/en/edat_esms.htm" TargetMode="External"/></Relationships>
</file>

<file path=word/_rels/header10.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11.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12.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13.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14.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16.xml.rels><?xml version="1.0" encoding="UTF-8" standalone="yes"?>
<Relationships xmlns="http://schemas.openxmlformats.org/package/2006/relationships"><Relationship Id="rId1" Type="http://schemas.openxmlformats.org/officeDocument/2006/relationships/image" Target="media/image7.png"/></Relationships>
</file>

<file path=word/_rels/header18.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19.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12.wmf"/><Relationship Id="rId1" Type="http://schemas.openxmlformats.org/officeDocument/2006/relationships/image" Target="media/image11.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20.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22.xml.rels><?xml version="1.0" encoding="UTF-8" standalone="yes"?>
<Relationships xmlns="http://schemas.openxmlformats.org/package/2006/relationships"><Relationship Id="rId1" Type="http://schemas.openxmlformats.org/officeDocument/2006/relationships/image" Target="media/image7.png"/></Relationships>
</file>

<file path=word/_rels/header24.xml.rels><?xml version="1.0" encoding="UTF-8" standalone="yes"?>
<Relationships xmlns="http://schemas.openxmlformats.org/package/2006/relationships"><Relationship Id="rId1" Type="http://schemas.openxmlformats.org/officeDocument/2006/relationships/image" Target="media/image7.png"/></Relationships>
</file>

<file path=word/_rels/header4.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5.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6.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12.wmf"/><Relationship Id="rId1" Type="http://schemas.openxmlformats.org/officeDocument/2006/relationships/image" Target="media/image11.wmf"/></Relationships>
</file>

<file path=word/_rels/header7.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8.xml.rels><?xml version="1.0" encoding="UTF-8" standalone="yes"?>
<Relationships xmlns="http://schemas.openxmlformats.org/package/2006/relationships"><Relationship Id="rId2" Type="http://schemas.openxmlformats.org/officeDocument/2006/relationships/image" Target="media/image12.wmf"/><Relationship Id="rId1" Type="http://schemas.openxmlformats.org/officeDocument/2006/relationships/image" Target="media/image11.wmf"/></Relationships>
</file>

<file path=word/_rels/header9.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12.wmf"/><Relationship Id="rId1" Type="http://schemas.openxmlformats.org/officeDocument/2006/relationships/image" Target="media/image11.w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risda\Desktop\DG%20EMPL\01.colour_EMPL_word%20doc%20template_EN.dot"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eco-bir-fs1.ecotec.co.uk\fdrive\London\PandR\Contracts\C5297%20Basic%20competences\3%20-%20Statistical%20analysis\Task%203.2%20Basic%20competences\Final%20graphs\%5bmodified%20legends%5d%20-%20Task%203.2%20graphs%20II%20num%20and%20lit%20levels%20.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eco-bir-fs1.ecotec.co.uk\users\Catherine%20Erskine\5297%20competencies\education%20data.xls"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Microsoft_Excel_Worksheet1.xlsx"/></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Microsoft_Excel_Worksheet2.xlsx"/></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package" Target="../embeddings/Microsoft_Excel_Worksheet3.xlsx"/></Relationships>
</file>

<file path=word/charts/_rels/chart14.xml.rels><?xml version="1.0" encoding="UTF-8" standalone="yes"?>
<Relationships xmlns="http://schemas.openxmlformats.org/package/2006/relationships"><Relationship Id="rId3" Type="http://schemas.openxmlformats.org/officeDocument/2006/relationships/chartUserShapes" Target="../drawings/drawing12.xml"/><Relationship Id="rId2" Type="http://schemas.openxmlformats.org/officeDocument/2006/relationships/oleObject" Target="file:///\\eco-bir-fs1.ecotec.co.uk\fdrive\London\PandR\Contracts\C5297%20Basic%20competences\3%20-%20Statistical%20analysis\Task%203.2%20Basic%20competences\Final%20graphs\Task%203.2%20graphs%20III%20num%20and%20lit%20-%20isced%20anja%20edited.xlsx" TargetMode="External"/><Relationship Id="rId1" Type="http://schemas.openxmlformats.org/officeDocument/2006/relationships/themeOverride" Target="../theme/themeOverride2.xml"/></Relationships>
</file>

<file path=word/charts/_rels/chart15.xml.rels><?xml version="1.0" encoding="UTF-8" standalone="yes"?>
<Relationships xmlns="http://schemas.openxmlformats.org/package/2006/relationships"><Relationship Id="rId3" Type="http://schemas.openxmlformats.org/officeDocument/2006/relationships/chartUserShapes" Target="../drawings/drawing13.xml"/><Relationship Id="rId2" Type="http://schemas.openxmlformats.org/officeDocument/2006/relationships/oleObject" Target="file:///\\eco-bir-fs1.ecotec.co.uk\fdrive\London\PandR\Contracts\C5297%20Basic%20competences\3%20-%20Statistical%20analysis\Task%203.2%20Basic%20competences\Final%20graphs\Task%203.2%20graphs%20III%20num%20and%20lit%20-%20isced%20anja%20edited.xlsx" TargetMode="External"/><Relationship Id="rId1" Type="http://schemas.openxmlformats.org/officeDocument/2006/relationships/themeOverride" Target="../theme/themeOverride3.xml"/></Relationships>
</file>

<file path=word/charts/_rels/chart16.xml.rels><?xml version="1.0" encoding="UTF-8" standalone="yes"?>
<Relationships xmlns="http://schemas.openxmlformats.org/package/2006/relationships"><Relationship Id="rId2" Type="http://schemas.openxmlformats.org/officeDocument/2006/relationships/oleObject" Target="file:///\\eco-bir-fs1.ecotec.co.uk\fdrive\London\PandR\Contracts\C5297%20Basic%20competences\3%20-%20Statistical%20analysis\Task%203.3%20Multilevel%20correlations%20and%20reg\Post-interim%20meeting\V2%20-%20Regress%20slopes%20%5bdydx%5d%20%20from%20margins.xlsx" TargetMode="External"/><Relationship Id="rId1" Type="http://schemas.openxmlformats.org/officeDocument/2006/relationships/themeOverride" Target="../theme/themeOverride4.xml"/></Relationships>
</file>

<file path=word/charts/_rels/chart17.xml.rels><?xml version="1.0" encoding="UTF-8" standalone="yes"?>
<Relationships xmlns="http://schemas.openxmlformats.org/package/2006/relationships"><Relationship Id="rId1" Type="http://schemas.openxmlformats.org/officeDocument/2006/relationships/oleObject" Target="file:///\\eco-bir-fs1.ecotec.co.uk\fdrive\London\PandR\Contracts\C5297%20Basic%20competences\3%20-%20Statistical%20analysis\Task%203.3%20Multilevel%20correlations%20and%20reg\Post-interim%20meeting\V2%20-%20Regress%20slopes%20%5bdydx%5d%20%20from%20margin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eco-bir-fs1.ecotec.co.uk\fdrive\London\PandR\Contracts\C5297%20Basic%20competences\3%20-%20Statistical%20analysis\Task%203.3%20Multilevel%20correlations%20and%20reg\Post-interim%20meeting\V2%20-%20Regress%20slopes%20%5bdydx%5d%20%20from%20margins.xlsx" TargetMode="External"/></Relationships>
</file>

<file path=word/charts/_rels/chart19.xml.rels><?xml version="1.0" encoding="UTF-8" standalone="yes"?>
<Relationships xmlns="http://schemas.openxmlformats.org/package/2006/relationships"><Relationship Id="rId2" Type="http://schemas.openxmlformats.org/officeDocument/2006/relationships/oleObject" Target="file:///\\eco-bir-fs1.ecotec.co.uk\fdrive\London\PandR\Contracts\C5297%20Basic%20competences\3%20-%20Statistical%20analysis\Task%203.3%20Multilevel%20correlations%20and%20reg\Post-interim%20meeting\V2%20-%20Regress%20slopes%20%5bdydx%5d%20%20from%20margins.xlsx" TargetMode="External"/><Relationship Id="rId1" Type="http://schemas.openxmlformats.org/officeDocument/2006/relationships/themeOverride" Target="../theme/themeOverride5.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eco-bir-fs1.ecotec.co.uk\fdrive\London\PandR\Contracts\C5297%20Basic%20competences\3%20-%20Statistical%20analysis\Task%203.2%20Basic%20competences\Final%20graphs\%5bmodified%20legends%5d%20-%20Task%203.2%20graphs%20II%20num%20and%20lit%20levels%20.xlsx" TargetMode="Externa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oleObject" Target="file:///\\eco-bir-fs1.ecotec.co.uk\fdrive\London\PandR\Contracts\C5297%20Basic%20competences\3%20-%20Statistical%20analysis\Task%203.3%20Multilevel%20correlations%20and%20reg\Post-interim%20meeting\V2%20-%20Regress%20slopes%20%5bdydx%5d%20%20from%20margins.xlsx" TargetMode="External"/></Relationships>
</file>

<file path=word/charts/_rels/chart21.xml.rels><?xml version="1.0" encoding="UTF-8" standalone="yes"?>
<Relationships xmlns="http://schemas.openxmlformats.org/package/2006/relationships"><Relationship Id="rId3" Type="http://schemas.openxmlformats.org/officeDocument/2006/relationships/chartUserShapes" Target="../drawings/drawing15.xml"/><Relationship Id="rId2" Type="http://schemas.openxmlformats.org/officeDocument/2006/relationships/oleObject" Target="file:///\\eco-bir-fs1.ecotec.co.uk\fdrive\London\PandR\Contracts\C5297%20Basic%20competences\3%20-%20Statistical%20analysis\Task%203.3%20Multilevel%20correlations%20and%20reg\Post-interim%20meeting\V2%20-%20Regress%20slopes%20%5bdydx%5d%20%20from%20margins.xlsx" TargetMode="External"/><Relationship Id="rId1" Type="http://schemas.openxmlformats.org/officeDocument/2006/relationships/themeOverride" Target="../theme/themeOverride6.xml"/></Relationships>
</file>

<file path=word/charts/_rels/chart22.xml.rels><?xml version="1.0" encoding="UTF-8" standalone="yes"?>
<Relationships xmlns="http://schemas.openxmlformats.org/package/2006/relationships"><Relationship Id="rId1" Type="http://schemas.openxmlformats.org/officeDocument/2006/relationships/oleObject" Target="file:///\\eco-bir-fs1.ecotec.co.uk\fdrive\London\PandR\Contracts\C5297%20Basic%20competences\3%20-%20Statistical%20analysis\Task%203.3%20IOE%20Diff-in-Diff\Copy%20of%20Dataset.xlsm" TargetMode="External"/></Relationships>
</file>

<file path=word/charts/_rels/chart23.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oleObject" Target="file:///\\eco-bir-fs1.ecotec.co.uk\fdrive\London\PandR\Contracts\C5297%20Basic%20competences\3%20-%20Statistical%20analysis\Task%203.3%20IOE%20Diff-in-Diff\Copy%20of%20Dataset.xlsm"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eco-bir-fs1.ecotec.co.uk\fdrive\London\PandR\Contracts\C5297%20Basic%20competences\3%20-%20Statistical%20analysis\Task%203.3%20IOE%20Diff-in-Diff\Copy%20of%20Dataset.xlsm" TargetMode="External"/></Relationships>
</file>

<file path=word/charts/_rels/chart25.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oleObject" Target="file:///\\eco-bir-fs1.ecotec.co.uk\fdrive\London\PandR\Contracts\C5297%20Basic%20competences\3%20-%20Statistical%20analysis\Task%203.3%20IOE%20Diff-in-Diff\Copy%20of%20Dataset.xlsm" TargetMode="External"/></Relationships>
</file>

<file path=word/charts/_rels/chart26.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oleObject" Target="file:///\\eco-bir-fs1.ecotec.co.uk\fdrive\London\PandR\Contracts\C5297%20Basic%20competences\3%20-%20Statistical%20analysis\Task%203.3%20IOE%20Diff-in-Diff\Copy%20of%20Dataset.xlsm" TargetMode="External"/></Relationships>
</file>

<file path=word/charts/_rels/chart27.xml.rels><?xml version="1.0" encoding="UTF-8" standalone="yes"?>
<Relationships xmlns="http://schemas.openxmlformats.org/package/2006/relationships"><Relationship Id="rId2" Type="http://schemas.openxmlformats.org/officeDocument/2006/relationships/chartUserShapes" Target="../drawings/drawing19.xml"/><Relationship Id="rId1" Type="http://schemas.openxmlformats.org/officeDocument/2006/relationships/oleObject" Target="file:///\\eco-bir-fs1.ecotec.co.uk\fdrive\London\PandR\Contracts\C5297%20Basic%20competences\3%20-%20Statistical%20analysis\Task%203.3%20IOE%20Diff-in-Diff\Copy%20of%20Dataset.xlsm"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eco-bir-fs1\fdrive\London\PandR\Contracts\C5297%20Basic%20competences\3%20-%20Statistical%20analysis\Task%203.2%20Basic%20competences\Final%20graphs\Task%203.2%20graph%20I%20numeracy%20new.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eco-bir-fs1\fdrive\London\PandR\Contracts\C5297%20Basic%20competences\3%20-%20Statistical%20analysis\Task%203.2%20Basic%20competences\Final%20graphs\Task%203.2%20graph%20I%20literacy%20new.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eco-bir-fs1.ecotec.co.uk\fdrive\London\PandR\Contracts\C5297%20Basic%20competences\3%20-%20Statistical%20analysis\Task%203.2%20Basic%20competences\Final%20graphs\Task%203.2%20graph%20I%20numeracy%20new.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eco-bir-fs1.ecotec.co.uk\fdrive\London\PandR\Contracts\C5297%20Basic%20competences\3%20-%20Statistical%20analysis\Task%203.2%20Basic%20competences\Final%20graphs\Task%203.2%20graph%20I%20literacy%20new.xlsx" TargetMode="Externa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eco-bir-fs1\fdrive\London\PandR\Contracts\C5297%20Basic%20competences\3%20-%20Statistical%20analysis\Task%203.1%20Educational%20Attainment\Task%203.1%20Data%20Analysis_CE.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co-bir-fs1.ecotec.co.uk\fdrive\London\PandR\Contracts\C5297%20Basic%20competences\3%20-%20Statistical%20analysis\Task%203.1%20Educational%20Attainment\Task%203.1%20Data%20Analysis_CEv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97477754305102"/>
          <c:y val="2.1472457214889797E-2"/>
          <c:w val="0.69703512670672252"/>
          <c:h val="0.80763334550772803"/>
        </c:manualLayout>
      </c:layout>
      <c:barChart>
        <c:barDir val="bar"/>
        <c:grouping val="stacked"/>
        <c:varyColors val="0"/>
        <c:ser>
          <c:idx val="4"/>
          <c:order val="0"/>
          <c:tx>
            <c:strRef>
              <c:f>Numeracy!$Q$7</c:f>
              <c:strCache>
                <c:ptCount val="1"/>
                <c:pt idx="0">
                  <c:v>Level 2</c:v>
                </c:pt>
              </c:strCache>
            </c:strRef>
          </c:tx>
          <c:spPr>
            <a:solidFill>
              <a:schemeClr val="accent2">
                <a:lumMod val="60000"/>
                <a:lumOff val="40000"/>
              </a:schemeClr>
            </a:solidFill>
          </c:spPr>
          <c:invertIfNegative val="0"/>
          <c:cat>
            <c:strRef>
              <c:f>Numeracy!$N$8:$N$24</c:f>
              <c:strCache>
                <c:ptCount val="17"/>
                <c:pt idx="0">
                  <c:v>Spain</c:v>
                </c:pt>
                <c:pt idx="1">
                  <c:v>Italy</c:v>
                </c:pt>
                <c:pt idx="2">
                  <c:v>Ireland</c:v>
                </c:pt>
                <c:pt idx="3">
                  <c:v>United Kingdom (EN/NI)</c:v>
                </c:pt>
                <c:pt idx="4">
                  <c:v>Poland</c:v>
                </c:pt>
                <c:pt idx="5">
                  <c:v>France</c:v>
                </c:pt>
                <c:pt idx="6">
                  <c:v>EU-16 average</c:v>
                </c:pt>
                <c:pt idx="7">
                  <c:v>Slovak Republic</c:v>
                </c:pt>
                <c:pt idx="8">
                  <c:v>Germany</c:v>
                </c:pt>
                <c:pt idx="9">
                  <c:v>Estonia</c:v>
                </c:pt>
                <c:pt idx="10">
                  <c:v>Austria</c:v>
                </c:pt>
                <c:pt idx="11">
                  <c:v>Denmark</c:v>
                </c:pt>
                <c:pt idx="12">
                  <c:v>Czech Republic</c:v>
                </c:pt>
                <c:pt idx="13">
                  <c:v>Sweden</c:v>
                </c:pt>
                <c:pt idx="14">
                  <c:v>Netherlands</c:v>
                </c:pt>
                <c:pt idx="15">
                  <c:v>Belgium (FL)</c:v>
                </c:pt>
                <c:pt idx="16">
                  <c:v>Finland</c:v>
                </c:pt>
              </c:strCache>
            </c:strRef>
          </c:cat>
          <c:val>
            <c:numRef>
              <c:f>Numeracy!$Q$8:$Q$24</c:f>
              <c:numCache>
                <c:formatCode>0.00</c:formatCode>
                <c:ptCount val="17"/>
                <c:pt idx="0">
                  <c:v>-41.69061</c:v>
                </c:pt>
                <c:pt idx="1">
                  <c:v>-36.939689999999999</c:v>
                </c:pt>
                <c:pt idx="2">
                  <c:v>-37.979170000000003</c:v>
                </c:pt>
                <c:pt idx="3">
                  <c:v>-32.077249999999999</c:v>
                </c:pt>
                <c:pt idx="4">
                  <c:v>-35.037680000000002</c:v>
                </c:pt>
                <c:pt idx="5">
                  <c:v>-32.417639999999999</c:v>
                </c:pt>
                <c:pt idx="6">
                  <c:v>-30.13148</c:v>
                </c:pt>
                <c:pt idx="7">
                  <c:v>-29.44924</c:v>
                </c:pt>
                <c:pt idx="8">
                  <c:v>-27.545120000000001</c:v>
                </c:pt>
                <c:pt idx="9">
                  <c:v>-30.513159999999999</c:v>
                </c:pt>
                <c:pt idx="10">
                  <c:v>-28.827839999999998</c:v>
                </c:pt>
                <c:pt idx="11">
                  <c:v>-26.126180000000002</c:v>
                </c:pt>
                <c:pt idx="12">
                  <c:v>-29.132010000000001</c:v>
                </c:pt>
                <c:pt idx="13">
                  <c:v>-24.979520000000001</c:v>
                </c:pt>
                <c:pt idx="14">
                  <c:v>-25.10324</c:v>
                </c:pt>
                <c:pt idx="15">
                  <c:v>-23.447970000000002</c:v>
                </c:pt>
                <c:pt idx="16">
                  <c:v>-20.837440000000001</c:v>
                </c:pt>
              </c:numCache>
            </c:numRef>
          </c:val>
          <c:extLst>
            <c:ext xmlns:c16="http://schemas.microsoft.com/office/drawing/2014/chart" uri="{C3380CC4-5D6E-409C-BE32-E72D297353CC}">
              <c16:uniqueId val="{00000000-C47C-429B-939B-A99ECF734967}"/>
            </c:ext>
          </c:extLst>
        </c:ser>
        <c:ser>
          <c:idx val="5"/>
          <c:order val="1"/>
          <c:tx>
            <c:strRef>
              <c:f>Numeracy!$P$7</c:f>
              <c:strCache>
                <c:ptCount val="1"/>
                <c:pt idx="0">
                  <c:v>Level 1</c:v>
                </c:pt>
              </c:strCache>
            </c:strRef>
          </c:tx>
          <c:spPr>
            <a:solidFill>
              <a:schemeClr val="accent2">
                <a:lumMod val="75000"/>
              </a:schemeClr>
            </a:solidFill>
          </c:spPr>
          <c:invertIfNegative val="0"/>
          <c:cat>
            <c:strRef>
              <c:f>Numeracy!$N$8:$N$24</c:f>
              <c:strCache>
                <c:ptCount val="17"/>
                <c:pt idx="0">
                  <c:v>Spain</c:v>
                </c:pt>
                <c:pt idx="1">
                  <c:v>Italy</c:v>
                </c:pt>
                <c:pt idx="2">
                  <c:v>Ireland</c:v>
                </c:pt>
                <c:pt idx="3">
                  <c:v>United Kingdom (EN/NI)</c:v>
                </c:pt>
                <c:pt idx="4">
                  <c:v>Poland</c:v>
                </c:pt>
                <c:pt idx="5">
                  <c:v>France</c:v>
                </c:pt>
                <c:pt idx="6">
                  <c:v>EU-16 average</c:v>
                </c:pt>
                <c:pt idx="7">
                  <c:v>Slovak Republic</c:v>
                </c:pt>
                <c:pt idx="8">
                  <c:v>Germany</c:v>
                </c:pt>
                <c:pt idx="9">
                  <c:v>Estonia</c:v>
                </c:pt>
                <c:pt idx="10">
                  <c:v>Austria</c:v>
                </c:pt>
                <c:pt idx="11">
                  <c:v>Denmark</c:v>
                </c:pt>
                <c:pt idx="12">
                  <c:v>Czech Republic</c:v>
                </c:pt>
                <c:pt idx="13">
                  <c:v>Sweden</c:v>
                </c:pt>
                <c:pt idx="14">
                  <c:v>Netherlands</c:v>
                </c:pt>
                <c:pt idx="15">
                  <c:v>Belgium (FL)</c:v>
                </c:pt>
                <c:pt idx="16">
                  <c:v>Finland</c:v>
                </c:pt>
              </c:strCache>
            </c:strRef>
          </c:cat>
          <c:val>
            <c:numRef>
              <c:f>Numeracy!$P$8:$P$24</c:f>
              <c:numCache>
                <c:formatCode>0.00</c:formatCode>
                <c:ptCount val="17"/>
                <c:pt idx="0">
                  <c:v>-16.562889999999999</c:v>
                </c:pt>
                <c:pt idx="1">
                  <c:v>-19.938639999999999</c:v>
                </c:pt>
                <c:pt idx="2">
                  <c:v>-14.30946</c:v>
                </c:pt>
                <c:pt idx="3">
                  <c:v>-16.33813</c:v>
                </c:pt>
                <c:pt idx="4">
                  <c:v>-13.555149999999999</c:v>
                </c:pt>
                <c:pt idx="5">
                  <c:v>-14.14298</c:v>
                </c:pt>
                <c:pt idx="6">
                  <c:v>-10.80491</c:v>
                </c:pt>
                <c:pt idx="7">
                  <c:v>-9.7514400000000006</c:v>
                </c:pt>
                <c:pt idx="8">
                  <c:v>-11.27765</c:v>
                </c:pt>
                <c:pt idx="9">
                  <c:v>-8.5828000000000007</c:v>
                </c:pt>
                <c:pt idx="10">
                  <c:v>-8.5349900000000005</c:v>
                </c:pt>
                <c:pt idx="11">
                  <c:v>-7.9935099999999997</c:v>
                </c:pt>
                <c:pt idx="12">
                  <c:v>-7.4092799999999999</c:v>
                </c:pt>
                <c:pt idx="13">
                  <c:v>-6.4498199999999999</c:v>
                </c:pt>
                <c:pt idx="14">
                  <c:v>-6.8468499999999999</c:v>
                </c:pt>
                <c:pt idx="15">
                  <c:v>-6.1841200000000001</c:v>
                </c:pt>
                <c:pt idx="16">
                  <c:v>-5.0008100000000004</c:v>
                </c:pt>
              </c:numCache>
            </c:numRef>
          </c:val>
          <c:extLst>
            <c:ext xmlns:c16="http://schemas.microsoft.com/office/drawing/2014/chart" uri="{C3380CC4-5D6E-409C-BE32-E72D297353CC}">
              <c16:uniqueId val="{00000001-C47C-429B-939B-A99ECF734967}"/>
            </c:ext>
          </c:extLst>
        </c:ser>
        <c:ser>
          <c:idx val="2"/>
          <c:order val="2"/>
          <c:tx>
            <c:strRef>
              <c:f>Numeracy!$O$7</c:f>
              <c:strCache>
                <c:ptCount val="1"/>
                <c:pt idx="0">
                  <c:v>Below Level 1</c:v>
                </c:pt>
              </c:strCache>
            </c:strRef>
          </c:tx>
          <c:spPr>
            <a:solidFill>
              <a:schemeClr val="bg1">
                <a:lumMod val="50000"/>
              </a:schemeClr>
            </a:solidFill>
          </c:spPr>
          <c:invertIfNegative val="0"/>
          <c:cat>
            <c:strRef>
              <c:f>Numeracy!$N$8:$N$24</c:f>
              <c:strCache>
                <c:ptCount val="17"/>
                <c:pt idx="0">
                  <c:v>Spain</c:v>
                </c:pt>
                <c:pt idx="1">
                  <c:v>Italy</c:v>
                </c:pt>
                <c:pt idx="2">
                  <c:v>Ireland</c:v>
                </c:pt>
                <c:pt idx="3">
                  <c:v>United Kingdom (EN/NI)</c:v>
                </c:pt>
                <c:pt idx="4">
                  <c:v>Poland</c:v>
                </c:pt>
                <c:pt idx="5">
                  <c:v>France</c:v>
                </c:pt>
                <c:pt idx="6">
                  <c:v>EU-16 average</c:v>
                </c:pt>
                <c:pt idx="7">
                  <c:v>Slovak Republic</c:v>
                </c:pt>
                <c:pt idx="8">
                  <c:v>Germany</c:v>
                </c:pt>
                <c:pt idx="9">
                  <c:v>Estonia</c:v>
                </c:pt>
                <c:pt idx="10">
                  <c:v>Austria</c:v>
                </c:pt>
                <c:pt idx="11">
                  <c:v>Denmark</c:v>
                </c:pt>
                <c:pt idx="12">
                  <c:v>Czech Republic</c:v>
                </c:pt>
                <c:pt idx="13">
                  <c:v>Sweden</c:v>
                </c:pt>
                <c:pt idx="14">
                  <c:v>Netherlands</c:v>
                </c:pt>
                <c:pt idx="15">
                  <c:v>Belgium (FL)</c:v>
                </c:pt>
                <c:pt idx="16">
                  <c:v>Finland</c:v>
                </c:pt>
              </c:strCache>
            </c:strRef>
          </c:cat>
          <c:val>
            <c:numRef>
              <c:f>Numeracy!$O$8:$O$24</c:f>
              <c:numCache>
                <c:formatCode>0.00</c:formatCode>
                <c:ptCount val="17"/>
                <c:pt idx="0">
                  <c:v>-5.2910700000000004</c:v>
                </c:pt>
                <c:pt idx="1">
                  <c:v>-5.2931999999999997</c:v>
                </c:pt>
                <c:pt idx="2">
                  <c:v>-4.6191800000000001</c:v>
                </c:pt>
                <c:pt idx="3">
                  <c:v>-6.4099500000000003</c:v>
                </c:pt>
                <c:pt idx="4">
                  <c:v>-3.6446499999999999</c:v>
                </c:pt>
                <c:pt idx="5">
                  <c:v>-4.9273199999999999</c:v>
                </c:pt>
                <c:pt idx="6">
                  <c:v>-3.5137999999999998</c:v>
                </c:pt>
                <c:pt idx="7">
                  <c:v>-3.5710199999999999</c:v>
                </c:pt>
                <c:pt idx="8">
                  <c:v>-2.7938499999999999</c:v>
                </c:pt>
                <c:pt idx="9">
                  <c:v>-1.67808</c:v>
                </c:pt>
                <c:pt idx="10">
                  <c:v>-3.1564100000000002</c:v>
                </c:pt>
                <c:pt idx="11">
                  <c:v>-3.9912100000000001</c:v>
                </c:pt>
                <c:pt idx="12">
                  <c:v>-0.84970000000000001</c:v>
                </c:pt>
                <c:pt idx="13">
                  <c:v>-4.3182200000000002</c:v>
                </c:pt>
                <c:pt idx="14">
                  <c:v>-2.04555</c:v>
                </c:pt>
                <c:pt idx="15">
                  <c:v>-1.8532299999999999</c:v>
                </c:pt>
                <c:pt idx="16">
                  <c:v>-1.77824</c:v>
                </c:pt>
              </c:numCache>
            </c:numRef>
          </c:val>
          <c:extLst>
            <c:ext xmlns:c16="http://schemas.microsoft.com/office/drawing/2014/chart" uri="{C3380CC4-5D6E-409C-BE32-E72D297353CC}">
              <c16:uniqueId val="{00000002-C47C-429B-939B-A99ECF734967}"/>
            </c:ext>
          </c:extLst>
        </c:ser>
        <c:ser>
          <c:idx val="3"/>
          <c:order val="3"/>
          <c:tx>
            <c:strRef>
              <c:f>Numeracy!$R$7</c:f>
              <c:strCache>
                <c:ptCount val="1"/>
                <c:pt idx="0">
                  <c:v>Level 3</c:v>
                </c:pt>
              </c:strCache>
            </c:strRef>
          </c:tx>
          <c:spPr>
            <a:solidFill>
              <a:schemeClr val="accent1">
                <a:lumMod val="50000"/>
              </a:schemeClr>
            </a:solidFill>
          </c:spPr>
          <c:invertIfNegative val="0"/>
          <c:cat>
            <c:strRef>
              <c:f>Numeracy!$N$8:$N$24</c:f>
              <c:strCache>
                <c:ptCount val="17"/>
                <c:pt idx="0">
                  <c:v>Spain</c:v>
                </c:pt>
                <c:pt idx="1">
                  <c:v>Italy</c:v>
                </c:pt>
                <c:pt idx="2">
                  <c:v>Ireland</c:v>
                </c:pt>
                <c:pt idx="3">
                  <c:v>United Kingdom (EN/NI)</c:v>
                </c:pt>
                <c:pt idx="4">
                  <c:v>Poland</c:v>
                </c:pt>
                <c:pt idx="5">
                  <c:v>France</c:v>
                </c:pt>
                <c:pt idx="6">
                  <c:v>EU-16 average</c:v>
                </c:pt>
                <c:pt idx="7">
                  <c:v>Slovak Republic</c:v>
                </c:pt>
                <c:pt idx="8">
                  <c:v>Germany</c:v>
                </c:pt>
                <c:pt idx="9">
                  <c:v>Estonia</c:v>
                </c:pt>
                <c:pt idx="10">
                  <c:v>Austria</c:v>
                </c:pt>
                <c:pt idx="11">
                  <c:v>Denmark</c:v>
                </c:pt>
                <c:pt idx="12">
                  <c:v>Czech Republic</c:v>
                </c:pt>
                <c:pt idx="13">
                  <c:v>Sweden</c:v>
                </c:pt>
                <c:pt idx="14">
                  <c:v>Netherlands</c:v>
                </c:pt>
                <c:pt idx="15">
                  <c:v>Belgium (FL)</c:v>
                </c:pt>
                <c:pt idx="16">
                  <c:v>Finland</c:v>
                </c:pt>
              </c:strCache>
            </c:strRef>
          </c:cat>
          <c:val>
            <c:numRef>
              <c:f>Numeracy!$R$8:$R$24</c:f>
              <c:numCache>
                <c:formatCode>0.00</c:formatCode>
                <c:ptCount val="17"/>
                <c:pt idx="0">
                  <c:v>30.939409999999999</c:v>
                </c:pt>
                <c:pt idx="1">
                  <c:v>30.911840000000002</c:v>
                </c:pt>
                <c:pt idx="2">
                  <c:v>33.95073</c:v>
                </c:pt>
                <c:pt idx="3">
                  <c:v>32.49841</c:v>
                </c:pt>
                <c:pt idx="4">
                  <c:v>35.95241</c:v>
                </c:pt>
                <c:pt idx="5">
                  <c:v>35.993549999999999</c:v>
                </c:pt>
                <c:pt idx="6">
                  <c:v>39.010469999999998</c:v>
                </c:pt>
                <c:pt idx="7">
                  <c:v>42.27787</c:v>
                </c:pt>
                <c:pt idx="8">
                  <c:v>40.496920000000003</c:v>
                </c:pt>
                <c:pt idx="9">
                  <c:v>42.890500000000003</c:v>
                </c:pt>
                <c:pt idx="10">
                  <c:v>41.74118</c:v>
                </c:pt>
                <c:pt idx="11">
                  <c:v>40.786009999999997</c:v>
                </c:pt>
                <c:pt idx="12">
                  <c:v>44.566870000000002</c:v>
                </c:pt>
                <c:pt idx="13">
                  <c:v>40.305059999999997</c:v>
                </c:pt>
                <c:pt idx="14">
                  <c:v>43.003140000000002</c:v>
                </c:pt>
                <c:pt idx="15">
                  <c:v>44.652630000000002</c:v>
                </c:pt>
                <c:pt idx="16">
                  <c:v>43.201000000000001</c:v>
                </c:pt>
              </c:numCache>
            </c:numRef>
          </c:val>
          <c:extLst>
            <c:ext xmlns:c16="http://schemas.microsoft.com/office/drawing/2014/chart" uri="{C3380CC4-5D6E-409C-BE32-E72D297353CC}">
              <c16:uniqueId val="{00000003-C47C-429B-939B-A99ECF734967}"/>
            </c:ext>
          </c:extLst>
        </c:ser>
        <c:ser>
          <c:idx val="6"/>
          <c:order val="4"/>
          <c:tx>
            <c:strRef>
              <c:f>Numeracy!$S$7</c:f>
              <c:strCache>
                <c:ptCount val="1"/>
                <c:pt idx="0">
                  <c:v>Level4</c:v>
                </c:pt>
              </c:strCache>
            </c:strRef>
          </c:tx>
          <c:spPr>
            <a:solidFill>
              <a:schemeClr val="accent1">
                <a:lumMod val="20000"/>
                <a:lumOff val="80000"/>
              </a:schemeClr>
            </a:solidFill>
          </c:spPr>
          <c:invertIfNegative val="0"/>
          <c:cat>
            <c:strRef>
              <c:f>Numeracy!$N$8:$N$24</c:f>
              <c:strCache>
                <c:ptCount val="17"/>
                <c:pt idx="0">
                  <c:v>Spain</c:v>
                </c:pt>
                <c:pt idx="1">
                  <c:v>Italy</c:v>
                </c:pt>
                <c:pt idx="2">
                  <c:v>Ireland</c:v>
                </c:pt>
                <c:pt idx="3">
                  <c:v>United Kingdom (EN/NI)</c:v>
                </c:pt>
                <c:pt idx="4">
                  <c:v>Poland</c:v>
                </c:pt>
                <c:pt idx="5">
                  <c:v>France</c:v>
                </c:pt>
                <c:pt idx="6">
                  <c:v>EU-16 average</c:v>
                </c:pt>
                <c:pt idx="7">
                  <c:v>Slovak Republic</c:v>
                </c:pt>
                <c:pt idx="8">
                  <c:v>Germany</c:v>
                </c:pt>
                <c:pt idx="9">
                  <c:v>Estonia</c:v>
                </c:pt>
                <c:pt idx="10">
                  <c:v>Austria</c:v>
                </c:pt>
                <c:pt idx="11">
                  <c:v>Denmark</c:v>
                </c:pt>
                <c:pt idx="12">
                  <c:v>Czech Republic</c:v>
                </c:pt>
                <c:pt idx="13">
                  <c:v>Sweden</c:v>
                </c:pt>
                <c:pt idx="14">
                  <c:v>Netherlands</c:v>
                </c:pt>
                <c:pt idx="15">
                  <c:v>Belgium (FL)</c:v>
                </c:pt>
                <c:pt idx="16">
                  <c:v>Finland</c:v>
                </c:pt>
              </c:strCache>
            </c:strRef>
          </c:cat>
          <c:val>
            <c:numRef>
              <c:f>Numeracy!$S$8:$S$24</c:f>
              <c:numCache>
                <c:formatCode>0.00</c:formatCode>
                <c:ptCount val="17"/>
                <c:pt idx="0">
                  <c:v>5.41554</c:v>
                </c:pt>
                <c:pt idx="1">
                  <c:v>6.5674700000000001</c:v>
                </c:pt>
                <c:pt idx="2">
                  <c:v>8.4475999999999996</c:v>
                </c:pt>
                <c:pt idx="3">
                  <c:v>11.585240000000001</c:v>
                </c:pt>
                <c:pt idx="4">
                  <c:v>10.72697</c:v>
                </c:pt>
                <c:pt idx="5">
                  <c:v>11.650980000000001</c:v>
                </c:pt>
                <c:pt idx="6">
                  <c:v>14.965070000000001</c:v>
                </c:pt>
                <c:pt idx="7">
                  <c:v>13.72564</c:v>
                </c:pt>
                <c:pt idx="8">
                  <c:v>16.584949999999999</c:v>
                </c:pt>
                <c:pt idx="9">
                  <c:v>14.98231</c:v>
                </c:pt>
                <c:pt idx="10">
                  <c:v>16.174689999999998</c:v>
                </c:pt>
                <c:pt idx="11">
                  <c:v>18.497990000000001</c:v>
                </c:pt>
                <c:pt idx="12">
                  <c:v>16.39235</c:v>
                </c:pt>
                <c:pt idx="13">
                  <c:v>21.2532</c:v>
                </c:pt>
                <c:pt idx="14">
                  <c:v>20.599810000000002</c:v>
                </c:pt>
                <c:pt idx="15">
                  <c:v>21.382390000000001</c:v>
                </c:pt>
                <c:pt idx="16">
                  <c:v>25.454000000000001</c:v>
                </c:pt>
              </c:numCache>
            </c:numRef>
          </c:val>
          <c:extLst>
            <c:ext xmlns:c16="http://schemas.microsoft.com/office/drawing/2014/chart" uri="{C3380CC4-5D6E-409C-BE32-E72D297353CC}">
              <c16:uniqueId val="{00000004-C47C-429B-939B-A99ECF734967}"/>
            </c:ext>
          </c:extLst>
        </c:ser>
        <c:ser>
          <c:idx val="0"/>
          <c:order val="5"/>
          <c:tx>
            <c:strRef>
              <c:f>Numeracy!$T$7</c:f>
              <c:strCache>
                <c:ptCount val="1"/>
                <c:pt idx="0">
                  <c:v>Level 5</c:v>
                </c:pt>
              </c:strCache>
            </c:strRef>
          </c:tx>
          <c:invertIfNegative val="0"/>
          <c:cat>
            <c:strRef>
              <c:f>Numeracy!$N$8:$N$24</c:f>
              <c:strCache>
                <c:ptCount val="17"/>
                <c:pt idx="0">
                  <c:v>Spain</c:v>
                </c:pt>
                <c:pt idx="1">
                  <c:v>Italy</c:v>
                </c:pt>
                <c:pt idx="2">
                  <c:v>Ireland</c:v>
                </c:pt>
                <c:pt idx="3">
                  <c:v>United Kingdom (EN/NI)</c:v>
                </c:pt>
                <c:pt idx="4">
                  <c:v>Poland</c:v>
                </c:pt>
                <c:pt idx="5">
                  <c:v>France</c:v>
                </c:pt>
                <c:pt idx="6">
                  <c:v>EU-16 average</c:v>
                </c:pt>
                <c:pt idx="7">
                  <c:v>Slovak Republic</c:v>
                </c:pt>
                <c:pt idx="8">
                  <c:v>Germany</c:v>
                </c:pt>
                <c:pt idx="9">
                  <c:v>Estonia</c:v>
                </c:pt>
                <c:pt idx="10">
                  <c:v>Austria</c:v>
                </c:pt>
                <c:pt idx="11">
                  <c:v>Denmark</c:v>
                </c:pt>
                <c:pt idx="12">
                  <c:v>Czech Republic</c:v>
                </c:pt>
                <c:pt idx="13">
                  <c:v>Sweden</c:v>
                </c:pt>
                <c:pt idx="14">
                  <c:v>Netherlands</c:v>
                </c:pt>
                <c:pt idx="15">
                  <c:v>Belgium (FL)</c:v>
                </c:pt>
                <c:pt idx="16">
                  <c:v>Finland</c:v>
                </c:pt>
              </c:strCache>
            </c:strRef>
          </c:cat>
          <c:val>
            <c:numRef>
              <c:f>Numeracy!$T$8:$T$24</c:f>
              <c:numCache>
                <c:formatCode>0.00</c:formatCode>
                <c:ptCount val="17"/>
                <c:pt idx="0">
                  <c:v>0.10047</c:v>
                </c:pt>
                <c:pt idx="1">
                  <c:v>0.34916999999999998</c:v>
                </c:pt>
                <c:pt idx="2">
                  <c:v>0.69384999999999997</c:v>
                </c:pt>
                <c:pt idx="3">
                  <c:v>1.09101</c:v>
                </c:pt>
                <c:pt idx="4">
                  <c:v>1.08314</c:v>
                </c:pt>
                <c:pt idx="5">
                  <c:v>0.86753000000000002</c:v>
                </c:pt>
                <c:pt idx="6">
                  <c:v>1.57426</c:v>
                </c:pt>
                <c:pt idx="7">
                  <c:v>1.22479</c:v>
                </c:pt>
                <c:pt idx="8">
                  <c:v>1.3015000000000001</c:v>
                </c:pt>
                <c:pt idx="9">
                  <c:v>1.3531500000000001</c:v>
                </c:pt>
                <c:pt idx="10">
                  <c:v>1.5649</c:v>
                </c:pt>
                <c:pt idx="11">
                  <c:v>2.6051000000000002</c:v>
                </c:pt>
                <c:pt idx="12">
                  <c:v>1.6497999999999999</c:v>
                </c:pt>
                <c:pt idx="13">
                  <c:v>2.6941799999999998</c:v>
                </c:pt>
                <c:pt idx="14">
                  <c:v>2.4014000000000002</c:v>
                </c:pt>
                <c:pt idx="15">
                  <c:v>2.47967</c:v>
                </c:pt>
                <c:pt idx="16">
                  <c:v>3.7285300000000001</c:v>
                </c:pt>
              </c:numCache>
            </c:numRef>
          </c:val>
          <c:extLst>
            <c:ext xmlns:c16="http://schemas.microsoft.com/office/drawing/2014/chart" uri="{C3380CC4-5D6E-409C-BE32-E72D297353CC}">
              <c16:uniqueId val="{00000005-C47C-429B-939B-A99ECF734967}"/>
            </c:ext>
          </c:extLst>
        </c:ser>
        <c:dLbls>
          <c:showLegendKey val="0"/>
          <c:showVal val="0"/>
          <c:showCatName val="0"/>
          <c:showSerName val="0"/>
          <c:showPercent val="0"/>
          <c:showBubbleSize val="0"/>
        </c:dLbls>
        <c:gapWidth val="150"/>
        <c:overlap val="100"/>
        <c:axId val="355905272"/>
        <c:axId val="355905664"/>
      </c:barChart>
      <c:catAx>
        <c:axId val="355905272"/>
        <c:scaling>
          <c:orientation val="minMax"/>
        </c:scaling>
        <c:delete val="0"/>
        <c:axPos val="l"/>
        <c:numFmt formatCode="General" sourceLinked="1"/>
        <c:majorTickMark val="none"/>
        <c:minorTickMark val="none"/>
        <c:tickLblPos val="low"/>
        <c:spPr>
          <a:ln w="22225">
            <a:solidFill>
              <a:schemeClr val="tx1"/>
            </a:solidFill>
          </a:ln>
        </c:spPr>
        <c:txPr>
          <a:bodyPr rot="0" vert="horz"/>
          <a:lstStyle/>
          <a:p>
            <a:pPr>
              <a:defRPr sz="1000" b="0" i="0" u="none" strike="noStrike" baseline="0">
                <a:solidFill>
                  <a:srgbClr val="000000"/>
                </a:solidFill>
                <a:latin typeface="Calibri"/>
                <a:ea typeface="Calibri"/>
                <a:cs typeface="Calibri"/>
              </a:defRPr>
            </a:pPr>
            <a:endParaRPr lang="en-US"/>
          </a:p>
        </c:txPr>
        <c:crossAx val="355905664"/>
        <c:crosses val="autoZero"/>
        <c:auto val="1"/>
        <c:lblAlgn val="ctr"/>
        <c:lblOffset val="100"/>
        <c:noMultiLvlLbl val="0"/>
      </c:catAx>
      <c:valAx>
        <c:axId val="355905664"/>
        <c:scaling>
          <c:orientation val="minMax"/>
          <c:max val="100"/>
          <c:min val="-100"/>
        </c:scaling>
        <c:delete val="0"/>
        <c:axPos val="b"/>
        <c:majorGridlines>
          <c:spPr>
            <a:ln w="3175">
              <a:prstDash val="dash"/>
            </a:ln>
          </c:spPr>
        </c:majorGridlines>
        <c:numFmt formatCode="0;[Black]0" sourceLinked="0"/>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55905272"/>
        <c:crosses val="autoZero"/>
        <c:crossBetween val="between"/>
        <c:majorUnit val="20"/>
      </c:valAx>
      <c:spPr>
        <a:noFill/>
        <a:ln>
          <a:solidFill>
            <a:schemeClr val="tx1">
              <a:tint val="75000"/>
              <a:shade val="95000"/>
              <a:satMod val="105000"/>
            </a:schemeClr>
          </a:solidFill>
        </a:ln>
      </c:spPr>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9654960500122911E-2"/>
          <c:y val="4.0022933875836088E-2"/>
          <c:w val="0.94133361596781373"/>
          <c:h val="0.84756464206823834"/>
        </c:manualLayout>
      </c:layout>
      <c:lineChart>
        <c:grouping val="standard"/>
        <c:varyColors val="0"/>
        <c:ser>
          <c:idx val="0"/>
          <c:order val="0"/>
          <c:tx>
            <c:strRef>
              <c:f>'Age cohorts - charts'!$B$76</c:f>
              <c:strCache>
                <c:ptCount val="1"/>
                <c:pt idx="0">
                  <c:v>25-34</c:v>
                </c:pt>
              </c:strCache>
            </c:strRef>
          </c:tx>
          <c:spPr>
            <a:ln>
              <a:noFill/>
            </a:ln>
          </c:spPr>
          <c:marker>
            <c:symbol val="diamond"/>
            <c:size val="7"/>
            <c:spPr>
              <a:solidFill>
                <a:schemeClr val="tx2">
                  <a:lumMod val="40000"/>
                  <a:lumOff val="60000"/>
                </a:schemeClr>
              </a:solidFill>
              <a:ln>
                <a:noFill/>
              </a:ln>
            </c:spPr>
          </c:marker>
          <c:dPt>
            <c:idx val="9"/>
            <c:marker>
              <c:spPr>
                <a:solidFill>
                  <a:schemeClr val="accent2">
                    <a:lumMod val="40000"/>
                    <a:lumOff val="60000"/>
                  </a:schemeClr>
                </a:solidFill>
                <a:ln>
                  <a:noFill/>
                </a:ln>
              </c:spPr>
            </c:marker>
            <c:bubble3D val="0"/>
            <c:extLst>
              <c:ext xmlns:c16="http://schemas.microsoft.com/office/drawing/2014/chart" uri="{C3380CC4-5D6E-409C-BE32-E72D297353CC}">
                <c16:uniqueId val="{00000000-5AAF-44D6-A4AF-01E19B270747}"/>
              </c:ext>
            </c:extLst>
          </c:dPt>
          <c:cat>
            <c:strRef>
              <c:f>'Age cohorts - charts'!$A$77:$A$105</c:f>
              <c:strCache>
                <c:ptCount val="29"/>
                <c:pt idx="0">
                  <c:v>MT</c:v>
                </c:pt>
                <c:pt idx="1">
                  <c:v>PT</c:v>
                </c:pt>
                <c:pt idx="2">
                  <c:v>ES</c:v>
                </c:pt>
                <c:pt idx="3">
                  <c:v>IT</c:v>
                </c:pt>
                <c:pt idx="4">
                  <c:v>RO</c:v>
                </c:pt>
                <c:pt idx="5">
                  <c:v>BG</c:v>
                </c:pt>
                <c:pt idx="6">
                  <c:v>DK</c:v>
                </c:pt>
                <c:pt idx="7">
                  <c:v>BE</c:v>
                </c:pt>
                <c:pt idx="8">
                  <c:v>EL</c:v>
                </c:pt>
                <c:pt idx="9">
                  <c:v>EU-28</c:v>
                </c:pt>
                <c:pt idx="10">
                  <c:v>UK</c:v>
                </c:pt>
                <c:pt idx="11">
                  <c:v>NL</c:v>
                </c:pt>
                <c:pt idx="12">
                  <c:v>LV</c:v>
                </c:pt>
                <c:pt idx="13">
                  <c:v>CY</c:v>
                </c:pt>
                <c:pt idx="14">
                  <c:v>FR</c:v>
                </c:pt>
                <c:pt idx="15">
                  <c:v>LU</c:v>
                </c:pt>
                <c:pt idx="16">
                  <c:v>HU</c:v>
                </c:pt>
                <c:pt idx="17">
                  <c:v>DE</c:v>
                </c:pt>
                <c:pt idx="18">
                  <c:v>SE</c:v>
                </c:pt>
                <c:pt idx="19">
                  <c:v>EE</c:v>
                </c:pt>
                <c:pt idx="20">
                  <c:v>AT</c:v>
                </c:pt>
                <c:pt idx="21">
                  <c:v>IE</c:v>
                </c:pt>
                <c:pt idx="22">
                  <c:v>FI</c:v>
                </c:pt>
                <c:pt idx="23">
                  <c:v>LT</c:v>
                </c:pt>
                <c:pt idx="24">
                  <c:v>SK</c:v>
                </c:pt>
                <c:pt idx="25">
                  <c:v>SI</c:v>
                </c:pt>
                <c:pt idx="26">
                  <c:v>PL</c:v>
                </c:pt>
                <c:pt idx="27">
                  <c:v>CZ</c:v>
                </c:pt>
                <c:pt idx="28">
                  <c:v>HR</c:v>
                </c:pt>
              </c:strCache>
            </c:strRef>
          </c:cat>
          <c:val>
            <c:numRef>
              <c:f>'Age cohorts - charts'!$B$77:$B$105</c:f>
              <c:numCache>
                <c:formatCode>#,##0.0</c:formatCode>
                <c:ptCount val="29"/>
                <c:pt idx="0">
                  <c:v>40.200000000000003</c:v>
                </c:pt>
                <c:pt idx="1">
                  <c:v>35.299999999999997</c:v>
                </c:pt>
                <c:pt idx="2">
                  <c:v>34.4</c:v>
                </c:pt>
                <c:pt idx="3">
                  <c:v>26.2</c:v>
                </c:pt>
                <c:pt idx="4">
                  <c:v>24.5</c:v>
                </c:pt>
                <c:pt idx="5">
                  <c:v>18</c:v>
                </c:pt>
                <c:pt idx="6">
                  <c:v>17.8</c:v>
                </c:pt>
                <c:pt idx="7">
                  <c:v>17.7</c:v>
                </c:pt>
                <c:pt idx="8">
                  <c:v>17.7</c:v>
                </c:pt>
                <c:pt idx="9">
                  <c:v>16.899999999999999</c:v>
                </c:pt>
                <c:pt idx="10">
                  <c:v>14.9</c:v>
                </c:pt>
                <c:pt idx="11">
                  <c:v>14.9</c:v>
                </c:pt>
                <c:pt idx="12">
                  <c:v>14</c:v>
                </c:pt>
                <c:pt idx="13">
                  <c:v>13.7</c:v>
                </c:pt>
                <c:pt idx="14">
                  <c:v>13.2</c:v>
                </c:pt>
                <c:pt idx="15">
                  <c:v>13.1</c:v>
                </c:pt>
                <c:pt idx="16">
                  <c:v>13</c:v>
                </c:pt>
                <c:pt idx="17">
                  <c:v>12.7</c:v>
                </c:pt>
                <c:pt idx="18">
                  <c:v>12.7</c:v>
                </c:pt>
                <c:pt idx="19">
                  <c:v>10.9</c:v>
                </c:pt>
                <c:pt idx="20">
                  <c:v>10</c:v>
                </c:pt>
                <c:pt idx="21">
                  <c:v>9.9</c:v>
                </c:pt>
                <c:pt idx="22">
                  <c:v>9.8000000000000007</c:v>
                </c:pt>
                <c:pt idx="23">
                  <c:v>9.1999999999999993</c:v>
                </c:pt>
                <c:pt idx="24">
                  <c:v>7.4</c:v>
                </c:pt>
                <c:pt idx="25">
                  <c:v>6.1</c:v>
                </c:pt>
                <c:pt idx="26">
                  <c:v>5.8</c:v>
                </c:pt>
                <c:pt idx="27">
                  <c:v>5.4</c:v>
                </c:pt>
                <c:pt idx="28">
                  <c:v>4.7</c:v>
                </c:pt>
              </c:numCache>
            </c:numRef>
          </c:val>
          <c:smooth val="0"/>
          <c:extLst>
            <c:ext xmlns:c16="http://schemas.microsoft.com/office/drawing/2014/chart" uri="{C3380CC4-5D6E-409C-BE32-E72D297353CC}">
              <c16:uniqueId val="{00000001-5AAF-44D6-A4AF-01E19B270747}"/>
            </c:ext>
          </c:extLst>
        </c:ser>
        <c:ser>
          <c:idx val="1"/>
          <c:order val="1"/>
          <c:tx>
            <c:strRef>
              <c:f>'Age cohorts - charts'!$C$76</c:f>
              <c:strCache>
                <c:ptCount val="1"/>
                <c:pt idx="0">
                  <c:v>35-44</c:v>
                </c:pt>
              </c:strCache>
            </c:strRef>
          </c:tx>
          <c:spPr>
            <a:ln>
              <a:noFill/>
            </a:ln>
          </c:spPr>
          <c:marker>
            <c:symbol val="square"/>
            <c:size val="5"/>
            <c:spPr>
              <a:solidFill>
                <a:schemeClr val="tx2">
                  <a:lumMod val="60000"/>
                  <a:lumOff val="40000"/>
                </a:schemeClr>
              </a:solidFill>
              <a:ln>
                <a:noFill/>
              </a:ln>
            </c:spPr>
          </c:marker>
          <c:dPt>
            <c:idx val="9"/>
            <c:marker>
              <c:spPr>
                <a:solidFill>
                  <a:schemeClr val="accent2">
                    <a:lumMod val="60000"/>
                    <a:lumOff val="40000"/>
                  </a:schemeClr>
                </a:solidFill>
                <a:ln>
                  <a:noFill/>
                </a:ln>
              </c:spPr>
            </c:marker>
            <c:bubble3D val="0"/>
            <c:extLst>
              <c:ext xmlns:c16="http://schemas.microsoft.com/office/drawing/2014/chart" uri="{C3380CC4-5D6E-409C-BE32-E72D297353CC}">
                <c16:uniqueId val="{00000002-5AAF-44D6-A4AF-01E19B270747}"/>
              </c:ext>
            </c:extLst>
          </c:dPt>
          <c:cat>
            <c:strRef>
              <c:f>'Age cohorts - charts'!$A$77:$A$105</c:f>
              <c:strCache>
                <c:ptCount val="29"/>
                <c:pt idx="0">
                  <c:v>MT</c:v>
                </c:pt>
                <c:pt idx="1">
                  <c:v>PT</c:v>
                </c:pt>
                <c:pt idx="2">
                  <c:v>ES</c:v>
                </c:pt>
                <c:pt idx="3">
                  <c:v>IT</c:v>
                </c:pt>
                <c:pt idx="4">
                  <c:v>RO</c:v>
                </c:pt>
                <c:pt idx="5">
                  <c:v>BG</c:v>
                </c:pt>
                <c:pt idx="6">
                  <c:v>DK</c:v>
                </c:pt>
                <c:pt idx="7">
                  <c:v>BE</c:v>
                </c:pt>
                <c:pt idx="8">
                  <c:v>EL</c:v>
                </c:pt>
                <c:pt idx="9">
                  <c:v>EU-28</c:v>
                </c:pt>
                <c:pt idx="10">
                  <c:v>UK</c:v>
                </c:pt>
                <c:pt idx="11">
                  <c:v>NL</c:v>
                </c:pt>
                <c:pt idx="12">
                  <c:v>LV</c:v>
                </c:pt>
                <c:pt idx="13">
                  <c:v>CY</c:v>
                </c:pt>
                <c:pt idx="14">
                  <c:v>FR</c:v>
                </c:pt>
                <c:pt idx="15">
                  <c:v>LU</c:v>
                </c:pt>
                <c:pt idx="16">
                  <c:v>HU</c:v>
                </c:pt>
                <c:pt idx="17">
                  <c:v>DE</c:v>
                </c:pt>
                <c:pt idx="18">
                  <c:v>SE</c:v>
                </c:pt>
                <c:pt idx="19">
                  <c:v>EE</c:v>
                </c:pt>
                <c:pt idx="20">
                  <c:v>AT</c:v>
                </c:pt>
                <c:pt idx="21">
                  <c:v>IE</c:v>
                </c:pt>
                <c:pt idx="22">
                  <c:v>FI</c:v>
                </c:pt>
                <c:pt idx="23">
                  <c:v>LT</c:v>
                </c:pt>
                <c:pt idx="24">
                  <c:v>SK</c:v>
                </c:pt>
                <c:pt idx="25">
                  <c:v>SI</c:v>
                </c:pt>
                <c:pt idx="26">
                  <c:v>PL</c:v>
                </c:pt>
                <c:pt idx="27">
                  <c:v>CZ</c:v>
                </c:pt>
                <c:pt idx="28">
                  <c:v>HR</c:v>
                </c:pt>
              </c:strCache>
            </c:strRef>
          </c:cat>
          <c:val>
            <c:numRef>
              <c:f>'Age cohorts - charts'!$C$77:$C$105</c:f>
              <c:numCache>
                <c:formatCode>#,##0.0</c:formatCode>
                <c:ptCount val="29"/>
                <c:pt idx="0">
                  <c:v>50.6</c:v>
                </c:pt>
                <c:pt idx="1">
                  <c:v>47.7</c:v>
                </c:pt>
                <c:pt idx="2">
                  <c:v>34.6</c:v>
                </c:pt>
                <c:pt idx="3">
                  <c:v>35.299999999999997</c:v>
                </c:pt>
                <c:pt idx="4">
                  <c:v>23.2</c:v>
                </c:pt>
                <c:pt idx="5">
                  <c:v>16</c:v>
                </c:pt>
                <c:pt idx="6">
                  <c:v>16</c:v>
                </c:pt>
                <c:pt idx="7">
                  <c:v>19.600000000000001</c:v>
                </c:pt>
                <c:pt idx="8">
                  <c:v>24.9</c:v>
                </c:pt>
                <c:pt idx="9">
                  <c:v>20.399999999999999</c:v>
                </c:pt>
                <c:pt idx="10">
                  <c:v>17.7</c:v>
                </c:pt>
                <c:pt idx="11">
                  <c:v>19.8</c:v>
                </c:pt>
                <c:pt idx="12">
                  <c:v>12.5</c:v>
                </c:pt>
                <c:pt idx="13">
                  <c:v>17.2</c:v>
                </c:pt>
                <c:pt idx="14">
                  <c:v>16.3</c:v>
                </c:pt>
                <c:pt idx="15">
                  <c:v>13.6</c:v>
                </c:pt>
                <c:pt idx="16">
                  <c:v>14.4</c:v>
                </c:pt>
                <c:pt idx="17">
                  <c:v>13</c:v>
                </c:pt>
                <c:pt idx="18">
                  <c:v>12.6</c:v>
                </c:pt>
                <c:pt idx="19">
                  <c:v>10.5</c:v>
                </c:pt>
                <c:pt idx="20">
                  <c:v>13.9</c:v>
                </c:pt>
                <c:pt idx="21">
                  <c:v>14.4</c:v>
                </c:pt>
                <c:pt idx="22">
                  <c:v>9.6999999999999993</c:v>
                </c:pt>
                <c:pt idx="23">
                  <c:v>9.1</c:v>
                </c:pt>
                <c:pt idx="24">
                  <c:v>5.8</c:v>
                </c:pt>
                <c:pt idx="25">
                  <c:v>9.3000000000000007</c:v>
                </c:pt>
                <c:pt idx="26">
                  <c:v>7</c:v>
                </c:pt>
                <c:pt idx="27">
                  <c:v>4.0999999999999996</c:v>
                </c:pt>
                <c:pt idx="28">
                  <c:v>12.5</c:v>
                </c:pt>
              </c:numCache>
            </c:numRef>
          </c:val>
          <c:smooth val="0"/>
          <c:extLst>
            <c:ext xmlns:c16="http://schemas.microsoft.com/office/drawing/2014/chart" uri="{C3380CC4-5D6E-409C-BE32-E72D297353CC}">
              <c16:uniqueId val="{00000003-5AAF-44D6-A4AF-01E19B270747}"/>
            </c:ext>
          </c:extLst>
        </c:ser>
        <c:ser>
          <c:idx val="2"/>
          <c:order val="2"/>
          <c:tx>
            <c:strRef>
              <c:f>'Age cohorts - charts'!$D$76</c:f>
              <c:strCache>
                <c:ptCount val="1"/>
                <c:pt idx="0">
                  <c:v>45-54</c:v>
                </c:pt>
              </c:strCache>
            </c:strRef>
          </c:tx>
          <c:spPr>
            <a:ln>
              <a:noFill/>
            </a:ln>
          </c:spPr>
          <c:marker>
            <c:symbol val="circle"/>
            <c:size val="5"/>
            <c:spPr>
              <a:solidFill>
                <a:schemeClr val="tx2">
                  <a:lumMod val="75000"/>
                </a:schemeClr>
              </a:solidFill>
              <a:ln>
                <a:noFill/>
              </a:ln>
            </c:spPr>
          </c:marker>
          <c:dPt>
            <c:idx val="9"/>
            <c:marker>
              <c:spPr>
                <a:solidFill>
                  <a:schemeClr val="accent2">
                    <a:lumMod val="75000"/>
                  </a:schemeClr>
                </a:solidFill>
                <a:ln>
                  <a:noFill/>
                </a:ln>
              </c:spPr>
            </c:marker>
            <c:bubble3D val="0"/>
            <c:extLst>
              <c:ext xmlns:c16="http://schemas.microsoft.com/office/drawing/2014/chart" uri="{C3380CC4-5D6E-409C-BE32-E72D297353CC}">
                <c16:uniqueId val="{00000004-5AAF-44D6-A4AF-01E19B270747}"/>
              </c:ext>
            </c:extLst>
          </c:dPt>
          <c:cat>
            <c:strRef>
              <c:f>'Age cohorts - charts'!$A$77:$A$105</c:f>
              <c:strCache>
                <c:ptCount val="29"/>
                <c:pt idx="0">
                  <c:v>MT</c:v>
                </c:pt>
                <c:pt idx="1">
                  <c:v>PT</c:v>
                </c:pt>
                <c:pt idx="2">
                  <c:v>ES</c:v>
                </c:pt>
                <c:pt idx="3">
                  <c:v>IT</c:v>
                </c:pt>
                <c:pt idx="4">
                  <c:v>RO</c:v>
                </c:pt>
                <c:pt idx="5">
                  <c:v>BG</c:v>
                </c:pt>
                <c:pt idx="6">
                  <c:v>DK</c:v>
                </c:pt>
                <c:pt idx="7">
                  <c:v>BE</c:v>
                </c:pt>
                <c:pt idx="8">
                  <c:v>EL</c:v>
                </c:pt>
                <c:pt idx="9">
                  <c:v>EU-28</c:v>
                </c:pt>
                <c:pt idx="10">
                  <c:v>UK</c:v>
                </c:pt>
                <c:pt idx="11">
                  <c:v>NL</c:v>
                </c:pt>
                <c:pt idx="12">
                  <c:v>LV</c:v>
                </c:pt>
                <c:pt idx="13">
                  <c:v>CY</c:v>
                </c:pt>
                <c:pt idx="14">
                  <c:v>FR</c:v>
                </c:pt>
                <c:pt idx="15">
                  <c:v>LU</c:v>
                </c:pt>
                <c:pt idx="16">
                  <c:v>HU</c:v>
                </c:pt>
                <c:pt idx="17">
                  <c:v>DE</c:v>
                </c:pt>
                <c:pt idx="18">
                  <c:v>SE</c:v>
                </c:pt>
                <c:pt idx="19">
                  <c:v>EE</c:v>
                </c:pt>
                <c:pt idx="20">
                  <c:v>AT</c:v>
                </c:pt>
                <c:pt idx="21">
                  <c:v>IE</c:v>
                </c:pt>
                <c:pt idx="22">
                  <c:v>FI</c:v>
                </c:pt>
                <c:pt idx="23">
                  <c:v>LT</c:v>
                </c:pt>
                <c:pt idx="24">
                  <c:v>SK</c:v>
                </c:pt>
                <c:pt idx="25">
                  <c:v>SI</c:v>
                </c:pt>
                <c:pt idx="26">
                  <c:v>PL</c:v>
                </c:pt>
                <c:pt idx="27">
                  <c:v>CZ</c:v>
                </c:pt>
                <c:pt idx="28">
                  <c:v>HR</c:v>
                </c:pt>
              </c:strCache>
            </c:strRef>
          </c:cat>
          <c:val>
            <c:numRef>
              <c:f>'Age cohorts - charts'!$D$77:$D$105</c:f>
              <c:numCache>
                <c:formatCode>#,##0.0</c:formatCode>
                <c:ptCount val="29"/>
                <c:pt idx="0">
                  <c:v>66.099999999999994</c:v>
                </c:pt>
                <c:pt idx="1">
                  <c:v>65.8</c:v>
                </c:pt>
                <c:pt idx="2">
                  <c:v>47</c:v>
                </c:pt>
                <c:pt idx="3">
                  <c:v>46</c:v>
                </c:pt>
                <c:pt idx="4">
                  <c:v>22.8</c:v>
                </c:pt>
                <c:pt idx="5">
                  <c:v>17.399999999999999</c:v>
                </c:pt>
                <c:pt idx="6">
                  <c:v>19.600000000000001</c:v>
                </c:pt>
                <c:pt idx="7">
                  <c:v>27.6</c:v>
                </c:pt>
                <c:pt idx="8">
                  <c:v>35.299999999999997</c:v>
                </c:pt>
                <c:pt idx="9">
                  <c:v>25.9</c:v>
                </c:pt>
                <c:pt idx="10">
                  <c:v>23.9</c:v>
                </c:pt>
                <c:pt idx="11">
                  <c:v>25.8</c:v>
                </c:pt>
                <c:pt idx="12">
                  <c:v>5.3</c:v>
                </c:pt>
                <c:pt idx="13">
                  <c:v>23</c:v>
                </c:pt>
                <c:pt idx="14">
                  <c:v>24.9</c:v>
                </c:pt>
                <c:pt idx="15">
                  <c:v>20.7</c:v>
                </c:pt>
                <c:pt idx="16">
                  <c:v>17.399999999999999</c:v>
                </c:pt>
                <c:pt idx="17">
                  <c:v>12.6</c:v>
                </c:pt>
                <c:pt idx="18">
                  <c:v>15.1</c:v>
                </c:pt>
                <c:pt idx="19">
                  <c:v>5.9</c:v>
                </c:pt>
                <c:pt idx="20">
                  <c:v>16.600000000000001</c:v>
                </c:pt>
                <c:pt idx="21">
                  <c:v>25.6</c:v>
                </c:pt>
                <c:pt idx="22">
                  <c:v>11</c:v>
                </c:pt>
                <c:pt idx="23">
                  <c:v>3</c:v>
                </c:pt>
                <c:pt idx="24">
                  <c:v>8.3000000000000007</c:v>
                </c:pt>
                <c:pt idx="25">
                  <c:v>15.9</c:v>
                </c:pt>
                <c:pt idx="26">
                  <c:v>9.1999999999999993</c:v>
                </c:pt>
                <c:pt idx="27">
                  <c:v>5.9</c:v>
                </c:pt>
                <c:pt idx="28">
                  <c:v>20.399999999999999</c:v>
                </c:pt>
              </c:numCache>
            </c:numRef>
          </c:val>
          <c:smooth val="0"/>
          <c:extLst>
            <c:ext xmlns:c16="http://schemas.microsoft.com/office/drawing/2014/chart" uri="{C3380CC4-5D6E-409C-BE32-E72D297353CC}">
              <c16:uniqueId val="{00000005-5AAF-44D6-A4AF-01E19B270747}"/>
            </c:ext>
          </c:extLst>
        </c:ser>
        <c:ser>
          <c:idx val="3"/>
          <c:order val="3"/>
          <c:tx>
            <c:strRef>
              <c:f>'Age cohorts - charts'!$E$76</c:f>
              <c:strCache>
                <c:ptCount val="1"/>
                <c:pt idx="0">
                  <c:v>55-64</c:v>
                </c:pt>
              </c:strCache>
            </c:strRef>
          </c:tx>
          <c:spPr>
            <a:ln>
              <a:noFill/>
            </a:ln>
          </c:spPr>
          <c:marker>
            <c:symbol val="triangle"/>
            <c:size val="5"/>
            <c:spPr>
              <a:solidFill>
                <a:schemeClr val="tx2">
                  <a:lumMod val="50000"/>
                </a:schemeClr>
              </a:solidFill>
              <a:ln>
                <a:noFill/>
              </a:ln>
            </c:spPr>
          </c:marker>
          <c:dPt>
            <c:idx val="9"/>
            <c:marker>
              <c:spPr>
                <a:solidFill>
                  <a:schemeClr val="accent2">
                    <a:lumMod val="50000"/>
                  </a:schemeClr>
                </a:solidFill>
                <a:ln>
                  <a:noFill/>
                </a:ln>
              </c:spPr>
            </c:marker>
            <c:bubble3D val="0"/>
            <c:extLst>
              <c:ext xmlns:c16="http://schemas.microsoft.com/office/drawing/2014/chart" uri="{C3380CC4-5D6E-409C-BE32-E72D297353CC}">
                <c16:uniqueId val="{00000006-5AAF-44D6-A4AF-01E19B270747}"/>
              </c:ext>
            </c:extLst>
          </c:dPt>
          <c:cat>
            <c:strRef>
              <c:f>'Age cohorts - charts'!$A$77:$A$105</c:f>
              <c:strCache>
                <c:ptCount val="29"/>
                <c:pt idx="0">
                  <c:v>MT</c:v>
                </c:pt>
                <c:pt idx="1">
                  <c:v>PT</c:v>
                </c:pt>
                <c:pt idx="2">
                  <c:v>ES</c:v>
                </c:pt>
                <c:pt idx="3">
                  <c:v>IT</c:v>
                </c:pt>
                <c:pt idx="4">
                  <c:v>RO</c:v>
                </c:pt>
                <c:pt idx="5">
                  <c:v>BG</c:v>
                </c:pt>
                <c:pt idx="6">
                  <c:v>DK</c:v>
                </c:pt>
                <c:pt idx="7">
                  <c:v>BE</c:v>
                </c:pt>
                <c:pt idx="8">
                  <c:v>EL</c:v>
                </c:pt>
                <c:pt idx="9">
                  <c:v>EU-28</c:v>
                </c:pt>
                <c:pt idx="10">
                  <c:v>UK</c:v>
                </c:pt>
                <c:pt idx="11">
                  <c:v>NL</c:v>
                </c:pt>
                <c:pt idx="12">
                  <c:v>LV</c:v>
                </c:pt>
                <c:pt idx="13">
                  <c:v>CY</c:v>
                </c:pt>
                <c:pt idx="14">
                  <c:v>FR</c:v>
                </c:pt>
                <c:pt idx="15">
                  <c:v>LU</c:v>
                </c:pt>
                <c:pt idx="16">
                  <c:v>HU</c:v>
                </c:pt>
                <c:pt idx="17">
                  <c:v>DE</c:v>
                </c:pt>
                <c:pt idx="18">
                  <c:v>SE</c:v>
                </c:pt>
                <c:pt idx="19">
                  <c:v>EE</c:v>
                </c:pt>
                <c:pt idx="20">
                  <c:v>AT</c:v>
                </c:pt>
                <c:pt idx="21">
                  <c:v>IE</c:v>
                </c:pt>
                <c:pt idx="22">
                  <c:v>FI</c:v>
                </c:pt>
                <c:pt idx="23">
                  <c:v>LT</c:v>
                </c:pt>
                <c:pt idx="24">
                  <c:v>SK</c:v>
                </c:pt>
                <c:pt idx="25">
                  <c:v>SI</c:v>
                </c:pt>
                <c:pt idx="26">
                  <c:v>PL</c:v>
                </c:pt>
                <c:pt idx="27">
                  <c:v>CZ</c:v>
                </c:pt>
                <c:pt idx="28">
                  <c:v>HR</c:v>
                </c:pt>
              </c:strCache>
            </c:strRef>
          </c:cat>
          <c:val>
            <c:numRef>
              <c:f>'Age cohorts - charts'!$E$77:$E$105</c:f>
              <c:numCache>
                <c:formatCode>#,##0.0</c:formatCode>
                <c:ptCount val="29"/>
                <c:pt idx="0">
                  <c:v>75.3</c:v>
                </c:pt>
                <c:pt idx="1">
                  <c:v>77.099999999999994</c:v>
                </c:pt>
                <c:pt idx="2">
                  <c:v>61.4</c:v>
                </c:pt>
                <c:pt idx="3">
                  <c:v>53.9</c:v>
                </c:pt>
                <c:pt idx="4">
                  <c:v>38.700000000000003</c:v>
                </c:pt>
                <c:pt idx="5">
                  <c:v>24.3</c:v>
                </c:pt>
                <c:pt idx="6">
                  <c:v>28.4</c:v>
                </c:pt>
                <c:pt idx="7">
                  <c:v>41.3</c:v>
                </c:pt>
                <c:pt idx="8">
                  <c:v>50.2</c:v>
                </c:pt>
                <c:pt idx="9">
                  <c:v>33</c:v>
                </c:pt>
                <c:pt idx="10">
                  <c:v>27.7</c:v>
                </c:pt>
                <c:pt idx="11">
                  <c:v>34.9</c:v>
                </c:pt>
                <c:pt idx="12">
                  <c:v>10.3</c:v>
                </c:pt>
                <c:pt idx="13">
                  <c:v>41.6</c:v>
                </c:pt>
                <c:pt idx="14">
                  <c:v>35.799999999999997</c:v>
                </c:pt>
                <c:pt idx="15">
                  <c:v>26.9</c:v>
                </c:pt>
                <c:pt idx="16">
                  <c:v>22.8</c:v>
                </c:pt>
                <c:pt idx="17">
                  <c:v>14.2</c:v>
                </c:pt>
                <c:pt idx="18">
                  <c:v>25.6</c:v>
                </c:pt>
                <c:pt idx="19">
                  <c:v>7.8</c:v>
                </c:pt>
                <c:pt idx="20">
                  <c:v>24.8</c:v>
                </c:pt>
                <c:pt idx="21">
                  <c:v>41.1</c:v>
                </c:pt>
                <c:pt idx="22">
                  <c:v>22.8</c:v>
                </c:pt>
                <c:pt idx="23">
                  <c:v>6.3</c:v>
                </c:pt>
                <c:pt idx="24">
                  <c:v>15.5</c:v>
                </c:pt>
                <c:pt idx="25">
                  <c:v>25.4</c:v>
                </c:pt>
                <c:pt idx="26">
                  <c:v>15.8</c:v>
                </c:pt>
                <c:pt idx="27">
                  <c:v>12.4</c:v>
                </c:pt>
                <c:pt idx="28">
                  <c:v>29.9</c:v>
                </c:pt>
              </c:numCache>
            </c:numRef>
          </c:val>
          <c:smooth val="0"/>
          <c:extLst>
            <c:ext xmlns:c16="http://schemas.microsoft.com/office/drawing/2014/chart" uri="{C3380CC4-5D6E-409C-BE32-E72D297353CC}">
              <c16:uniqueId val="{00000007-5AAF-44D6-A4AF-01E19B270747}"/>
            </c:ext>
          </c:extLst>
        </c:ser>
        <c:dLbls>
          <c:showLegendKey val="0"/>
          <c:showVal val="0"/>
          <c:showCatName val="0"/>
          <c:showSerName val="0"/>
          <c:showPercent val="0"/>
          <c:showBubbleSize val="0"/>
        </c:dLbls>
        <c:marker val="1"/>
        <c:smooth val="0"/>
        <c:axId val="353581672"/>
        <c:axId val="353582064"/>
      </c:lineChart>
      <c:catAx>
        <c:axId val="353581672"/>
        <c:scaling>
          <c:orientation val="minMax"/>
        </c:scaling>
        <c:delete val="0"/>
        <c:axPos val="b"/>
        <c:majorGridlines>
          <c:spPr>
            <a:ln>
              <a:solidFill>
                <a:schemeClr val="bg1">
                  <a:lumMod val="85000"/>
                </a:schemeClr>
              </a:solidFill>
              <a:prstDash val="sysDash"/>
            </a:ln>
          </c:spPr>
        </c:majorGridlines>
        <c:numFmt formatCode="General" sourceLinked="1"/>
        <c:majorTickMark val="out"/>
        <c:minorTickMark val="none"/>
        <c:tickLblPos val="nextTo"/>
        <c:crossAx val="353582064"/>
        <c:crosses val="autoZero"/>
        <c:auto val="1"/>
        <c:lblAlgn val="ctr"/>
        <c:lblOffset val="100"/>
        <c:noMultiLvlLbl val="0"/>
      </c:catAx>
      <c:valAx>
        <c:axId val="353582064"/>
        <c:scaling>
          <c:orientation val="minMax"/>
        </c:scaling>
        <c:delete val="0"/>
        <c:axPos val="l"/>
        <c:majorGridlines/>
        <c:numFmt formatCode="#,##0" sourceLinked="0"/>
        <c:majorTickMark val="in"/>
        <c:minorTickMark val="none"/>
        <c:tickLblPos val="nextTo"/>
        <c:spPr>
          <a:ln>
            <a:solidFill>
              <a:schemeClr val="tx1"/>
            </a:solidFill>
          </a:ln>
        </c:spPr>
        <c:crossAx val="353581672"/>
        <c:crosses val="autoZero"/>
        <c:crossBetween val="between"/>
        <c:majorUnit val="10"/>
      </c:valAx>
    </c:plotArea>
    <c:legend>
      <c:legendPos val="t"/>
      <c:layout>
        <c:manualLayout>
          <c:xMode val="edge"/>
          <c:yMode val="edge"/>
          <c:x val="0.40847777258289192"/>
          <c:y val="5.4400437426048769E-2"/>
          <c:w val="0.37040675144944352"/>
          <c:h val="5.9306900702138468E-2"/>
        </c:manualLayout>
      </c:layout>
      <c:overlay val="1"/>
    </c:legend>
    <c:plotVisOnly val="1"/>
    <c:dispBlanksAs val="gap"/>
    <c:showDLblsOverMax val="0"/>
  </c:chart>
  <c:spPr>
    <a:ln>
      <a:noFill/>
    </a:ln>
  </c:sp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024583556375069E-2"/>
          <c:y val="4.9107249918633272E-2"/>
          <c:w val="0.88651636406274237"/>
          <c:h val="0.88415306594857301"/>
        </c:manualLayout>
      </c:layout>
      <c:scatterChart>
        <c:scatterStyle val="lineMarker"/>
        <c:varyColors val="0"/>
        <c:ser>
          <c:idx val="0"/>
          <c:order val="0"/>
          <c:spPr>
            <a:ln w="28575">
              <a:noFill/>
            </a:ln>
          </c:spPr>
          <c:marker>
            <c:symbol val="circle"/>
            <c:size val="6"/>
          </c:marker>
          <c:dPt>
            <c:idx val="11"/>
            <c:marker>
              <c:spPr>
                <a:solidFill>
                  <a:schemeClr val="tx1"/>
                </a:solidFill>
                <a:ln>
                  <a:solidFill>
                    <a:schemeClr val="tx1"/>
                  </a:solidFill>
                </a:ln>
              </c:spPr>
            </c:marker>
            <c:bubble3D val="0"/>
            <c:extLst>
              <c:ext xmlns:c16="http://schemas.microsoft.com/office/drawing/2014/chart" uri="{C3380CC4-5D6E-409C-BE32-E72D297353CC}">
                <c16:uniqueId val="{00000000-382A-4595-9C7A-8A49CA6D5F1E}"/>
              </c:ext>
            </c:extLst>
          </c:dPt>
          <c:dLbls>
            <c:dLbl>
              <c:idx val="0"/>
              <c:layout>
                <c:manualLayout>
                  <c:x val="-1.7301837270341208E-3"/>
                  <c:y val="-1.7626098368138766E-2"/>
                </c:manualLayout>
              </c:layout>
              <c:tx>
                <c:rich>
                  <a:bodyPr/>
                  <a:lstStyle/>
                  <a:p>
                    <a:r>
                      <a:rPr lang="en-US" sz="1000" b="1"/>
                      <a:t>BE</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82A-4595-9C7A-8A49CA6D5F1E}"/>
                </c:ext>
              </c:extLst>
            </c:dLbl>
            <c:dLbl>
              <c:idx val="1"/>
              <c:layout>
                <c:manualLayout>
                  <c:x val="-2.1311697229008716E-3"/>
                  <c:y val="-2.4136513392678707E-2"/>
                </c:manualLayout>
              </c:layout>
              <c:tx>
                <c:rich>
                  <a:bodyPr/>
                  <a:lstStyle/>
                  <a:p>
                    <a:r>
                      <a:rPr lang="en-US" sz="1000" b="1"/>
                      <a:t>CZ</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82A-4595-9C7A-8A49CA6D5F1E}"/>
                </c:ext>
              </c:extLst>
            </c:dLbl>
            <c:dLbl>
              <c:idx val="2"/>
              <c:layout>
                <c:manualLayout>
                  <c:x val="6.1866666666666667E-4"/>
                  <c:y val="1.3106812735364601E-2"/>
                </c:manualLayout>
              </c:layout>
              <c:tx>
                <c:rich>
                  <a:bodyPr/>
                  <a:lstStyle/>
                  <a:p>
                    <a:r>
                      <a:rPr lang="en-US" sz="1000" b="1"/>
                      <a:t>DK</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382A-4595-9C7A-8A49CA6D5F1E}"/>
                </c:ext>
              </c:extLst>
            </c:dLbl>
            <c:dLbl>
              <c:idx val="3"/>
              <c:layout>
                <c:manualLayout>
                  <c:x val="2.0795800524934382E-4"/>
                  <c:y val="-3.0371448134200615E-2"/>
                </c:manualLayout>
              </c:layout>
              <c:tx>
                <c:rich>
                  <a:bodyPr/>
                  <a:lstStyle/>
                  <a:p>
                    <a:r>
                      <a:rPr lang="en-US" sz="1000" b="1"/>
                      <a:t>FI</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382A-4595-9C7A-8A49CA6D5F1E}"/>
                </c:ext>
              </c:extLst>
            </c:dLbl>
            <c:dLbl>
              <c:idx val="4"/>
              <c:layout>
                <c:manualLayout>
                  <c:x val="1.549775058136953E-2"/>
                  <c:y val="7.5920015074257788E-2"/>
                </c:manualLayout>
              </c:layout>
              <c:tx>
                <c:rich>
                  <a:bodyPr/>
                  <a:lstStyle/>
                  <a:p>
                    <a:r>
                      <a:rPr lang="en-US" sz="1000"/>
                      <a:t>DE</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382A-4595-9C7A-8A49CA6D5F1E}"/>
                </c:ext>
              </c:extLst>
            </c:dLbl>
            <c:dLbl>
              <c:idx val="5"/>
              <c:layout>
                <c:manualLayout>
                  <c:x val="-3.2334950131233595E-2"/>
                  <c:y val="3.3136482939632547E-2"/>
                </c:manualLayout>
              </c:layout>
              <c:tx>
                <c:rich>
                  <a:bodyPr/>
                  <a:lstStyle/>
                  <a:p>
                    <a:r>
                      <a:rPr lang="en-US" sz="1000" b="1"/>
                      <a:t>IE</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382A-4595-9C7A-8A49CA6D5F1E}"/>
                </c:ext>
              </c:extLst>
            </c:dLbl>
            <c:dLbl>
              <c:idx val="6"/>
              <c:layout>
                <c:manualLayout>
                  <c:x val="-2.8289343832020998E-3"/>
                  <c:y val="-3.8608353303663128E-3"/>
                </c:manualLayout>
              </c:layout>
              <c:tx>
                <c:rich>
                  <a:bodyPr/>
                  <a:lstStyle/>
                  <a:p>
                    <a:r>
                      <a:rPr lang="en-US" sz="1000" b="1"/>
                      <a:t>IT</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382A-4595-9C7A-8A49CA6D5F1E}"/>
                </c:ext>
              </c:extLst>
            </c:dLbl>
            <c:dLbl>
              <c:idx val="7"/>
              <c:layout>
                <c:manualLayout>
                  <c:x val="-7.0986246719160102E-3"/>
                  <c:y val="-3.0371448134200615E-2"/>
                </c:manualLayout>
              </c:layout>
              <c:tx>
                <c:rich>
                  <a:bodyPr/>
                  <a:lstStyle/>
                  <a:p>
                    <a:r>
                      <a:rPr lang="en-US" sz="1000" b="1"/>
                      <a:t>NL</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382A-4595-9C7A-8A49CA6D5F1E}"/>
                </c:ext>
              </c:extLst>
            </c:dLbl>
            <c:dLbl>
              <c:idx val="8"/>
              <c:layout>
                <c:manualLayout>
                  <c:x val="-5.2332178477690287E-3"/>
                  <c:y val="1.5752881433299098E-2"/>
                </c:manualLayout>
              </c:layout>
              <c:tx>
                <c:rich>
                  <a:bodyPr/>
                  <a:lstStyle/>
                  <a:p>
                    <a:r>
                      <a:rPr lang="en-US" sz="1000" b="1"/>
                      <a:t>PL</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382A-4595-9C7A-8A49CA6D5F1E}"/>
                </c:ext>
              </c:extLst>
            </c:dLbl>
            <c:dLbl>
              <c:idx val="9"/>
              <c:layout>
                <c:manualLayout>
                  <c:x val="-6.0586666666666671E-3"/>
                  <c:y val="-1.9501882916809311E-2"/>
                </c:manualLayout>
              </c:layout>
              <c:tx>
                <c:rich>
                  <a:bodyPr/>
                  <a:lstStyle/>
                  <a:p>
                    <a:r>
                      <a:rPr lang="en-US" sz="1000" b="1"/>
                      <a:t>SE</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382A-4595-9C7A-8A49CA6D5F1E}"/>
                </c:ext>
              </c:extLst>
            </c:dLbl>
            <c:dLbl>
              <c:idx val="10"/>
              <c:layout>
                <c:manualLayout>
                  <c:x val="-2.0553910761154856E-3"/>
                  <c:y val="2.5164612575601895E-2"/>
                </c:manualLayout>
              </c:layout>
              <c:tx>
                <c:rich>
                  <a:bodyPr/>
                  <a:lstStyle/>
                  <a:p>
                    <a:r>
                      <a:rPr lang="en-US" sz="1000" b="1"/>
                      <a:t>UK</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382A-4595-9C7A-8A49CA6D5F1E}"/>
                </c:ext>
              </c:extLst>
            </c:dLbl>
            <c:dLbl>
              <c:idx val="11"/>
              <c:delete val="1"/>
              <c:extLst>
                <c:ext xmlns:c15="http://schemas.microsoft.com/office/drawing/2012/chart" uri="{CE6537A1-D6FC-4f65-9D91-7224C49458BB}"/>
                <c:ext xmlns:c16="http://schemas.microsoft.com/office/drawing/2014/chart" uri="{C3380CC4-5D6E-409C-BE32-E72D297353CC}">
                  <c16:uniqueId val="{00000000-382A-4595-9C7A-8A49CA6D5F1E}"/>
                </c:ext>
              </c:extLst>
            </c:dLbl>
            <c:spPr>
              <a:noFill/>
              <a:ln>
                <a:noFill/>
              </a:ln>
              <a:effectLst/>
            </c:spPr>
            <c:txPr>
              <a:bodyPr/>
              <a:lstStyle/>
              <a:p>
                <a:pPr>
                  <a:defRPr sz="1000"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'Mean scores piaac-ials graphs'!$C$4:$C$15</c:f>
              <c:numCache>
                <c:formatCode>General</c:formatCode>
                <c:ptCount val="12"/>
                <c:pt idx="0">
                  <c:v>296.05599999999998</c:v>
                </c:pt>
                <c:pt idx="1">
                  <c:v>288.60149999999999</c:v>
                </c:pt>
                <c:pt idx="2">
                  <c:v>302.3673</c:v>
                </c:pt>
                <c:pt idx="3">
                  <c:v>308.27710000000002</c:v>
                </c:pt>
                <c:pt idx="4">
                  <c:v>290.54329999999999</c:v>
                </c:pt>
                <c:pt idx="5">
                  <c:v>274.5829</c:v>
                </c:pt>
                <c:pt idx="6">
                  <c:v>264.23669999999998</c:v>
                </c:pt>
                <c:pt idx="7">
                  <c:v>297.17910000000001</c:v>
                </c:pt>
                <c:pt idx="8">
                  <c:v>246.51169999999999</c:v>
                </c:pt>
                <c:pt idx="9">
                  <c:v>316.22059999999999</c:v>
                </c:pt>
                <c:pt idx="10">
                  <c:v>276.68270000000001</c:v>
                </c:pt>
                <c:pt idx="11" formatCode="0.00">
                  <c:v>287.38717272727268</c:v>
                </c:pt>
              </c:numCache>
            </c:numRef>
          </c:xVal>
          <c:yVal>
            <c:numRef>
              <c:f>'Mean scores piaac-ials graphs'!$D$4:$D$15</c:f>
              <c:numCache>
                <c:formatCode>General</c:formatCode>
                <c:ptCount val="12"/>
                <c:pt idx="0">
                  <c:v>291.17885000000001</c:v>
                </c:pt>
                <c:pt idx="1">
                  <c:v>286.01778000000002</c:v>
                </c:pt>
                <c:pt idx="2">
                  <c:v>281.60291999999998</c:v>
                </c:pt>
                <c:pt idx="3">
                  <c:v>307.35174999999998</c:v>
                </c:pt>
                <c:pt idx="4">
                  <c:v>281.67187000000001</c:v>
                </c:pt>
                <c:pt idx="5">
                  <c:v>275.17237999999998</c:v>
                </c:pt>
                <c:pt idx="6">
                  <c:v>259.00177000000002</c:v>
                </c:pt>
                <c:pt idx="7">
                  <c:v>298.76796999999999</c:v>
                </c:pt>
                <c:pt idx="8">
                  <c:v>278.51783999999998</c:v>
                </c:pt>
                <c:pt idx="9">
                  <c:v>290.52620999999999</c:v>
                </c:pt>
                <c:pt idx="10">
                  <c:v>276.45168000000001</c:v>
                </c:pt>
                <c:pt idx="11" formatCode="0.00">
                  <c:v>284.2055472727273</c:v>
                </c:pt>
              </c:numCache>
            </c:numRef>
          </c:yVal>
          <c:smooth val="0"/>
          <c:extLst>
            <c:ext xmlns:c16="http://schemas.microsoft.com/office/drawing/2014/chart" uri="{C3380CC4-5D6E-409C-BE32-E72D297353CC}">
              <c16:uniqueId val="{0000000C-382A-4595-9C7A-8A49CA6D5F1E}"/>
            </c:ext>
          </c:extLst>
        </c:ser>
        <c:dLbls>
          <c:showLegendKey val="0"/>
          <c:showVal val="0"/>
          <c:showCatName val="0"/>
          <c:showSerName val="0"/>
          <c:showPercent val="0"/>
          <c:showBubbleSize val="0"/>
        </c:dLbls>
        <c:axId val="353579712"/>
        <c:axId val="353580888"/>
      </c:scatterChart>
      <c:valAx>
        <c:axId val="353579712"/>
        <c:scaling>
          <c:orientation val="minMax"/>
          <c:max val="330"/>
          <c:min val="240"/>
        </c:scaling>
        <c:delete val="0"/>
        <c:axPos val="b"/>
        <c:majorGridlines>
          <c:spPr>
            <a:ln>
              <a:solidFill>
                <a:schemeClr val="bg1">
                  <a:lumMod val="85000"/>
                </a:schemeClr>
              </a:solidFill>
              <a:prstDash val="dash"/>
            </a:ln>
          </c:spPr>
        </c:majorGridlines>
        <c:title>
          <c:tx>
            <c:rich>
              <a:bodyPr/>
              <a:lstStyle/>
              <a:p>
                <a:pPr>
                  <a:defRPr sz="1000" b="0"/>
                </a:pPr>
                <a:r>
                  <a:rPr lang="es-ES" sz="1000" b="0"/>
                  <a:t>Literacy mean score - IALS</a:t>
                </a:r>
              </a:p>
            </c:rich>
          </c:tx>
          <c:layout>
            <c:manualLayout>
              <c:xMode val="edge"/>
              <c:yMode val="edge"/>
              <c:x val="0.39544765559211381"/>
              <c:y val="0.9514736173942272"/>
            </c:manualLayout>
          </c:layout>
          <c:overlay val="0"/>
        </c:title>
        <c:numFmt formatCode="General" sourceLinked="1"/>
        <c:majorTickMark val="out"/>
        <c:minorTickMark val="none"/>
        <c:tickLblPos val="nextTo"/>
        <c:spPr>
          <a:ln>
            <a:solidFill>
              <a:schemeClr val="tx1"/>
            </a:solidFill>
          </a:ln>
        </c:spPr>
        <c:txPr>
          <a:bodyPr/>
          <a:lstStyle/>
          <a:p>
            <a:pPr>
              <a:defRPr sz="800"/>
            </a:pPr>
            <a:endParaRPr lang="en-US"/>
          </a:p>
        </c:txPr>
        <c:crossAx val="353580888"/>
        <c:crossesAt val="284.20999999999998"/>
        <c:crossBetween val="midCat"/>
      </c:valAx>
      <c:valAx>
        <c:axId val="353580888"/>
        <c:scaling>
          <c:orientation val="minMax"/>
          <c:max val="340"/>
          <c:min val="240"/>
        </c:scaling>
        <c:delete val="0"/>
        <c:axPos val="l"/>
        <c:majorGridlines>
          <c:spPr>
            <a:ln>
              <a:solidFill>
                <a:schemeClr val="bg1">
                  <a:lumMod val="85000"/>
                </a:schemeClr>
              </a:solidFill>
              <a:prstDash val="dash"/>
            </a:ln>
          </c:spPr>
        </c:majorGridlines>
        <c:title>
          <c:tx>
            <c:rich>
              <a:bodyPr rot="-5400000" vert="horz"/>
              <a:lstStyle/>
              <a:p>
                <a:pPr>
                  <a:defRPr sz="1000" b="0"/>
                </a:pPr>
                <a:r>
                  <a:rPr lang="es-ES" sz="1000" b="0"/>
                  <a:t>Literacy mean score - PIAAC</a:t>
                </a:r>
              </a:p>
            </c:rich>
          </c:tx>
          <c:layout>
            <c:manualLayout>
              <c:xMode val="edge"/>
              <c:yMode val="edge"/>
              <c:x val="1.7638873423932576E-2"/>
              <c:y val="0.16903419790594323"/>
            </c:manualLayout>
          </c:layout>
          <c:overlay val="0"/>
        </c:title>
        <c:numFmt formatCode="General" sourceLinked="1"/>
        <c:majorTickMark val="out"/>
        <c:minorTickMark val="none"/>
        <c:tickLblPos val="nextTo"/>
        <c:spPr>
          <a:ln>
            <a:solidFill>
              <a:schemeClr val="tx1"/>
            </a:solidFill>
          </a:ln>
        </c:spPr>
        <c:txPr>
          <a:bodyPr/>
          <a:lstStyle/>
          <a:p>
            <a:pPr>
              <a:defRPr sz="800"/>
            </a:pPr>
            <a:endParaRPr lang="en-US"/>
          </a:p>
        </c:txPr>
        <c:crossAx val="353579712"/>
        <c:crossesAt val="287.39"/>
        <c:crossBetween val="midCat"/>
        <c:majorUnit val="20"/>
      </c:valAx>
      <c:spPr>
        <a:noFill/>
        <a:ln w="25400">
          <a:noFill/>
        </a:ln>
      </c:spPr>
    </c:plotArea>
    <c:plotVisOnly val="1"/>
    <c:dispBlanksAs val="gap"/>
    <c:showDLblsOverMax val="0"/>
  </c:chart>
  <c:spPr>
    <a:ln>
      <a:noFill/>
    </a:ln>
  </c:sp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1523120585536562E-2"/>
          <c:y val="4.4444444444444446E-2"/>
          <c:w val="0.91144160638456784"/>
          <c:h val="0.90397963890877275"/>
        </c:manualLayout>
      </c:layout>
      <c:scatterChart>
        <c:scatterStyle val="lineMarker"/>
        <c:varyColors val="0"/>
        <c:ser>
          <c:idx val="0"/>
          <c:order val="0"/>
          <c:spPr>
            <a:ln w="28575">
              <a:noFill/>
            </a:ln>
          </c:spPr>
          <c:marker>
            <c:symbol val="circle"/>
            <c:size val="6"/>
          </c:marker>
          <c:dPt>
            <c:idx val="11"/>
            <c:marker>
              <c:spPr>
                <a:solidFill>
                  <a:schemeClr val="tx1"/>
                </a:solidFill>
                <a:ln>
                  <a:solidFill>
                    <a:schemeClr val="tx1"/>
                  </a:solidFill>
                </a:ln>
              </c:spPr>
            </c:marker>
            <c:bubble3D val="0"/>
            <c:extLst>
              <c:ext xmlns:c16="http://schemas.microsoft.com/office/drawing/2014/chart" uri="{C3380CC4-5D6E-409C-BE32-E72D297353CC}">
                <c16:uniqueId val="{00000000-173C-47D2-8345-4D949F4BA816}"/>
              </c:ext>
            </c:extLst>
          </c:dPt>
          <c:dLbls>
            <c:dLbl>
              <c:idx val="0"/>
              <c:tx>
                <c:rich>
                  <a:bodyPr/>
                  <a:lstStyle/>
                  <a:p>
                    <a:r>
                      <a:rPr lang="en-US" sz="1000" b="1"/>
                      <a:t>BE</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173C-47D2-8345-4D949F4BA816}"/>
                </c:ext>
              </c:extLst>
            </c:dLbl>
            <c:dLbl>
              <c:idx val="1"/>
              <c:tx>
                <c:rich>
                  <a:bodyPr/>
                  <a:lstStyle/>
                  <a:p>
                    <a:r>
                      <a:rPr lang="en-US" sz="1000" b="1"/>
                      <a:t>CZ</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173C-47D2-8345-4D949F4BA816}"/>
                </c:ext>
              </c:extLst>
            </c:dLbl>
            <c:dLbl>
              <c:idx val="2"/>
              <c:tx>
                <c:rich>
                  <a:bodyPr/>
                  <a:lstStyle/>
                  <a:p>
                    <a:r>
                      <a:rPr lang="en-US" sz="1000" b="1"/>
                      <a:t>DK</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173C-47D2-8345-4D949F4BA816}"/>
                </c:ext>
              </c:extLst>
            </c:dLbl>
            <c:dLbl>
              <c:idx val="3"/>
              <c:layout>
                <c:manualLayout>
                  <c:x val="-2.2120035592356483E-2"/>
                  <c:y val="4.3147937630505527E-2"/>
                </c:manualLayout>
              </c:layout>
              <c:tx>
                <c:rich>
                  <a:bodyPr/>
                  <a:lstStyle/>
                  <a:p>
                    <a:r>
                      <a:rPr lang="en-US" sz="1000" b="1"/>
                      <a:t>FI</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173C-47D2-8345-4D949F4BA816}"/>
                </c:ext>
              </c:extLst>
            </c:dLbl>
            <c:dLbl>
              <c:idx val="4"/>
              <c:tx>
                <c:rich>
                  <a:bodyPr/>
                  <a:lstStyle/>
                  <a:p>
                    <a:r>
                      <a:rPr lang="en-US" sz="1000" b="1"/>
                      <a:t>DE</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173C-47D2-8345-4D949F4BA816}"/>
                </c:ext>
              </c:extLst>
            </c:dLbl>
            <c:dLbl>
              <c:idx val="5"/>
              <c:layout>
                <c:manualLayout>
                  <c:x val="-1.1654585073227478E-2"/>
                  <c:y val="1.9590086518210238E-2"/>
                </c:manualLayout>
              </c:layout>
              <c:tx>
                <c:rich>
                  <a:bodyPr/>
                  <a:lstStyle/>
                  <a:p>
                    <a:r>
                      <a:rPr lang="en-US" sz="1000" b="1"/>
                      <a:t>IE</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173C-47D2-8345-4D949F4BA816}"/>
                </c:ext>
              </c:extLst>
            </c:dLbl>
            <c:dLbl>
              <c:idx val="6"/>
              <c:tx>
                <c:rich>
                  <a:bodyPr/>
                  <a:lstStyle/>
                  <a:p>
                    <a:r>
                      <a:rPr lang="en-US" sz="1000" b="1"/>
                      <a:t>IT</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173C-47D2-8345-4D949F4BA816}"/>
                </c:ext>
              </c:extLst>
            </c:dLbl>
            <c:dLbl>
              <c:idx val="7"/>
              <c:layout>
                <c:manualLayout>
                  <c:x val="-1.9355031143311923E-2"/>
                  <c:y val="4.7462731393556078E-2"/>
                </c:manualLayout>
              </c:layout>
              <c:tx>
                <c:rich>
                  <a:bodyPr/>
                  <a:lstStyle/>
                  <a:p>
                    <a:r>
                      <a:rPr lang="en-US" sz="1000" b="1"/>
                      <a:t>NL</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173C-47D2-8345-4D949F4BA816}"/>
                </c:ext>
              </c:extLst>
            </c:dLbl>
            <c:dLbl>
              <c:idx val="8"/>
              <c:tx>
                <c:rich>
                  <a:bodyPr/>
                  <a:lstStyle/>
                  <a:p>
                    <a:r>
                      <a:rPr lang="en-US" sz="1000" b="1"/>
                      <a:t>PL</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173C-47D2-8345-4D949F4BA816}"/>
                </c:ext>
              </c:extLst>
            </c:dLbl>
            <c:dLbl>
              <c:idx val="9"/>
              <c:tx>
                <c:rich>
                  <a:bodyPr/>
                  <a:lstStyle/>
                  <a:p>
                    <a:r>
                      <a:rPr lang="en-US" sz="1000" b="1"/>
                      <a:t>SE</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173C-47D2-8345-4D949F4BA816}"/>
                </c:ext>
              </c:extLst>
            </c:dLbl>
            <c:dLbl>
              <c:idx val="10"/>
              <c:tx>
                <c:rich>
                  <a:bodyPr/>
                  <a:lstStyle/>
                  <a:p>
                    <a:r>
                      <a:rPr lang="en-US" sz="1000" b="1"/>
                      <a:t>UK</a:t>
                    </a:r>
                    <a:endParaRPr lang="en-US"/>
                  </a:p>
                </c:rich>
              </c:tx>
              <c:dLblPos val="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173C-47D2-8345-4D949F4BA816}"/>
                </c:ext>
              </c:extLst>
            </c:dLbl>
            <c:dLbl>
              <c:idx val="11"/>
              <c:delete val="1"/>
              <c:extLst>
                <c:ext xmlns:c15="http://schemas.microsoft.com/office/drawing/2012/chart" uri="{CE6537A1-D6FC-4f65-9D91-7224C49458BB}"/>
                <c:ext xmlns:c16="http://schemas.microsoft.com/office/drawing/2014/chart" uri="{C3380CC4-5D6E-409C-BE32-E72D297353CC}">
                  <c16:uniqueId val="{00000000-173C-47D2-8345-4D949F4BA816}"/>
                </c:ext>
              </c:extLst>
            </c:dLbl>
            <c:spPr>
              <a:noFill/>
              <a:ln>
                <a:noFill/>
              </a:ln>
              <a:effectLst/>
            </c:spPr>
            <c:txPr>
              <a:bodyPr/>
              <a:lstStyle/>
              <a:p>
                <a:pPr>
                  <a:defRPr sz="1000" b="1"/>
                </a:pPr>
                <a:endParaRPr lang="en-US"/>
              </a:p>
            </c:txPr>
            <c:dLblPos val="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'spread graph'!$G$3:$G$14</c:f>
              <c:numCache>
                <c:formatCode>0.00</c:formatCode>
                <c:ptCount val="12"/>
                <c:pt idx="0">
                  <c:v>135.89660000000003</c:v>
                </c:pt>
                <c:pt idx="1">
                  <c:v>129.79940000000002</c:v>
                </c:pt>
                <c:pt idx="2">
                  <c:v>117.76989999999998</c:v>
                </c:pt>
                <c:pt idx="3">
                  <c:v>130.97449999999998</c:v>
                </c:pt>
                <c:pt idx="4">
                  <c:v>133.67120000000003</c:v>
                </c:pt>
                <c:pt idx="5">
                  <c:v>168.16</c:v>
                </c:pt>
                <c:pt idx="6">
                  <c:v>171.91819999999998</c:v>
                </c:pt>
                <c:pt idx="7">
                  <c:v>127.20229999999998</c:v>
                </c:pt>
                <c:pt idx="8">
                  <c:v>180.2056</c:v>
                </c:pt>
                <c:pt idx="9">
                  <c:v>139.24680000000001</c:v>
                </c:pt>
                <c:pt idx="10">
                  <c:v>175.79919999999998</c:v>
                </c:pt>
                <c:pt idx="11">
                  <c:v>146.4221545454545</c:v>
                </c:pt>
              </c:numCache>
            </c:numRef>
          </c:xVal>
          <c:yVal>
            <c:numRef>
              <c:f>'spread graph'!$M$3:$M$14</c:f>
              <c:numCache>
                <c:formatCode>0.00</c:formatCode>
                <c:ptCount val="12"/>
                <c:pt idx="0">
                  <c:v>143.89408</c:v>
                </c:pt>
                <c:pt idx="1">
                  <c:v>129.29683</c:v>
                </c:pt>
                <c:pt idx="2">
                  <c:v>158.18672000000001</c:v>
                </c:pt>
                <c:pt idx="3">
                  <c:v>143.16079999999999</c:v>
                </c:pt>
                <c:pt idx="4">
                  <c:v>153.12406999999999</c:v>
                </c:pt>
                <c:pt idx="5">
                  <c:v>144.47826000000001</c:v>
                </c:pt>
                <c:pt idx="6">
                  <c:v>145.98580999999999</c:v>
                </c:pt>
                <c:pt idx="7">
                  <c:v>152.41344999999998</c:v>
                </c:pt>
                <c:pt idx="8">
                  <c:v>151.16592999999997</c:v>
                </c:pt>
                <c:pt idx="9">
                  <c:v>162.97546999999997</c:v>
                </c:pt>
                <c:pt idx="10">
                  <c:v>162.36307999999997</c:v>
                </c:pt>
                <c:pt idx="11">
                  <c:v>149.73131818181818</c:v>
                </c:pt>
              </c:numCache>
            </c:numRef>
          </c:yVal>
          <c:smooth val="0"/>
          <c:extLst>
            <c:ext xmlns:c16="http://schemas.microsoft.com/office/drawing/2014/chart" uri="{C3380CC4-5D6E-409C-BE32-E72D297353CC}">
              <c16:uniqueId val="{0000000C-173C-47D2-8345-4D949F4BA816}"/>
            </c:ext>
          </c:extLst>
        </c:ser>
        <c:dLbls>
          <c:showLegendKey val="0"/>
          <c:showVal val="0"/>
          <c:showCatName val="0"/>
          <c:showSerName val="0"/>
          <c:showPercent val="0"/>
          <c:showBubbleSize val="0"/>
        </c:dLbls>
        <c:axId val="353580104"/>
        <c:axId val="353578536"/>
      </c:scatterChart>
      <c:valAx>
        <c:axId val="353580104"/>
        <c:scaling>
          <c:orientation val="minMax"/>
          <c:min val="100"/>
        </c:scaling>
        <c:delete val="0"/>
        <c:axPos val="b"/>
        <c:majorGridlines>
          <c:spPr>
            <a:ln>
              <a:solidFill>
                <a:schemeClr val="bg1">
                  <a:lumMod val="85000"/>
                </a:schemeClr>
              </a:solidFill>
              <a:prstDash val="dash"/>
            </a:ln>
          </c:spPr>
        </c:majorGridlines>
        <c:title>
          <c:tx>
            <c:rich>
              <a:bodyPr/>
              <a:lstStyle/>
              <a:p>
                <a:pPr>
                  <a:defRPr sz="800"/>
                </a:pPr>
                <a:r>
                  <a:rPr lang="es-ES" sz="800"/>
                  <a:t>IALS (95th - 5th)</a:t>
                </a:r>
              </a:p>
            </c:rich>
          </c:tx>
          <c:layout>
            <c:manualLayout>
              <c:xMode val="edge"/>
              <c:yMode val="edge"/>
              <c:x val="0.87140370868275607"/>
              <c:y val="0.94652636602242901"/>
            </c:manualLayout>
          </c:layout>
          <c:overlay val="0"/>
        </c:title>
        <c:numFmt formatCode="0" sourceLinked="0"/>
        <c:majorTickMark val="out"/>
        <c:minorTickMark val="none"/>
        <c:tickLblPos val="nextTo"/>
        <c:spPr>
          <a:ln>
            <a:solidFill>
              <a:schemeClr val="tx1"/>
            </a:solidFill>
          </a:ln>
        </c:spPr>
        <c:txPr>
          <a:bodyPr/>
          <a:lstStyle/>
          <a:p>
            <a:pPr>
              <a:defRPr sz="800"/>
            </a:pPr>
            <a:endParaRPr lang="en-US"/>
          </a:p>
        </c:txPr>
        <c:crossAx val="353578536"/>
        <c:crossesAt val="149.72999999999999"/>
        <c:crossBetween val="midCat"/>
      </c:valAx>
      <c:valAx>
        <c:axId val="353578536"/>
        <c:scaling>
          <c:orientation val="minMax"/>
          <c:max val="180"/>
          <c:min val="120"/>
        </c:scaling>
        <c:delete val="0"/>
        <c:axPos val="l"/>
        <c:majorGridlines>
          <c:spPr>
            <a:ln>
              <a:solidFill>
                <a:schemeClr val="bg1">
                  <a:lumMod val="85000"/>
                </a:schemeClr>
              </a:solidFill>
              <a:prstDash val="dash"/>
            </a:ln>
          </c:spPr>
        </c:majorGridlines>
        <c:title>
          <c:tx>
            <c:rich>
              <a:bodyPr rot="-5400000" vert="horz"/>
              <a:lstStyle/>
              <a:p>
                <a:pPr>
                  <a:defRPr sz="800"/>
                </a:pPr>
                <a:r>
                  <a:rPr lang="es-ES" sz="800"/>
                  <a:t>PIAAC (95th - 5th)</a:t>
                </a:r>
              </a:p>
            </c:rich>
          </c:tx>
          <c:layout>
            <c:manualLayout>
              <c:xMode val="edge"/>
              <c:yMode val="edge"/>
              <c:x val="1.7638888888888888E-2"/>
              <c:y val="4.0596875000000011E-2"/>
            </c:manualLayout>
          </c:layout>
          <c:overlay val="0"/>
        </c:title>
        <c:numFmt formatCode="0" sourceLinked="0"/>
        <c:majorTickMark val="out"/>
        <c:minorTickMark val="none"/>
        <c:tickLblPos val="nextTo"/>
        <c:spPr>
          <a:ln>
            <a:solidFill>
              <a:schemeClr val="tx1"/>
            </a:solidFill>
          </a:ln>
        </c:spPr>
        <c:txPr>
          <a:bodyPr/>
          <a:lstStyle/>
          <a:p>
            <a:pPr>
              <a:defRPr sz="800"/>
            </a:pPr>
            <a:endParaRPr lang="en-US"/>
          </a:p>
        </c:txPr>
        <c:crossAx val="353580104"/>
        <c:crossesAt val="146.42000000000002"/>
        <c:crossBetween val="midCat"/>
      </c:valAx>
    </c:plotArea>
    <c:plotVisOnly val="1"/>
    <c:dispBlanksAs val="gap"/>
    <c:showDLblsOverMax val="0"/>
  </c:chart>
  <c:spPr>
    <a:ln>
      <a:noFill/>
    </a:ln>
  </c:sp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Pt>
            <c:idx val="0"/>
            <c:invertIfNegative val="0"/>
            <c:bubble3D val="0"/>
            <c:spPr>
              <a:solidFill>
                <a:schemeClr val="accent3">
                  <a:lumMod val="40000"/>
                  <a:lumOff val="60000"/>
                </a:schemeClr>
              </a:solidFill>
            </c:spPr>
            <c:extLst>
              <c:ext xmlns:c16="http://schemas.microsoft.com/office/drawing/2014/chart" uri="{C3380CC4-5D6E-409C-BE32-E72D297353CC}">
                <c16:uniqueId val="{00000001-1087-4203-B371-2182FBC743CE}"/>
              </c:ext>
            </c:extLst>
          </c:dPt>
          <c:dPt>
            <c:idx val="1"/>
            <c:invertIfNegative val="0"/>
            <c:bubble3D val="0"/>
            <c:spPr>
              <a:solidFill>
                <a:schemeClr val="accent3">
                  <a:lumMod val="40000"/>
                  <a:lumOff val="60000"/>
                </a:schemeClr>
              </a:solidFill>
            </c:spPr>
            <c:extLst>
              <c:ext xmlns:c16="http://schemas.microsoft.com/office/drawing/2014/chart" uri="{C3380CC4-5D6E-409C-BE32-E72D297353CC}">
                <c16:uniqueId val="{00000003-1087-4203-B371-2182FBC743CE}"/>
              </c:ext>
            </c:extLst>
          </c:dPt>
          <c:dPt>
            <c:idx val="2"/>
            <c:invertIfNegative val="0"/>
            <c:bubble3D val="0"/>
            <c:spPr>
              <a:solidFill>
                <a:schemeClr val="accent3">
                  <a:lumMod val="40000"/>
                  <a:lumOff val="60000"/>
                </a:schemeClr>
              </a:solidFill>
            </c:spPr>
            <c:extLst>
              <c:ext xmlns:c16="http://schemas.microsoft.com/office/drawing/2014/chart" uri="{C3380CC4-5D6E-409C-BE32-E72D297353CC}">
                <c16:uniqueId val="{00000005-1087-4203-B371-2182FBC743CE}"/>
              </c:ext>
            </c:extLst>
          </c:dPt>
          <c:dPt>
            <c:idx val="3"/>
            <c:invertIfNegative val="0"/>
            <c:bubble3D val="0"/>
            <c:spPr>
              <a:solidFill>
                <a:schemeClr val="accent3">
                  <a:lumMod val="40000"/>
                  <a:lumOff val="60000"/>
                </a:schemeClr>
              </a:solidFill>
            </c:spPr>
            <c:extLst>
              <c:ext xmlns:c16="http://schemas.microsoft.com/office/drawing/2014/chart" uri="{C3380CC4-5D6E-409C-BE32-E72D297353CC}">
                <c16:uniqueId val="{00000007-1087-4203-B371-2182FBC743CE}"/>
              </c:ext>
            </c:extLst>
          </c:dPt>
          <c:dPt>
            <c:idx val="4"/>
            <c:invertIfNegative val="0"/>
            <c:bubble3D val="0"/>
            <c:spPr>
              <a:solidFill>
                <a:schemeClr val="accent3">
                  <a:lumMod val="40000"/>
                  <a:lumOff val="60000"/>
                </a:schemeClr>
              </a:solidFill>
            </c:spPr>
            <c:extLst>
              <c:ext xmlns:c16="http://schemas.microsoft.com/office/drawing/2014/chart" uri="{C3380CC4-5D6E-409C-BE32-E72D297353CC}">
                <c16:uniqueId val="{00000009-1087-4203-B371-2182FBC743CE}"/>
              </c:ext>
            </c:extLst>
          </c:dPt>
          <c:dPt>
            <c:idx val="5"/>
            <c:invertIfNegative val="0"/>
            <c:bubble3D val="0"/>
            <c:spPr>
              <a:solidFill>
                <a:schemeClr val="accent6">
                  <a:lumMod val="40000"/>
                  <a:lumOff val="60000"/>
                </a:schemeClr>
              </a:solidFill>
            </c:spPr>
            <c:extLst>
              <c:ext xmlns:c16="http://schemas.microsoft.com/office/drawing/2014/chart" uri="{C3380CC4-5D6E-409C-BE32-E72D297353CC}">
                <c16:uniqueId val="{0000000B-1087-4203-B371-2182FBC743CE}"/>
              </c:ext>
            </c:extLst>
          </c:dPt>
          <c:dPt>
            <c:idx val="6"/>
            <c:invertIfNegative val="0"/>
            <c:bubble3D val="0"/>
            <c:spPr>
              <a:solidFill>
                <a:schemeClr val="accent6">
                  <a:lumMod val="40000"/>
                  <a:lumOff val="60000"/>
                </a:schemeClr>
              </a:solidFill>
            </c:spPr>
            <c:extLst>
              <c:ext xmlns:c16="http://schemas.microsoft.com/office/drawing/2014/chart" uri="{C3380CC4-5D6E-409C-BE32-E72D297353CC}">
                <c16:uniqueId val="{0000000D-1087-4203-B371-2182FBC743CE}"/>
              </c:ext>
            </c:extLst>
          </c:dPt>
          <c:dPt>
            <c:idx val="7"/>
            <c:invertIfNegative val="0"/>
            <c:bubble3D val="0"/>
            <c:spPr>
              <a:solidFill>
                <a:schemeClr val="accent6">
                  <a:lumMod val="40000"/>
                  <a:lumOff val="60000"/>
                </a:schemeClr>
              </a:solidFill>
            </c:spPr>
            <c:extLst>
              <c:ext xmlns:c16="http://schemas.microsoft.com/office/drawing/2014/chart" uri="{C3380CC4-5D6E-409C-BE32-E72D297353CC}">
                <c16:uniqueId val="{0000000F-1087-4203-B371-2182FBC743CE}"/>
              </c:ext>
            </c:extLst>
          </c:dPt>
          <c:dPt>
            <c:idx val="8"/>
            <c:invertIfNegative val="0"/>
            <c:bubble3D val="0"/>
            <c:spPr>
              <a:solidFill>
                <a:schemeClr val="accent6">
                  <a:lumMod val="40000"/>
                  <a:lumOff val="60000"/>
                </a:schemeClr>
              </a:solidFill>
            </c:spPr>
            <c:extLst>
              <c:ext xmlns:c16="http://schemas.microsoft.com/office/drawing/2014/chart" uri="{C3380CC4-5D6E-409C-BE32-E72D297353CC}">
                <c16:uniqueId val="{00000011-1087-4203-B371-2182FBC743CE}"/>
              </c:ext>
            </c:extLst>
          </c:dPt>
          <c:dPt>
            <c:idx val="9"/>
            <c:invertIfNegative val="0"/>
            <c:bubble3D val="0"/>
            <c:spPr>
              <a:solidFill>
                <a:schemeClr val="accent6">
                  <a:lumMod val="40000"/>
                  <a:lumOff val="60000"/>
                </a:schemeClr>
              </a:solidFill>
            </c:spPr>
            <c:extLst>
              <c:ext xmlns:c16="http://schemas.microsoft.com/office/drawing/2014/chart" uri="{C3380CC4-5D6E-409C-BE32-E72D297353CC}">
                <c16:uniqueId val="{00000013-1087-4203-B371-2182FBC743CE}"/>
              </c:ext>
            </c:extLst>
          </c:dPt>
          <c:dPt>
            <c:idx val="10"/>
            <c:invertIfNegative val="0"/>
            <c:bubble3D val="0"/>
            <c:spPr>
              <a:solidFill>
                <a:schemeClr val="accent6">
                  <a:lumMod val="40000"/>
                  <a:lumOff val="60000"/>
                </a:schemeClr>
              </a:solidFill>
            </c:spPr>
            <c:extLst>
              <c:ext xmlns:c16="http://schemas.microsoft.com/office/drawing/2014/chart" uri="{C3380CC4-5D6E-409C-BE32-E72D297353CC}">
                <c16:uniqueId val="{00000015-1087-4203-B371-2182FBC743CE}"/>
              </c:ext>
            </c:extLst>
          </c:dPt>
          <c:dLbls>
            <c:numFmt formatCode="#,##0.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'spread graph'!$P$3:$P$13</c:f>
              <c:strCache>
                <c:ptCount val="11"/>
                <c:pt idx="0">
                  <c:v>PL</c:v>
                </c:pt>
                <c:pt idx="1">
                  <c:v>IT</c:v>
                </c:pt>
                <c:pt idx="2">
                  <c:v>IE</c:v>
                </c:pt>
                <c:pt idx="3">
                  <c:v>UK</c:v>
                </c:pt>
                <c:pt idx="4">
                  <c:v>CZ</c:v>
                </c:pt>
                <c:pt idx="5">
                  <c:v>BE</c:v>
                </c:pt>
                <c:pt idx="6">
                  <c:v>FI</c:v>
                </c:pt>
                <c:pt idx="7">
                  <c:v>DE</c:v>
                </c:pt>
                <c:pt idx="8">
                  <c:v>SE</c:v>
                </c:pt>
                <c:pt idx="9">
                  <c:v>NL</c:v>
                </c:pt>
                <c:pt idx="10">
                  <c:v>DK</c:v>
                </c:pt>
              </c:strCache>
            </c:strRef>
          </c:cat>
          <c:val>
            <c:numRef>
              <c:f>'spread graph'!$Q$3:$Q$13</c:f>
              <c:numCache>
                <c:formatCode>0.00</c:formatCode>
                <c:ptCount val="11"/>
                <c:pt idx="0">
                  <c:v>-16.114743382003681</c:v>
                </c:pt>
                <c:pt idx="1">
                  <c:v>-15.084144668801791</c:v>
                </c:pt>
                <c:pt idx="2">
                  <c:v>-14.082861560418646</c:v>
                </c:pt>
                <c:pt idx="3">
                  <c:v>-7.6428789209507357</c:v>
                </c:pt>
                <c:pt idx="4">
                  <c:v>-0.38718977129326149</c:v>
                </c:pt>
                <c:pt idx="5">
                  <c:v>5.8849743113513986</c:v>
                </c:pt>
                <c:pt idx="6">
                  <c:v>9.3043302322207921</c:v>
                </c:pt>
                <c:pt idx="7">
                  <c:v>14.552775766208391</c:v>
                </c:pt>
                <c:pt idx="8">
                  <c:v>17.040729122679998</c:v>
                </c:pt>
                <c:pt idx="9">
                  <c:v>19.819728102400667</c:v>
                </c:pt>
                <c:pt idx="10">
                  <c:v>34.318463376465488</c:v>
                </c:pt>
              </c:numCache>
            </c:numRef>
          </c:val>
          <c:extLst>
            <c:ext xmlns:c16="http://schemas.microsoft.com/office/drawing/2014/chart" uri="{C3380CC4-5D6E-409C-BE32-E72D297353CC}">
              <c16:uniqueId val="{00000016-1087-4203-B371-2182FBC743CE}"/>
            </c:ext>
          </c:extLst>
        </c:ser>
        <c:dLbls>
          <c:showLegendKey val="0"/>
          <c:showVal val="0"/>
          <c:showCatName val="0"/>
          <c:showSerName val="0"/>
          <c:showPercent val="0"/>
          <c:showBubbleSize val="0"/>
        </c:dLbls>
        <c:gapWidth val="150"/>
        <c:axId val="339696320"/>
        <c:axId val="339692400"/>
      </c:barChart>
      <c:catAx>
        <c:axId val="339696320"/>
        <c:scaling>
          <c:orientation val="minMax"/>
        </c:scaling>
        <c:delete val="0"/>
        <c:axPos val="b"/>
        <c:majorGridlines>
          <c:spPr>
            <a:ln>
              <a:noFill/>
              <a:prstDash val="dash"/>
            </a:ln>
          </c:spPr>
        </c:majorGridlines>
        <c:numFmt formatCode="General" sourceLinked="0"/>
        <c:majorTickMark val="out"/>
        <c:minorTickMark val="none"/>
        <c:tickLblPos val="low"/>
        <c:spPr>
          <a:ln>
            <a:solidFill>
              <a:schemeClr val="tx1"/>
            </a:solidFill>
          </a:ln>
        </c:spPr>
        <c:txPr>
          <a:bodyPr/>
          <a:lstStyle/>
          <a:p>
            <a:pPr>
              <a:defRPr sz="800" b="1"/>
            </a:pPr>
            <a:endParaRPr lang="en-US"/>
          </a:p>
        </c:txPr>
        <c:crossAx val="339692400"/>
        <c:crosses val="autoZero"/>
        <c:auto val="1"/>
        <c:lblAlgn val="ctr"/>
        <c:lblOffset val="100"/>
        <c:noMultiLvlLbl val="0"/>
      </c:catAx>
      <c:valAx>
        <c:axId val="339692400"/>
        <c:scaling>
          <c:orientation val="minMax"/>
        </c:scaling>
        <c:delete val="0"/>
        <c:axPos val="l"/>
        <c:majorGridlines>
          <c:spPr>
            <a:ln>
              <a:solidFill>
                <a:schemeClr val="bg1">
                  <a:lumMod val="85000"/>
                </a:schemeClr>
              </a:solidFill>
              <a:prstDash val="dash"/>
            </a:ln>
          </c:spPr>
        </c:majorGridlines>
        <c:numFmt formatCode="0" sourceLinked="0"/>
        <c:majorTickMark val="in"/>
        <c:minorTickMark val="none"/>
        <c:tickLblPos val="nextTo"/>
        <c:spPr>
          <a:ln>
            <a:solidFill>
              <a:schemeClr val="tx1"/>
            </a:solidFill>
          </a:ln>
        </c:spPr>
        <c:txPr>
          <a:bodyPr/>
          <a:lstStyle/>
          <a:p>
            <a:pPr>
              <a:defRPr sz="800"/>
            </a:pPr>
            <a:endParaRPr lang="en-US"/>
          </a:p>
        </c:txPr>
        <c:crossAx val="339696320"/>
        <c:crosses val="autoZero"/>
        <c:crossBetween val="between"/>
      </c:valAx>
    </c:plotArea>
    <c:plotVisOnly val="1"/>
    <c:dispBlanksAs val="gap"/>
    <c:showDLblsOverMax val="0"/>
  </c:chart>
  <c:spPr>
    <a:ln>
      <a:noFill/>
    </a:ln>
  </c:spPr>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9760173698436151E-2"/>
          <c:y val="3.5083938999599405E-2"/>
          <c:w val="0.69381449181372779"/>
          <c:h val="0.79421897151711096"/>
        </c:manualLayout>
      </c:layout>
      <c:lineChart>
        <c:grouping val="standard"/>
        <c:varyColors val="0"/>
        <c:ser>
          <c:idx val="4"/>
          <c:order val="0"/>
          <c:tx>
            <c:strRef>
              <c:f>'New Numeracy'!$F$3</c:f>
              <c:strCache>
                <c:ptCount val="1"/>
                <c:pt idx="0">
                  <c:v>Tertiary (academic)</c:v>
                </c:pt>
              </c:strCache>
            </c:strRef>
          </c:tx>
          <c:spPr>
            <a:ln>
              <a:noFill/>
            </a:ln>
          </c:spPr>
          <c:marker>
            <c:symbol val="circle"/>
            <c:size val="5"/>
            <c:spPr>
              <a:solidFill>
                <a:srgbClr val="4F81BD">
                  <a:lumMod val="60000"/>
                  <a:lumOff val="40000"/>
                </a:srgbClr>
              </a:solidFill>
              <a:ln>
                <a:solidFill>
                  <a:srgbClr val="4F81BD">
                    <a:lumMod val="60000"/>
                    <a:lumOff val="40000"/>
                  </a:srgbClr>
                </a:solidFill>
              </a:ln>
            </c:spPr>
          </c:marker>
          <c:cat>
            <c:strRef>
              <c:f>'New Numeracy'!$A$4:$A$20</c:f>
              <c:strCache>
                <c:ptCount val="17"/>
                <c:pt idx="0">
                  <c:v>BE</c:v>
                </c:pt>
                <c:pt idx="1">
                  <c:v>FI</c:v>
                </c:pt>
                <c:pt idx="2">
                  <c:v>CZ</c:v>
                </c:pt>
                <c:pt idx="3">
                  <c:v>NL</c:v>
                </c:pt>
                <c:pt idx="4">
                  <c:v>AT</c:v>
                </c:pt>
                <c:pt idx="5">
                  <c:v>DE</c:v>
                </c:pt>
                <c:pt idx="6">
                  <c:v>SE</c:v>
                </c:pt>
                <c:pt idx="7">
                  <c:v>EE</c:v>
                </c:pt>
                <c:pt idx="8">
                  <c:v>FR</c:v>
                </c:pt>
                <c:pt idx="9">
                  <c:v>EU-16</c:v>
                </c:pt>
                <c:pt idx="10">
                  <c:v>DK</c:v>
                </c:pt>
                <c:pt idx="11">
                  <c:v>SK</c:v>
                </c:pt>
                <c:pt idx="12">
                  <c:v>UK</c:v>
                </c:pt>
                <c:pt idx="13">
                  <c:v>IE</c:v>
                </c:pt>
                <c:pt idx="14">
                  <c:v>PL</c:v>
                </c:pt>
                <c:pt idx="15">
                  <c:v>IT</c:v>
                </c:pt>
                <c:pt idx="16">
                  <c:v>ES</c:v>
                </c:pt>
              </c:strCache>
            </c:strRef>
          </c:cat>
          <c:val>
            <c:numRef>
              <c:f>'New Numeracy'!$F$4:$F$20</c:f>
              <c:numCache>
                <c:formatCode>General</c:formatCode>
                <c:ptCount val="17"/>
                <c:pt idx="0">
                  <c:v>326.77999999999997</c:v>
                </c:pt>
                <c:pt idx="1">
                  <c:v>324.43</c:v>
                </c:pt>
                <c:pt idx="2">
                  <c:v>320.08999999999997</c:v>
                </c:pt>
                <c:pt idx="3">
                  <c:v>317.25</c:v>
                </c:pt>
                <c:pt idx="4">
                  <c:v>316.66000000000003</c:v>
                </c:pt>
                <c:pt idx="5">
                  <c:v>315.38</c:v>
                </c:pt>
                <c:pt idx="6">
                  <c:v>312.73</c:v>
                </c:pt>
                <c:pt idx="7">
                  <c:v>308.67</c:v>
                </c:pt>
                <c:pt idx="8">
                  <c:v>307.23</c:v>
                </c:pt>
                <c:pt idx="9">
                  <c:v>306.95</c:v>
                </c:pt>
                <c:pt idx="10">
                  <c:v>306.32</c:v>
                </c:pt>
                <c:pt idx="11">
                  <c:v>305.67</c:v>
                </c:pt>
                <c:pt idx="12">
                  <c:v>292.89999999999998</c:v>
                </c:pt>
                <c:pt idx="13">
                  <c:v>292.45999999999998</c:v>
                </c:pt>
                <c:pt idx="14">
                  <c:v>291.31</c:v>
                </c:pt>
                <c:pt idx="15">
                  <c:v>287.81</c:v>
                </c:pt>
                <c:pt idx="16">
                  <c:v>285.52</c:v>
                </c:pt>
              </c:numCache>
            </c:numRef>
          </c:val>
          <c:smooth val="0"/>
          <c:extLst>
            <c:ext xmlns:c16="http://schemas.microsoft.com/office/drawing/2014/chart" uri="{C3380CC4-5D6E-409C-BE32-E72D297353CC}">
              <c16:uniqueId val="{00000000-1E33-4CC6-BF68-DDF0DF7EB345}"/>
            </c:ext>
          </c:extLst>
        </c:ser>
        <c:ser>
          <c:idx val="3"/>
          <c:order val="1"/>
          <c:tx>
            <c:strRef>
              <c:f>'New Numeracy'!$E$3</c:f>
              <c:strCache>
                <c:ptCount val="1"/>
                <c:pt idx="0">
                  <c:v>Tertiary (professional)</c:v>
                </c:pt>
              </c:strCache>
            </c:strRef>
          </c:tx>
          <c:spPr>
            <a:ln>
              <a:noFill/>
            </a:ln>
          </c:spPr>
          <c:marker>
            <c:symbol val="plus"/>
            <c:size val="5"/>
            <c:spPr>
              <a:noFill/>
              <a:ln w="15875">
                <a:solidFill>
                  <a:srgbClr val="9BBB59">
                    <a:lumMod val="75000"/>
                  </a:srgbClr>
                </a:solidFill>
              </a:ln>
            </c:spPr>
          </c:marker>
          <c:cat>
            <c:strRef>
              <c:f>'New Numeracy'!$A$4:$A$20</c:f>
              <c:strCache>
                <c:ptCount val="17"/>
                <c:pt idx="0">
                  <c:v>BE</c:v>
                </c:pt>
                <c:pt idx="1">
                  <c:v>FI</c:v>
                </c:pt>
                <c:pt idx="2">
                  <c:v>CZ</c:v>
                </c:pt>
                <c:pt idx="3">
                  <c:v>NL</c:v>
                </c:pt>
                <c:pt idx="4">
                  <c:v>AT</c:v>
                </c:pt>
                <c:pt idx="5">
                  <c:v>DE</c:v>
                </c:pt>
                <c:pt idx="6">
                  <c:v>SE</c:v>
                </c:pt>
                <c:pt idx="7">
                  <c:v>EE</c:v>
                </c:pt>
                <c:pt idx="8">
                  <c:v>FR</c:v>
                </c:pt>
                <c:pt idx="9">
                  <c:v>EU-16</c:v>
                </c:pt>
                <c:pt idx="10">
                  <c:v>DK</c:v>
                </c:pt>
                <c:pt idx="11">
                  <c:v>SK</c:v>
                </c:pt>
                <c:pt idx="12">
                  <c:v>UK</c:v>
                </c:pt>
                <c:pt idx="13">
                  <c:v>IE</c:v>
                </c:pt>
                <c:pt idx="14">
                  <c:v>PL</c:v>
                </c:pt>
                <c:pt idx="15">
                  <c:v>IT</c:v>
                </c:pt>
                <c:pt idx="16">
                  <c:v>ES</c:v>
                </c:pt>
              </c:strCache>
            </c:strRef>
          </c:cat>
          <c:val>
            <c:numRef>
              <c:f>'New Numeracy'!$E$4:$E$20</c:f>
              <c:numCache>
                <c:formatCode>General</c:formatCode>
                <c:ptCount val="17"/>
                <c:pt idx="0">
                  <c:v>308.66000000000003</c:v>
                </c:pt>
                <c:pt idx="1">
                  <c:v>293.77</c:v>
                </c:pt>
                <c:pt idx="2">
                  <c:v>291.95</c:v>
                </c:pt>
                <c:pt idx="3">
                  <c:v>300.87</c:v>
                </c:pt>
                <c:pt idx="4">
                  <c:v>298.54000000000002</c:v>
                </c:pt>
                <c:pt idx="5">
                  <c:v>288.3</c:v>
                </c:pt>
                <c:pt idx="6">
                  <c:v>312.91000000000003</c:v>
                </c:pt>
                <c:pt idx="7">
                  <c:v>287.95999999999998</c:v>
                </c:pt>
                <c:pt idx="8">
                  <c:v>291.38</c:v>
                </c:pt>
                <c:pt idx="9">
                  <c:v>290.46923076923076</c:v>
                </c:pt>
                <c:pt idx="10">
                  <c:v>297.70999999999998</c:v>
                </c:pt>
                <c:pt idx="11">
                  <c:v>0</c:v>
                </c:pt>
                <c:pt idx="12">
                  <c:v>265.45</c:v>
                </c:pt>
                <c:pt idx="13">
                  <c:v>271.45999999999998</c:v>
                </c:pt>
                <c:pt idx="14">
                  <c:v>0</c:v>
                </c:pt>
                <c:pt idx="15">
                  <c:v>0</c:v>
                </c:pt>
                <c:pt idx="16">
                  <c:v>267.14</c:v>
                </c:pt>
              </c:numCache>
            </c:numRef>
          </c:val>
          <c:smooth val="0"/>
          <c:extLst>
            <c:ext xmlns:c16="http://schemas.microsoft.com/office/drawing/2014/chart" uri="{C3380CC4-5D6E-409C-BE32-E72D297353CC}">
              <c16:uniqueId val="{00000001-1E33-4CC6-BF68-DDF0DF7EB345}"/>
            </c:ext>
          </c:extLst>
        </c:ser>
        <c:ser>
          <c:idx val="2"/>
          <c:order val="2"/>
          <c:tx>
            <c:strRef>
              <c:f>'New Numeracy'!$D$3</c:f>
              <c:strCache>
                <c:ptCount val="1"/>
                <c:pt idx="0">
                  <c:v>Post-secondary (non-tertiary)</c:v>
                </c:pt>
              </c:strCache>
            </c:strRef>
          </c:tx>
          <c:spPr>
            <a:ln>
              <a:noFill/>
            </a:ln>
          </c:spPr>
          <c:marker>
            <c:symbol val="diamond"/>
            <c:size val="6"/>
            <c:spPr>
              <a:solidFill>
                <a:srgbClr val="C0504D">
                  <a:lumMod val="60000"/>
                  <a:lumOff val="40000"/>
                </a:srgbClr>
              </a:solidFill>
              <a:ln>
                <a:solidFill>
                  <a:srgbClr val="C0504D">
                    <a:lumMod val="60000"/>
                    <a:lumOff val="40000"/>
                  </a:srgbClr>
                </a:solidFill>
              </a:ln>
            </c:spPr>
          </c:marker>
          <c:cat>
            <c:strRef>
              <c:f>'New Numeracy'!$A$4:$A$20</c:f>
              <c:strCache>
                <c:ptCount val="17"/>
                <c:pt idx="0">
                  <c:v>BE</c:v>
                </c:pt>
                <c:pt idx="1">
                  <c:v>FI</c:v>
                </c:pt>
                <c:pt idx="2">
                  <c:v>CZ</c:v>
                </c:pt>
                <c:pt idx="3">
                  <c:v>NL</c:v>
                </c:pt>
                <c:pt idx="4">
                  <c:v>AT</c:v>
                </c:pt>
                <c:pt idx="5">
                  <c:v>DE</c:v>
                </c:pt>
                <c:pt idx="6">
                  <c:v>SE</c:v>
                </c:pt>
                <c:pt idx="7">
                  <c:v>EE</c:v>
                </c:pt>
                <c:pt idx="8">
                  <c:v>FR</c:v>
                </c:pt>
                <c:pt idx="9">
                  <c:v>EU-16</c:v>
                </c:pt>
                <c:pt idx="10">
                  <c:v>DK</c:v>
                </c:pt>
                <c:pt idx="11">
                  <c:v>SK</c:v>
                </c:pt>
                <c:pt idx="12">
                  <c:v>UK</c:v>
                </c:pt>
                <c:pt idx="13">
                  <c:v>IE</c:v>
                </c:pt>
                <c:pt idx="14">
                  <c:v>PL</c:v>
                </c:pt>
                <c:pt idx="15">
                  <c:v>IT</c:v>
                </c:pt>
                <c:pt idx="16">
                  <c:v>ES</c:v>
                </c:pt>
              </c:strCache>
            </c:strRef>
          </c:cat>
          <c:val>
            <c:numRef>
              <c:f>'New Numeracy'!$D$4:$D$20</c:f>
              <c:numCache>
                <c:formatCode>General</c:formatCode>
                <c:ptCount val="17"/>
                <c:pt idx="0">
                  <c:v>287.13</c:v>
                </c:pt>
                <c:pt idx="1">
                  <c:v>300.93</c:v>
                </c:pt>
                <c:pt idx="2">
                  <c:v>282.61</c:v>
                </c:pt>
                <c:pt idx="3">
                  <c:v>0</c:v>
                </c:pt>
                <c:pt idx="4">
                  <c:v>303.2</c:v>
                </c:pt>
                <c:pt idx="5">
                  <c:v>303.37</c:v>
                </c:pt>
                <c:pt idx="6">
                  <c:v>300.83</c:v>
                </c:pt>
                <c:pt idx="7">
                  <c:v>281.38</c:v>
                </c:pt>
                <c:pt idx="8">
                  <c:v>0</c:v>
                </c:pt>
                <c:pt idx="9">
                  <c:v>279.98</c:v>
                </c:pt>
                <c:pt idx="10">
                  <c:v>280.11</c:v>
                </c:pt>
                <c:pt idx="11">
                  <c:v>288.58</c:v>
                </c:pt>
                <c:pt idx="12">
                  <c:v>223.6</c:v>
                </c:pt>
                <c:pt idx="13">
                  <c:v>252.46</c:v>
                </c:pt>
                <c:pt idx="14">
                  <c:v>268.45</c:v>
                </c:pt>
                <c:pt idx="15">
                  <c:v>277.01</c:v>
                </c:pt>
                <c:pt idx="16">
                  <c:v>270.08999999999997</c:v>
                </c:pt>
              </c:numCache>
            </c:numRef>
          </c:val>
          <c:smooth val="0"/>
          <c:extLst>
            <c:ext xmlns:c16="http://schemas.microsoft.com/office/drawing/2014/chart" uri="{C3380CC4-5D6E-409C-BE32-E72D297353CC}">
              <c16:uniqueId val="{00000002-1E33-4CC6-BF68-DDF0DF7EB345}"/>
            </c:ext>
          </c:extLst>
        </c:ser>
        <c:ser>
          <c:idx val="1"/>
          <c:order val="3"/>
          <c:tx>
            <c:strRef>
              <c:f>'New Numeracy'!$C$3</c:f>
              <c:strCache>
                <c:ptCount val="1"/>
                <c:pt idx="0">
                  <c:v>Upper secondary</c:v>
                </c:pt>
              </c:strCache>
            </c:strRef>
          </c:tx>
          <c:spPr>
            <a:ln>
              <a:noFill/>
            </a:ln>
          </c:spPr>
          <c:marker>
            <c:symbol val="star"/>
            <c:size val="5"/>
            <c:spPr>
              <a:noFill/>
              <a:ln w="9525">
                <a:solidFill>
                  <a:srgbClr val="F79646">
                    <a:lumMod val="60000"/>
                    <a:lumOff val="40000"/>
                  </a:srgbClr>
                </a:solidFill>
              </a:ln>
            </c:spPr>
          </c:marker>
          <c:cat>
            <c:strRef>
              <c:f>'New Numeracy'!$A$4:$A$20</c:f>
              <c:strCache>
                <c:ptCount val="17"/>
                <c:pt idx="0">
                  <c:v>BE</c:v>
                </c:pt>
                <c:pt idx="1">
                  <c:v>FI</c:v>
                </c:pt>
                <c:pt idx="2">
                  <c:v>CZ</c:v>
                </c:pt>
                <c:pt idx="3">
                  <c:v>NL</c:v>
                </c:pt>
                <c:pt idx="4">
                  <c:v>AT</c:v>
                </c:pt>
                <c:pt idx="5">
                  <c:v>DE</c:v>
                </c:pt>
                <c:pt idx="6">
                  <c:v>SE</c:v>
                </c:pt>
                <c:pt idx="7">
                  <c:v>EE</c:v>
                </c:pt>
                <c:pt idx="8">
                  <c:v>FR</c:v>
                </c:pt>
                <c:pt idx="9">
                  <c:v>EU-16</c:v>
                </c:pt>
                <c:pt idx="10">
                  <c:v>DK</c:v>
                </c:pt>
                <c:pt idx="11">
                  <c:v>SK</c:v>
                </c:pt>
                <c:pt idx="12">
                  <c:v>UK</c:v>
                </c:pt>
                <c:pt idx="13">
                  <c:v>IE</c:v>
                </c:pt>
                <c:pt idx="14">
                  <c:v>PL</c:v>
                </c:pt>
                <c:pt idx="15">
                  <c:v>IT</c:v>
                </c:pt>
                <c:pt idx="16">
                  <c:v>ES</c:v>
                </c:pt>
              </c:strCache>
            </c:strRef>
          </c:cat>
          <c:val>
            <c:numRef>
              <c:f>'New Numeracy'!$C$4:$C$20</c:f>
              <c:numCache>
                <c:formatCode>General</c:formatCode>
                <c:ptCount val="17"/>
                <c:pt idx="0">
                  <c:v>281.57</c:v>
                </c:pt>
                <c:pt idx="1">
                  <c:v>293.62</c:v>
                </c:pt>
                <c:pt idx="2">
                  <c:v>281.17</c:v>
                </c:pt>
                <c:pt idx="3">
                  <c:v>289.52</c:v>
                </c:pt>
                <c:pt idx="4">
                  <c:v>278.66000000000003</c:v>
                </c:pt>
                <c:pt idx="5">
                  <c:v>276.82</c:v>
                </c:pt>
                <c:pt idx="6">
                  <c:v>283.8</c:v>
                </c:pt>
                <c:pt idx="7">
                  <c:v>282.52</c:v>
                </c:pt>
                <c:pt idx="8">
                  <c:v>260.35000000000002</c:v>
                </c:pt>
                <c:pt idx="9">
                  <c:v>275.29000000000002</c:v>
                </c:pt>
                <c:pt idx="10">
                  <c:v>286.79000000000002</c:v>
                </c:pt>
                <c:pt idx="11">
                  <c:v>279.95</c:v>
                </c:pt>
                <c:pt idx="12">
                  <c:v>263.87</c:v>
                </c:pt>
                <c:pt idx="13">
                  <c:v>260.17</c:v>
                </c:pt>
                <c:pt idx="14">
                  <c:v>260.38</c:v>
                </c:pt>
                <c:pt idx="15">
                  <c:v>263.07</c:v>
                </c:pt>
                <c:pt idx="16">
                  <c:v>262.38</c:v>
                </c:pt>
              </c:numCache>
            </c:numRef>
          </c:val>
          <c:smooth val="0"/>
          <c:extLst>
            <c:ext xmlns:c16="http://schemas.microsoft.com/office/drawing/2014/chart" uri="{C3380CC4-5D6E-409C-BE32-E72D297353CC}">
              <c16:uniqueId val="{00000003-1E33-4CC6-BF68-DDF0DF7EB345}"/>
            </c:ext>
          </c:extLst>
        </c:ser>
        <c:ser>
          <c:idx val="0"/>
          <c:order val="4"/>
          <c:tx>
            <c:strRef>
              <c:f>'New Numeracy'!$B$3</c:f>
              <c:strCache>
                <c:ptCount val="1"/>
                <c:pt idx="0">
                  <c:v>Primary and Lower secondary</c:v>
                </c:pt>
              </c:strCache>
            </c:strRef>
          </c:tx>
          <c:spPr>
            <a:ln>
              <a:noFill/>
            </a:ln>
          </c:spPr>
          <c:marker>
            <c:symbol val="dash"/>
            <c:size val="5"/>
            <c:spPr>
              <a:solidFill>
                <a:schemeClr val="tx1"/>
              </a:solidFill>
              <a:ln>
                <a:solidFill>
                  <a:schemeClr val="tx1"/>
                </a:solidFill>
              </a:ln>
            </c:spPr>
          </c:marker>
          <c:cat>
            <c:strRef>
              <c:f>'New Numeracy'!$A$4:$A$20</c:f>
              <c:strCache>
                <c:ptCount val="17"/>
                <c:pt idx="0">
                  <c:v>BE</c:v>
                </c:pt>
                <c:pt idx="1">
                  <c:v>FI</c:v>
                </c:pt>
                <c:pt idx="2">
                  <c:v>CZ</c:v>
                </c:pt>
                <c:pt idx="3">
                  <c:v>NL</c:v>
                </c:pt>
                <c:pt idx="4">
                  <c:v>AT</c:v>
                </c:pt>
                <c:pt idx="5">
                  <c:v>DE</c:v>
                </c:pt>
                <c:pt idx="6">
                  <c:v>SE</c:v>
                </c:pt>
                <c:pt idx="7">
                  <c:v>EE</c:v>
                </c:pt>
                <c:pt idx="8">
                  <c:v>FR</c:v>
                </c:pt>
                <c:pt idx="9">
                  <c:v>EU-16</c:v>
                </c:pt>
                <c:pt idx="10">
                  <c:v>DK</c:v>
                </c:pt>
                <c:pt idx="11">
                  <c:v>SK</c:v>
                </c:pt>
                <c:pt idx="12">
                  <c:v>UK</c:v>
                </c:pt>
                <c:pt idx="13">
                  <c:v>IE</c:v>
                </c:pt>
                <c:pt idx="14">
                  <c:v>PL</c:v>
                </c:pt>
                <c:pt idx="15">
                  <c:v>IT</c:v>
                </c:pt>
                <c:pt idx="16">
                  <c:v>ES</c:v>
                </c:pt>
              </c:strCache>
            </c:strRef>
          </c:cat>
          <c:val>
            <c:numRef>
              <c:f>'New Numeracy'!$B$4:$B$20</c:f>
              <c:numCache>
                <c:formatCode>General</c:formatCode>
                <c:ptCount val="17"/>
                <c:pt idx="0">
                  <c:v>240.97</c:v>
                </c:pt>
                <c:pt idx="1">
                  <c:v>257.25</c:v>
                </c:pt>
                <c:pt idx="2">
                  <c:v>252.86</c:v>
                </c:pt>
                <c:pt idx="3">
                  <c:v>251.11</c:v>
                </c:pt>
                <c:pt idx="4">
                  <c:v>236.83</c:v>
                </c:pt>
                <c:pt idx="5">
                  <c:v>237.04</c:v>
                </c:pt>
                <c:pt idx="6">
                  <c:v>243.1</c:v>
                </c:pt>
                <c:pt idx="7">
                  <c:v>247.55</c:v>
                </c:pt>
                <c:pt idx="8">
                  <c:v>211.98</c:v>
                </c:pt>
                <c:pt idx="9">
                  <c:v>235.83</c:v>
                </c:pt>
                <c:pt idx="10">
                  <c:v>245.55</c:v>
                </c:pt>
                <c:pt idx="11">
                  <c:v>219.1</c:v>
                </c:pt>
                <c:pt idx="12">
                  <c:v>218.47</c:v>
                </c:pt>
                <c:pt idx="13">
                  <c:v>222.76</c:v>
                </c:pt>
                <c:pt idx="14">
                  <c:v>229.53</c:v>
                </c:pt>
                <c:pt idx="15">
                  <c:v>228.37</c:v>
                </c:pt>
                <c:pt idx="16">
                  <c:v>230.74</c:v>
                </c:pt>
              </c:numCache>
            </c:numRef>
          </c:val>
          <c:smooth val="0"/>
          <c:extLst>
            <c:ext xmlns:c16="http://schemas.microsoft.com/office/drawing/2014/chart" uri="{C3380CC4-5D6E-409C-BE32-E72D297353CC}">
              <c16:uniqueId val="{00000004-1E33-4CC6-BF68-DDF0DF7EB345}"/>
            </c:ext>
          </c:extLst>
        </c:ser>
        <c:dLbls>
          <c:showLegendKey val="0"/>
          <c:showVal val="0"/>
          <c:showCatName val="0"/>
          <c:showSerName val="0"/>
          <c:showPercent val="0"/>
          <c:showBubbleSize val="0"/>
        </c:dLbls>
        <c:marker val="1"/>
        <c:smooth val="0"/>
        <c:axId val="353589584"/>
        <c:axId val="353591544"/>
      </c:lineChart>
      <c:catAx>
        <c:axId val="353589584"/>
        <c:scaling>
          <c:orientation val="minMax"/>
        </c:scaling>
        <c:delete val="0"/>
        <c:axPos val="b"/>
        <c:majorGridlines>
          <c:spPr>
            <a:ln w="6350">
              <a:prstDash val="dash"/>
            </a:ln>
          </c:spPr>
        </c:majorGridlines>
        <c:numFmt formatCode="General" sourceLinked="1"/>
        <c:majorTickMark val="in"/>
        <c:minorTickMark val="none"/>
        <c:tickLblPos val="nextTo"/>
        <c:spPr>
          <a:ln>
            <a:solidFill>
              <a:sysClr val="windowText" lastClr="000000"/>
            </a:solidFill>
          </a:ln>
        </c:spPr>
        <c:crossAx val="353591544"/>
        <c:crosses val="autoZero"/>
        <c:auto val="1"/>
        <c:lblAlgn val="ctr"/>
        <c:lblOffset val="100"/>
        <c:noMultiLvlLbl val="0"/>
      </c:catAx>
      <c:valAx>
        <c:axId val="353591544"/>
        <c:scaling>
          <c:orientation val="minMax"/>
          <c:max val="340"/>
          <c:min val="140"/>
        </c:scaling>
        <c:delete val="0"/>
        <c:axPos val="l"/>
        <c:majorGridlines>
          <c:spPr>
            <a:ln>
              <a:prstDash val="dash"/>
            </a:ln>
          </c:spPr>
        </c:majorGridlines>
        <c:numFmt formatCode="General" sourceLinked="1"/>
        <c:majorTickMark val="in"/>
        <c:minorTickMark val="none"/>
        <c:tickLblPos val="nextTo"/>
        <c:spPr>
          <a:ln>
            <a:solidFill>
              <a:sysClr val="windowText" lastClr="000000"/>
            </a:solidFill>
          </a:ln>
        </c:spPr>
        <c:crossAx val="353589584"/>
        <c:crosses val="autoZero"/>
        <c:crossBetween val="between"/>
      </c:valAx>
    </c:plotArea>
    <c:legend>
      <c:legendPos val="r"/>
      <c:layout>
        <c:manualLayout>
          <c:xMode val="edge"/>
          <c:yMode val="edge"/>
          <c:x val="0.79552426230394113"/>
          <c:y val="5.6028255855326829E-2"/>
          <c:w val="0.19096760522719289"/>
          <c:h val="0.84370351755042938"/>
        </c:manualLayout>
      </c:layout>
      <c:overlay val="0"/>
    </c:legend>
    <c:plotVisOnly val="1"/>
    <c:dispBlanksAs val="gap"/>
    <c:showDLblsOverMax val="0"/>
  </c:chart>
  <c:spPr>
    <a:ln>
      <a:noFill/>
    </a:ln>
  </c:spPr>
  <c:externalData r:id="rId2">
    <c:autoUpdate val="0"/>
  </c:externalData>
  <c:userShapes r:id="rId3"/>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9760173698436151E-2"/>
          <c:y val="3.5083938999599405E-2"/>
          <c:w val="0.69381449181372779"/>
          <c:h val="0.79421897151711096"/>
        </c:manualLayout>
      </c:layout>
      <c:lineChart>
        <c:grouping val="standard"/>
        <c:varyColors val="0"/>
        <c:ser>
          <c:idx val="4"/>
          <c:order val="0"/>
          <c:tx>
            <c:strRef>
              <c:f>'New Literacy'!$F$2</c:f>
              <c:strCache>
                <c:ptCount val="1"/>
                <c:pt idx="0">
                  <c:v>Tertiary (academic)</c:v>
                </c:pt>
              </c:strCache>
            </c:strRef>
          </c:tx>
          <c:spPr>
            <a:ln>
              <a:noFill/>
            </a:ln>
          </c:spPr>
          <c:marker>
            <c:symbol val="circle"/>
            <c:size val="5"/>
            <c:spPr>
              <a:solidFill>
                <a:srgbClr val="4F81BD">
                  <a:lumMod val="60000"/>
                  <a:lumOff val="40000"/>
                </a:srgbClr>
              </a:solidFill>
              <a:ln>
                <a:solidFill>
                  <a:srgbClr val="4F81BD">
                    <a:lumMod val="60000"/>
                    <a:lumOff val="40000"/>
                  </a:srgbClr>
                </a:solidFill>
              </a:ln>
            </c:spPr>
          </c:marker>
          <c:cat>
            <c:strRef>
              <c:f>'New Literacy'!$A$3:$A$19</c:f>
              <c:strCache>
                <c:ptCount val="17"/>
                <c:pt idx="0">
                  <c:v>FI</c:v>
                </c:pt>
                <c:pt idx="1">
                  <c:v>NL</c:v>
                </c:pt>
                <c:pt idx="2">
                  <c:v>BE (FL)</c:v>
                </c:pt>
                <c:pt idx="3">
                  <c:v>SE</c:v>
                </c:pt>
                <c:pt idx="4">
                  <c:v>EE</c:v>
                </c:pt>
                <c:pt idx="5">
                  <c:v>DE</c:v>
                </c:pt>
                <c:pt idx="6">
                  <c:v>AT</c:v>
                </c:pt>
                <c:pt idx="7">
                  <c:v>CZ</c:v>
                </c:pt>
                <c:pt idx="8">
                  <c:v>FR</c:v>
                </c:pt>
                <c:pt idx="9">
                  <c:v>EU-16</c:v>
                </c:pt>
                <c:pt idx="10">
                  <c:v>IE</c:v>
                </c:pt>
                <c:pt idx="11">
                  <c:v>UK (EN/NI)</c:v>
                </c:pt>
                <c:pt idx="12">
                  <c:v>DK</c:v>
                </c:pt>
                <c:pt idx="13">
                  <c:v>PL</c:v>
                </c:pt>
                <c:pt idx="14">
                  <c:v>SK</c:v>
                </c:pt>
                <c:pt idx="15">
                  <c:v>ES</c:v>
                </c:pt>
                <c:pt idx="16">
                  <c:v>IT</c:v>
                </c:pt>
              </c:strCache>
            </c:strRef>
          </c:cat>
          <c:val>
            <c:numRef>
              <c:f>'New Literacy'!$F$3:$F$19</c:f>
              <c:numCache>
                <c:formatCode>General</c:formatCode>
                <c:ptCount val="17"/>
                <c:pt idx="0">
                  <c:v>331.5</c:v>
                </c:pt>
                <c:pt idx="1">
                  <c:v>323.79000000000002</c:v>
                </c:pt>
                <c:pt idx="2">
                  <c:v>321.81</c:v>
                </c:pt>
                <c:pt idx="3">
                  <c:v>314.39999999999998</c:v>
                </c:pt>
                <c:pt idx="4">
                  <c:v>313.11</c:v>
                </c:pt>
                <c:pt idx="5">
                  <c:v>312.43</c:v>
                </c:pt>
                <c:pt idx="6">
                  <c:v>311.61</c:v>
                </c:pt>
                <c:pt idx="7">
                  <c:v>310.49</c:v>
                </c:pt>
                <c:pt idx="8">
                  <c:v>309.88</c:v>
                </c:pt>
                <c:pt idx="9">
                  <c:v>308.45</c:v>
                </c:pt>
                <c:pt idx="10">
                  <c:v>302.23</c:v>
                </c:pt>
                <c:pt idx="11">
                  <c:v>301.32</c:v>
                </c:pt>
                <c:pt idx="12">
                  <c:v>301.14</c:v>
                </c:pt>
                <c:pt idx="13">
                  <c:v>299.66000000000003</c:v>
                </c:pt>
                <c:pt idx="14">
                  <c:v>299.06</c:v>
                </c:pt>
                <c:pt idx="15">
                  <c:v>292.5</c:v>
                </c:pt>
                <c:pt idx="16">
                  <c:v>290.29000000000002</c:v>
                </c:pt>
              </c:numCache>
            </c:numRef>
          </c:val>
          <c:smooth val="0"/>
          <c:extLst>
            <c:ext xmlns:c16="http://schemas.microsoft.com/office/drawing/2014/chart" uri="{C3380CC4-5D6E-409C-BE32-E72D297353CC}">
              <c16:uniqueId val="{00000000-E685-4F47-A1B8-E717B29F30B9}"/>
            </c:ext>
          </c:extLst>
        </c:ser>
        <c:ser>
          <c:idx val="3"/>
          <c:order val="1"/>
          <c:tx>
            <c:strRef>
              <c:f>'New Literacy'!$E$2</c:f>
              <c:strCache>
                <c:ptCount val="1"/>
                <c:pt idx="0">
                  <c:v>Tertiary (professional)</c:v>
                </c:pt>
              </c:strCache>
            </c:strRef>
          </c:tx>
          <c:spPr>
            <a:ln>
              <a:noFill/>
            </a:ln>
          </c:spPr>
          <c:marker>
            <c:symbol val="plus"/>
            <c:size val="5"/>
            <c:spPr>
              <a:noFill/>
              <a:ln w="15875">
                <a:solidFill>
                  <a:srgbClr val="9BBB59">
                    <a:lumMod val="75000"/>
                  </a:srgbClr>
                </a:solidFill>
              </a:ln>
            </c:spPr>
          </c:marker>
          <c:cat>
            <c:strRef>
              <c:f>'New Literacy'!$A$3:$A$19</c:f>
              <c:strCache>
                <c:ptCount val="17"/>
                <c:pt idx="0">
                  <c:v>FI</c:v>
                </c:pt>
                <c:pt idx="1">
                  <c:v>NL</c:v>
                </c:pt>
                <c:pt idx="2">
                  <c:v>BE (FL)</c:v>
                </c:pt>
                <c:pt idx="3">
                  <c:v>SE</c:v>
                </c:pt>
                <c:pt idx="4">
                  <c:v>EE</c:v>
                </c:pt>
                <c:pt idx="5">
                  <c:v>DE</c:v>
                </c:pt>
                <c:pt idx="6">
                  <c:v>AT</c:v>
                </c:pt>
                <c:pt idx="7">
                  <c:v>CZ</c:v>
                </c:pt>
                <c:pt idx="8">
                  <c:v>FR</c:v>
                </c:pt>
                <c:pt idx="9">
                  <c:v>EU-16</c:v>
                </c:pt>
                <c:pt idx="10">
                  <c:v>IE</c:v>
                </c:pt>
                <c:pt idx="11">
                  <c:v>UK (EN/NI)</c:v>
                </c:pt>
                <c:pt idx="12">
                  <c:v>DK</c:v>
                </c:pt>
                <c:pt idx="13">
                  <c:v>PL</c:v>
                </c:pt>
                <c:pt idx="14">
                  <c:v>SK</c:v>
                </c:pt>
                <c:pt idx="15">
                  <c:v>ES</c:v>
                </c:pt>
                <c:pt idx="16">
                  <c:v>IT</c:v>
                </c:pt>
              </c:strCache>
            </c:strRef>
          </c:cat>
          <c:val>
            <c:numRef>
              <c:f>'New Literacy'!$E$3:$E$19</c:f>
              <c:numCache>
                <c:formatCode>General</c:formatCode>
                <c:ptCount val="17"/>
                <c:pt idx="0">
                  <c:v>304.83999999999997</c:v>
                </c:pt>
                <c:pt idx="1">
                  <c:v>306.05</c:v>
                </c:pt>
                <c:pt idx="2">
                  <c:v>306.57</c:v>
                </c:pt>
                <c:pt idx="3">
                  <c:v>314.68</c:v>
                </c:pt>
                <c:pt idx="4">
                  <c:v>289.7</c:v>
                </c:pt>
                <c:pt idx="5">
                  <c:v>289.98</c:v>
                </c:pt>
                <c:pt idx="6">
                  <c:v>297.83</c:v>
                </c:pt>
                <c:pt idx="7">
                  <c:v>293.81</c:v>
                </c:pt>
                <c:pt idx="8">
                  <c:v>294.3</c:v>
                </c:pt>
                <c:pt idx="9">
                  <c:v>293.48692307692306</c:v>
                </c:pt>
                <c:pt idx="10">
                  <c:v>277.74</c:v>
                </c:pt>
                <c:pt idx="11">
                  <c:v>276.26</c:v>
                </c:pt>
                <c:pt idx="12">
                  <c:v>293.08</c:v>
                </c:pt>
                <c:pt idx="13">
                  <c:v>0</c:v>
                </c:pt>
                <c:pt idx="14">
                  <c:v>0</c:v>
                </c:pt>
                <c:pt idx="15">
                  <c:v>270.49</c:v>
                </c:pt>
                <c:pt idx="16">
                  <c:v>0</c:v>
                </c:pt>
              </c:numCache>
            </c:numRef>
          </c:val>
          <c:smooth val="0"/>
          <c:extLst>
            <c:ext xmlns:c16="http://schemas.microsoft.com/office/drawing/2014/chart" uri="{C3380CC4-5D6E-409C-BE32-E72D297353CC}">
              <c16:uniqueId val="{00000001-E685-4F47-A1B8-E717B29F30B9}"/>
            </c:ext>
          </c:extLst>
        </c:ser>
        <c:ser>
          <c:idx val="2"/>
          <c:order val="2"/>
          <c:tx>
            <c:strRef>
              <c:f>'New Literacy'!$D$2</c:f>
              <c:strCache>
                <c:ptCount val="1"/>
                <c:pt idx="0">
                  <c:v>Post-secondary (non-tertiary)</c:v>
                </c:pt>
              </c:strCache>
            </c:strRef>
          </c:tx>
          <c:spPr>
            <a:ln>
              <a:noFill/>
            </a:ln>
          </c:spPr>
          <c:marker>
            <c:symbol val="diamond"/>
            <c:size val="6"/>
            <c:spPr>
              <a:solidFill>
                <a:srgbClr val="C0504D">
                  <a:lumMod val="60000"/>
                  <a:lumOff val="40000"/>
                </a:srgbClr>
              </a:solidFill>
              <a:ln>
                <a:solidFill>
                  <a:srgbClr val="C0504D">
                    <a:lumMod val="60000"/>
                    <a:lumOff val="40000"/>
                  </a:srgbClr>
                </a:solidFill>
              </a:ln>
            </c:spPr>
          </c:marker>
          <c:cat>
            <c:strRef>
              <c:f>'New Literacy'!$A$3:$A$19</c:f>
              <c:strCache>
                <c:ptCount val="17"/>
                <c:pt idx="0">
                  <c:v>FI</c:v>
                </c:pt>
                <c:pt idx="1">
                  <c:v>NL</c:v>
                </c:pt>
                <c:pt idx="2">
                  <c:v>BE (FL)</c:v>
                </c:pt>
                <c:pt idx="3">
                  <c:v>SE</c:v>
                </c:pt>
                <c:pt idx="4">
                  <c:v>EE</c:v>
                </c:pt>
                <c:pt idx="5">
                  <c:v>DE</c:v>
                </c:pt>
                <c:pt idx="6">
                  <c:v>AT</c:v>
                </c:pt>
                <c:pt idx="7">
                  <c:v>CZ</c:v>
                </c:pt>
                <c:pt idx="8">
                  <c:v>FR</c:v>
                </c:pt>
                <c:pt idx="9">
                  <c:v>EU-16</c:v>
                </c:pt>
                <c:pt idx="10">
                  <c:v>IE</c:v>
                </c:pt>
                <c:pt idx="11">
                  <c:v>UK (EN/NI)</c:v>
                </c:pt>
                <c:pt idx="12">
                  <c:v>DK</c:v>
                </c:pt>
                <c:pt idx="13">
                  <c:v>PL</c:v>
                </c:pt>
                <c:pt idx="14">
                  <c:v>SK</c:v>
                </c:pt>
                <c:pt idx="15">
                  <c:v>ES</c:v>
                </c:pt>
                <c:pt idx="16">
                  <c:v>IT</c:v>
                </c:pt>
              </c:strCache>
            </c:strRef>
          </c:cat>
          <c:val>
            <c:numRef>
              <c:f>'New Literacy'!$D$3:$D$19</c:f>
              <c:numCache>
                <c:formatCode>General</c:formatCode>
                <c:ptCount val="17"/>
                <c:pt idx="0">
                  <c:v>301.36</c:v>
                </c:pt>
                <c:pt idx="1">
                  <c:v>0</c:v>
                </c:pt>
                <c:pt idx="2">
                  <c:v>286.27</c:v>
                </c:pt>
                <c:pt idx="3">
                  <c:v>301.39</c:v>
                </c:pt>
                <c:pt idx="4">
                  <c:v>286.45</c:v>
                </c:pt>
                <c:pt idx="5">
                  <c:v>305.27</c:v>
                </c:pt>
                <c:pt idx="6">
                  <c:v>300.91000000000003</c:v>
                </c:pt>
                <c:pt idx="7">
                  <c:v>285.13</c:v>
                </c:pt>
                <c:pt idx="8">
                  <c:v>0</c:v>
                </c:pt>
                <c:pt idx="9">
                  <c:v>285.43</c:v>
                </c:pt>
                <c:pt idx="10">
                  <c:v>266.14999999999998</c:v>
                </c:pt>
                <c:pt idx="11">
                  <c:v>275.81</c:v>
                </c:pt>
                <c:pt idx="12">
                  <c:v>280.06</c:v>
                </c:pt>
                <c:pt idx="13">
                  <c:v>279.33999999999997</c:v>
                </c:pt>
                <c:pt idx="14">
                  <c:v>285.14</c:v>
                </c:pt>
                <c:pt idx="15">
                  <c:v>274.12</c:v>
                </c:pt>
                <c:pt idx="16">
                  <c:v>268.67</c:v>
                </c:pt>
              </c:numCache>
            </c:numRef>
          </c:val>
          <c:smooth val="0"/>
          <c:extLst>
            <c:ext xmlns:c16="http://schemas.microsoft.com/office/drawing/2014/chart" uri="{C3380CC4-5D6E-409C-BE32-E72D297353CC}">
              <c16:uniqueId val="{00000002-E685-4F47-A1B8-E717B29F30B9}"/>
            </c:ext>
          </c:extLst>
        </c:ser>
        <c:ser>
          <c:idx val="1"/>
          <c:order val="3"/>
          <c:tx>
            <c:strRef>
              <c:f>'New Literacy'!$C$2</c:f>
              <c:strCache>
                <c:ptCount val="1"/>
                <c:pt idx="0">
                  <c:v>Upper secondary</c:v>
                </c:pt>
              </c:strCache>
            </c:strRef>
          </c:tx>
          <c:spPr>
            <a:ln>
              <a:noFill/>
            </a:ln>
          </c:spPr>
          <c:marker>
            <c:symbol val="star"/>
            <c:size val="5"/>
            <c:spPr>
              <a:noFill/>
              <a:ln w="9525">
                <a:solidFill>
                  <a:srgbClr val="F79646">
                    <a:lumMod val="60000"/>
                    <a:lumOff val="40000"/>
                  </a:srgbClr>
                </a:solidFill>
              </a:ln>
            </c:spPr>
          </c:marker>
          <c:cat>
            <c:strRef>
              <c:f>'New Literacy'!$A$3:$A$19</c:f>
              <c:strCache>
                <c:ptCount val="17"/>
                <c:pt idx="0">
                  <c:v>FI</c:v>
                </c:pt>
                <c:pt idx="1">
                  <c:v>NL</c:v>
                </c:pt>
                <c:pt idx="2">
                  <c:v>BE (FL)</c:v>
                </c:pt>
                <c:pt idx="3">
                  <c:v>SE</c:v>
                </c:pt>
                <c:pt idx="4">
                  <c:v>EE</c:v>
                </c:pt>
                <c:pt idx="5">
                  <c:v>DE</c:v>
                </c:pt>
                <c:pt idx="6">
                  <c:v>AT</c:v>
                </c:pt>
                <c:pt idx="7">
                  <c:v>CZ</c:v>
                </c:pt>
                <c:pt idx="8">
                  <c:v>FR</c:v>
                </c:pt>
                <c:pt idx="9">
                  <c:v>EU-16</c:v>
                </c:pt>
                <c:pt idx="10">
                  <c:v>IE</c:v>
                </c:pt>
                <c:pt idx="11">
                  <c:v>UK (EN/NI)</c:v>
                </c:pt>
                <c:pt idx="12">
                  <c:v>DK</c:v>
                </c:pt>
                <c:pt idx="13">
                  <c:v>PL</c:v>
                </c:pt>
                <c:pt idx="14">
                  <c:v>SK</c:v>
                </c:pt>
                <c:pt idx="15">
                  <c:v>ES</c:v>
                </c:pt>
                <c:pt idx="16">
                  <c:v>IT</c:v>
                </c:pt>
              </c:strCache>
            </c:strRef>
          </c:cat>
          <c:val>
            <c:numRef>
              <c:f>'New Literacy'!$C$3:$C$19</c:f>
              <c:numCache>
                <c:formatCode>General</c:formatCode>
                <c:ptCount val="17"/>
                <c:pt idx="0">
                  <c:v>302.56</c:v>
                </c:pt>
                <c:pt idx="1">
                  <c:v>296.67</c:v>
                </c:pt>
                <c:pt idx="2">
                  <c:v>280</c:v>
                </c:pt>
                <c:pt idx="3">
                  <c:v>285.94</c:v>
                </c:pt>
                <c:pt idx="4">
                  <c:v>285.82</c:v>
                </c:pt>
                <c:pt idx="5">
                  <c:v>276.54000000000002</c:v>
                </c:pt>
                <c:pt idx="6">
                  <c:v>276.69</c:v>
                </c:pt>
                <c:pt idx="7">
                  <c:v>281.20999999999998</c:v>
                </c:pt>
                <c:pt idx="8">
                  <c:v>271.77</c:v>
                </c:pt>
                <c:pt idx="9">
                  <c:v>279.02</c:v>
                </c:pt>
                <c:pt idx="10">
                  <c:v>270.18</c:v>
                </c:pt>
                <c:pt idx="11">
                  <c:v>275.66000000000003</c:v>
                </c:pt>
                <c:pt idx="12">
                  <c:v>282.97000000000003</c:v>
                </c:pt>
                <c:pt idx="13">
                  <c:v>266.94</c:v>
                </c:pt>
                <c:pt idx="14">
                  <c:v>278.97000000000003</c:v>
                </c:pt>
                <c:pt idx="15">
                  <c:v>268.32</c:v>
                </c:pt>
                <c:pt idx="16">
                  <c:v>264.10000000000002</c:v>
                </c:pt>
              </c:numCache>
            </c:numRef>
          </c:val>
          <c:smooth val="0"/>
          <c:extLst>
            <c:ext xmlns:c16="http://schemas.microsoft.com/office/drawing/2014/chart" uri="{C3380CC4-5D6E-409C-BE32-E72D297353CC}">
              <c16:uniqueId val="{00000003-E685-4F47-A1B8-E717B29F30B9}"/>
            </c:ext>
          </c:extLst>
        </c:ser>
        <c:ser>
          <c:idx val="0"/>
          <c:order val="4"/>
          <c:tx>
            <c:strRef>
              <c:f>'New Literacy'!$B$2</c:f>
              <c:strCache>
                <c:ptCount val="1"/>
                <c:pt idx="0">
                  <c:v>Primary and Lower secondary</c:v>
                </c:pt>
              </c:strCache>
            </c:strRef>
          </c:tx>
          <c:spPr>
            <a:ln>
              <a:noFill/>
            </a:ln>
          </c:spPr>
          <c:marker>
            <c:symbol val="dash"/>
            <c:size val="5"/>
            <c:spPr>
              <a:solidFill>
                <a:schemeClr val="tx1"/>
              </a:solidFill>
              <a:ln>
                <a:solidFill>
                  <a:schemeClr val="tx1"/>
                </a:solidFill>
              </a:ln>
            </c:spPr>
          </c:marker>
          <c:cat>
            <c:strRef>
              <c:f>'New Literacy'!$A$3:$A$19</c:f>
              <c:strCache>
                <c:ptCount val="17"/>
                <c:pt idx="0">
                  <c:v>FI</c:v>
                </c:pt>
                <c:pt idx="1">
                  <c:v>NL</c:v>
                </c:pt>
                <c:pt idx="2">
                  <c:v>BE (FL)</c:v>
                </c:pt>
                <c:pt idx="3">
                  <c:v>SE</c:v>
                </c:pt>
                <c:pt idx="4">
                  <c:v>EE</c:v>
                </c:pt>
                <c:pt idx="5">
                  <c:v>DE</c:v>
                </c:pt>
                <c:pt idx="6">
                  <c:v>AT</c:v>
                </c:pt>
                <c:pt idx="7">
                  <c:v>CZ</c:v>
                </c:pt>
                <c:pt idx="8">
                  <c:v>FR</c:v>
                </c:pt>
                <c:pt idx="9">
                  <c:v>EU-16</c:v>
                </c:pt>
                <c:pt idx="10">
                  <c:v>IE</c:v>
                </c:pt>
                <c:pt idx="11">
                  <c:v>UK (EN/NI)</c:v>
                </c:pt>
                <c:pt idx="12">
                  <c:v>DK</c:v>
                </c:pt>
                <c:pt idx="13">
                  <c:v>PL</c:v>
                </c:pt>
                <c:pt idx="14">
                  <c:v>SK</c:v>
                </c:pt>
                <c:pt idx="15">
                  <c:v>ES</c:v>
                </c:pt>
                <c:pt idx="16">
                  <c:v>IT</c:v>
                </c:pt>
              </c:strCache>
            </c:strRef>
          </c:cat>
          <c:val>
            <c:numRef>
              <c:f>'New Literacy'!$B$3:$B$19</c:f>
              <c:numCache>
                <c:formatCode>General</c:formatCode>
                <c:ptCount val="17"/>
                <c:pt idx="0">
                  <c:v>264.89999999999998</c:v>
                </c:pt>
                <c:pt idx="1">
                  <c:v>260.02999999999997</c:v>
                </c:pt>
                <c:pt idx="2">
                  <c:v>240.09</c:v>
                </c:pt>
                <c:pt idx="3">
                  <c:v>251.8</c:v>
                </c:pt>
                <c:pt idx="4">
                  <c:v>254.63</c:v>
                </c:pt>
                <c:pt idx="5">
                  <c:v>241.35</c:v>
                </c:pt>
                <c:pt idx="6">
                  <c:v>241.16</c:v>
                </c:pt>
                <c:pt idx="7">
                  <c:v>258.26</c:v>
                </c:pt>
                <c:pt idx="8">
                  <c:v>233.14</c:v>
                </c:pt>
                <c:pt idx="9">
                  <c:v>243.84</c:v>
                </c:pt>
                <c:pt idx="10">
                  <c:v>234.84</c:v>
                </c:pt>
                <c:pt idx="11">
                  <c:v>235.2</c:v>
                </c:pt>
                <c:pt idx="12">
                  <c:v>246.34</c:v>
                </c:pt>
                <c:pt idx="13">
                  <c:v>241.62</c:v>
                </c:pt>
                <c:pt idx="14">
                  <c:v>231.9</c:v>
                </c:pt>
                <c:pt idx="15">
                  <c:v>237.1</c:v>
                </c:pt>
                <c:pt idx="16">
                  <c:v>229.13</c:v>
                </c:pt>
              </c:numCache>
            </c:numRef>
          </c:val>
          <c:smooth val="0"/>
          <c:extLst>
            <c:ext xmlns:c16="http://schemas.microsoft.com/office/drawing/2014/chart" uri="{C3380CC4-5D6E-409C-BE32-E72D297353CC}">
              <c16:uniqueId val="{00000004-E685-4F47-A1B8-E717B29F30B9}"/>
            </c:ext>
          </c:extLst>
        </c:ser>
        <c:dLbls>
          <c:showLegendKey val="0"/>
          <c:showVal val="0"/>
          <c:showCatName val="0"/>
          <c:showSerName val="0"/>
          <c:showPercent val="0"/>
          <c:showBubbleSize val="0"/>
        </c:dLbls>
        <c:marker val="1"/>
        <c:smooth val="0"/>
        <c:axId val="333374696"/>
        <c:axId val="359110024"/>
      </c:lineChart>
      <c:catAx>
        <c:axId val="333374696"/>
        <c:scaling>
          <c:orientation val="minMax"/>
        </c:scaling>
        <c:delete val="0"/>
        <c:axPos val="b"/>
        <c:majorGridlines>
          <c:spPr>
            <a:ln w="6350">
              <a:prstDash val="dash"/>
            </a:ln>
          </c:spPr>
        </c:majorGridlines>
        <c:numFmt formatCode="General" sourceLinked="1"/>
        <c:majorTickMark val="in"/>
        <c:minorTickMark val="none"/>
        <c:tickLblPos val="nextTo"/>
        <c:spPr>
          <a:ln>
            <a:solidFill>
              <a:sysClr val="windowText" lastClr="000000"/>
            </a:solidFill>
          </a:ln>
        </c:spPr>
        <c:crossAx val="359110024"/>
        <c:crosses val="autoZero"/>
        <c:auto val="1"/>
        <c:lblAlgn val="ctr"/>
        <c:lblOffset val="100"/>
        <c:noMultiLvlLbl val="0"/>
      </c:catAx>
      <c:valAx>
        <c:axId val="359110024"/>
        <c:scaling>
          <c:orientation val="minMax"/>
          <c:max val="340"/>
          <c:min val="140"/>
        </c:scaling>
        <c:delete val="0"/>
        <c:axPos val="l"/>
        <c:majorGridlines>
          <c:spPr>
            <a:ln>
              <a:prstDash val="dash"/>
            </a:ln>
          </c:spPr>
        </c:majorGridlines>
        <c:numFmt formatCode="General" sourceLinked="1"/>
        <c:majorTickMark val="in"/>
        <c:minorTickMark val="none"/>
        <c:tickLblPos val="nextTo"/>
        <c:spPr>
          <a:ln>
            <a:solidFill>
              <a:sysClr val="windowText" lastClr="000000"/>
            </a:solidFill>
          </a:ln>
        </c:spPr>
        <c:crossAx val="333374696"/>
        <c:crosses val="autoZero"/>
        <c:crossBetween val="between"/>
      </c:valAx>
    </c:plotArea>
    <c:legend>
      <c:legendPos val="r"/>
      <c:layout>
        <c:manualLayout>
          <c:xMode val="edge"/>
          <c:yMode val="edge"/>
          <c:x val="0.79552426230394113"/>
          <c:y val="5.6028255855326829E-2"/>
          <c:w val="0.19096760522719289"/>
          <c:h val="0.84370351755042938"/>
        </c:manualLayout>
      </c:layout>
      <c:overlay val="0"/>
    </c:legend>
    <c:plotVisOnly val="1"/>
    <c:dispBlanksAs val="gap"/>
    <c:showDLblsOverMax val="0"/>
  </c:chart>
  <c:spPr>
    <a:ln>
      <a:noFill/>
    </a:ln>
  </c:spPr>
  <c:externalData r:id="rId2">
    <c:autoUpdate val="0"/>
  </c:externalData>
  <c:userShapes r:id="rId3"/>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invertIfNegative val="0"/>
          <c:dPt>
            <c:idx val="7"/>
            <c:invertIfNegative val="0"/>
            <c:bubble3D val="0"/>
            <c:extLst>
              <c:ext xmlns:c16="http://schemas.microsoft.com/office/drawing/2014/chart" uri="{C3380CC4-5D6E-409C-BE32-E72D297353CC}">
                <c16:uniqueId val="{00000000-D842-4C69-9182-14710DF6FE90}"/>
              </c:ext>
            </c:extLst>
          </c:dPt>
          <c:dPt>
            <c:idx val="9"/>
            <c:invertIfNegative val="0"/>
            <c:bubble3D val="0"/>
            <c:spPr>
              <a:solidFill>
                <a:schemeClr val="accent2">
                  <a:lumMod val="60000"/>
                  <a:lumOff val="40000"/>
                </a:schemeClr>
              </a:solidFill>
            </c:spPr>
            <c:extLst>
              <c:ext xmlns:c16="http://schemas.microsoft.com/office/drawing/2014/chart" uri="{C3380CC4-5D6E-409C-BE32-E72D297353CC}">
                <c16:uniqueId val="{00000002-D842-4C69-9182-14710DF6FE90}"/>
              </c:ext>
            </c:extLst>
          </c:dPt>
          <c:dPt>
            <c:idx val="16"/>
            <c:invertIfNegative val="0"/>
            <c:bubble3D val="0"/>
            <c:extLst>
              <c:ext xmlns:c16="http://schemas.microsoft.com/office/drawing/2014/chart" uri="{C3380CC4-5D6E-409C-BE32-E72D297353CC}">
                <c16:uniqueId val="{00000003-D842-4C69-9182-14710DF6FE90}"/>
              </c:ext>
            </c:extLst>
          </c:dPt>
          <c:errBars>
            <c:errBarType val="both"/>
            <c:errValType val="cust"/>
            <c:noEndCap val="0"/>
            <c:plus>
              <c:numRef>
                <c:f>'Numeracy '!$H$22:$H$38</c:f>
                <c:numCache>
                  <c:formatCode>General</c:formatCode>
                  <c:ptCount val="17"/>
                  <c:pt idx="0">
                    <c:v>1.9446531999999999E-2</c:v>
                  </c:pt>
                  <c:pt idx="1">
                    <c:v>1.3903259999999999E-2</c:v>
                  </c:pt>
                  <c:pt idx="2">
                    <c:v>1.548008E-2</c:v>
                  </c:pt>
                  <c:pt idx="3">
                    <c:v>1.5664516E-2</c:v>
                  </c:pt>
                  <c:pt idx="4">
                    <c:v>7.9444679999999997E-3</c:v>
                  </c:pt>
                  <c:pt idx="5">
                    <c:v>1.6960664E-2</c:v>
                  </c:pt>
                  <c:pt idx="6">
                    <c:v>1.0579100000000001E-2</c:v>
                  </c:pt>
                  <c:pt idx="7">
                    <c:v>2.0434371999999999E-2</c:v>
                  </c:pt>
                  <c:pt idx="8">
                    <c:v>1.5773688000000001E-2</c:v>
                  </c:pt>
                  <c:pt idx="9">
                    <c:v>1.4363859999999999E-2</c:v>
                  </c:pt>
                  <c:pt idx="10">
                    <c:v>1.3320943999999999E-2</c:v>
                  </c:pt>
                  <c:pt idx="11">
                    <c:v>1.7590412E-2</c:v>
                  </c:pt>
                  <c:pt idx="12">
                    <c:v>1.6564547999999998E-2</c:v>
                  </c:pt>
                  <c:pt idx="13">
                    <c:v>1.4364839999999999E-2</c:v>
                  </c:pt>
                  <c:pt idx="14">
                    <c:v>2.0151347999999999E-2</c:v>
                  </c:pt>
                  <c:pt idx="15">
                    <c:v>1.8239564E-2</c:v>
                  </c:pt>
                  <c:pt idx="16">
                    <c:v>1.7823064E-2</c:v>
                  </c:pt>
                </c:numCache>
              </c:numRef>
            </c:plus>
            <c:minus>
              <c:numRef>
                <c:f>'Numeracy '!$H$22:$H$38</c:f>
                <c:numCache>
                  <c:formatCode>General</c:formatCode>
                  <c:ptCount val="17"/>
                  <c:pt idx="0">
                    <c:v>1.9446531999999999E-2</c:v>
                  </c:pt>
                  <c:pt idx="1">
                    <c:v>1.3903259999999999E-2</c:v>
                  </c:pt>
                  <c:pt idx="2">
                    <c:v>1.548008E-2</c:v>
                  </c:pt>
                  <c:pt idx="3">
                    <c:v>1.5664516E-2</c:v>
                  </c:pt>
                  <c:pt idx="4">
                    <c:v>7.9444679999999997E-3</c:v>
                  </c:pt>
                  <c:pt idx="5">
                    <c:v>1.6960664E-2</c:v>
                  </c:pt>
                  <c:pt idx="6">
                    <c:v>1.0579100000000001E-2</c:v>
                  </c:pt>
                  <c:pt idx="7">
                    <c:v>2.0434371999999999E-2</c:v>
                  </c:pt>
                  <c:pt idx="8">
                    <c:v>1.5773688000000001E-2</c:v>
                  </c:pt>
                  <c:pt idx="9">
                    <c:v>1.4363859999999999E-2</c:v>
                  </c:pt>
                  <c:pt idx="10">
                    <c:v>1.3320943999999999E-2</c:v>
                  </c:pt>
                  <c:pt idx="11">
                    <c:v>1.7590412E-2</c:v>
                  </c:pt>
                  <c:pt idx="12">
                    <c:v>1.6564547999999998E-2</c:v>
                  </c:pt>
                  <c:pt idx="13">
                    <c:v>1.4364839999999999E-2</c:v>
                  </c:pt>
                  <c:pt idx="14">
                    <c:v>2.0151347999999999E-2</c:v>
                  </c:pt>
                  <c:pt idx="15">
                    <c:v>1.8239564E-2</c:v>
                  </c:pt>
                  <c:pt idx="16">
                    <c:v>1.7823064E-2</c:v>
                  </c:pt>
                </c:numCache>
              </c:numRef>
            </c:minus>
          </c:errBars>
          <c:cat>
            <c:strRef>
              <c:f>'Numeracy '!$A$22:$A$38</c:f>
              <c:strCache>
                <c:ptCount val="17"/>
                <c:pt idx="0">
                  <c:v>SK</c:v>
                </c:pt>
                <c:pt idx="1">
                  <c:v>DK</c:v>
                </c:pt>
                <c:pt idx="2">
                  <c:v>EE</c:v>
                </c:pt>
                <c:pt idx="3">
                  <c:v>DE</c:v>
                </c:pt>
                <c:pt idx="4">
                  <c:v>IT</c:v>
                </c:pt>
                <c:pt idx="5">
                  <c:v>UK (EN/NI)</c:v>
                </c:pt>
                <c:pt idx="6">
                  <c:v>ES</c:v>
                </c:pt>
                <c:pt idx="7">
                  <c:v>BE (FL)</c:v>
                </c:pt>
                <c:pt idx="8">
                  <c:v>SE</c:v>
                </c:pt>
                <c:pt idx="9">
                  <c:v>EU-16</c:v>
                </c:pt>
                <c:pt idx="10">
                  <c:v>NL</c:v>
                </c:pt>
                <c:pt idx="11">
                  <c:v>IE</c:v>
                </c:pt>
                <c:pt idx="12">
                  <c:v>FI</c:v>
                </c:pt>
                <c:pt idx="13">
                  <c:v>AT</c:v>
                </c:pt>
                <c:pt idx="14">
                  <c:v>PL</c:v>
                </c:pt>
                <c:pt idx="15">
                  <c:v>CZ</c:v>
                </c:pt>
                <c:pt idx="16">
                  <c:v>FR</c:v>
                </c:pt>
              </c:strCache>
            </c:strRef>
          </c:cat>
          <c:val>
            <c:numRef>
              <c:f>'Numeracy '!$B$22:$B$38</c:f>
              <c:numCache>
                <c:formatCode>General</c:formatCode>
                <c:ptCount val="17"/>
                <c:pt idx="0">
                  <c:v>0.14196639999999999</c:v>
                </c:pt>
                <c:pt idx="1">
                  <c:v>0.12536149999999999</c:v>
                </c:pt>
                <c:pt idx="2">
                  <c:v>0.1176378</c:v>
                </c:pt>
                <c:pt idx="3">
                  <c:v>0.11179840000000001</c:v>
                </c:pt>
                <c:pt idx="4">
                  <c:v>0.1103172</c:v>
                </c:pt>
                <c:pt idx="5">
                  <c:v>0.11008179999999999</c:v>
                </c:pt>
                <c:pt idx="6">
                  <c:v>0.10909199999999999</c:v>
                </c:pt>
                <c:pt idx="7">
                  <c:v>0.1033562</c:v>
                </c:pt>
                <c:pt idx="8">
                  <c:v>0.1030595</c:v>
                </c:pt>
                <c:pt idx="9">
                  <c:v>0.1011417</c:v>
                </c:pt>
                <c:pt idx="10">
                  <c:v>9.8846000000000003E-2</c:v>
                </c:pt>
                <c:pt idx="11">
                  <c:v>9.8408499999999996E-2</c:v>
                </c:pt>
                <c:pt idx="12">
                  <c:v>9.7814200000000004E-2</c:v>
                </c:pt>
                <c:pt idx="13">
                  <c:v>9.5615699999999998E-2</c:v>
                </c:pt>
                <c:pt idx="14">
                  <c:v>9.1651999999999997E-2</c:v>
                </c:pt>
                <c:pt idx="15">
                  <c:v>7.8859499999999999E-2</c:v>
                </c:pt>
                <c:pt idx="16">
                  <c:v>6.6569900000000001E-2</c:v>
                </c:pt>
              </c:numCache>
            </c:numRef>
          </c:val>
          <c:extLst>
            <c:ext xmlns:c16="http://schemas.microsoft.com/office/drawing/2014/chart" uri="{C3380CC4-5D6E-409C-BE32-E72D297353CC}">
              <c16:uniqueId val="{00000004-D842-4C69-9182-14710DF6FE90}"/>
            </c:ext>
          </c:extLst>
        </c:ser>
        <c:dLbls>
          <c:showLegendKey val="0"/>
          <c:showVal val="0"/>
          <c:showCatName val="0"/>
          <c:showSerName val="0"/>
          <c:showPercent val="0"/>
          <c:showBubbleSize val="0"/>
        </c:dLbls>
        <c:gapWidth val="100"/>
        <c:axId val="359110808"/>
        <c:axId val="359111200"/>
      </c:barChart>
      <c:catAx>
        <c:axId val="359110808"/>
        <c:scaling>
          <c:orientation val="minMax"/>
        </c:scaling>
        <c:delete val="0"/>
        <c:axPos val="b"/>
        <c:numFmt formatCode="General" sourceLinked="0"/>
        <c:majorTickMark val="in"/>
        <c:minorTickMark val="none"/>
        <c:tickLblPos val="nextTo"/>
        <c:spPr>
          <a:ln>
            <a:solidFill>
              <a:schemeClr val="tx1"/>
            </a:solidFill>
          </a:ln>
        </c:spPr>
        <c:txPr>
          <a:bodyPr/>
          <a:lstStyle/>
          <a:p>
            <a:pPr>
              <a:defRPr sz="900"/>
            </a:pPr>
            <a:endParaRPr lang="en-US"/>
          </a:p>
        </c:txPr>
        <c:crossAx val="359111200"/>
        <c:crosses val="autoZero"/>
        <c:auto val="1"/>
        <c:lblAlgn val="ctr"/>
        <c:lblOffset val="100"/>
        <c:noMultiLvlLbl val="0"/>
      </c:catAx>
      <c:valAx>
        <c:axId val="359111200"/>
        <c:scaling>
          <c:orientation val="minMax"/>
        </c:scaling>
        <c:delete val="0"/>
        <c:axPos val="l"/>
        <c:majorGridlines>
          <c:spPr>
            <a:ln>
              <a:solidFill>
                <a:schemeClr val="bg1">
                  <a:lumMod val="85000"/>
                </a:schemeClr>
              </a:solidFill>
              <a:prstDash val="dash"/>
            </a:ln>
          </c:spPr>
        </c:majorGridlines>
        <c:numFmt formatCode="#,##0.00" sourceLinked="0"/>
        <c:majorTickMark val="in"/>
        <c:minorTickMark val="none"/>
        <c:tickLblPos val="nextTo"/>
        <c:spPr>
          <a:ln>
            <a:solidFill>
              <a:schemeClr val="tx1"/>
            </a:solidFill>
          </a:ln>
        </c:spPr>
        <c:crossAx val="359110808"/>
        <c:crosses val="autoZero"/>
        <c:crossBetween val="between"/>
      </c:valAx>
    </c:plotArea>
    <c:plotVisOnly val="1"/>
    <c:dispBlanksAs val="gap"/>
    <c:showDLblsOverMax val="0"/>
  </c:chart>
  <c:spPr>
    <a:ln>
      <a:noFill/>
    </a:ln>
  </c:sp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rgbClr val="1F497D">
                <a:lumMod val="60000"/>
                <a:lumOff val="40000"/>
              </a:srgbClr>
            </a:solidFill>
          </c:spPr>
          <c:invertIfNegative val="0"/>
          <c:dPt>
            <c:idx val="7"/>
            <c:invertIfNegative val="0"/>
            <c:bubble3D val="0"/>
            <c:extLst>
              <c:ext xmlns:c16="http://schemas.microsoft.com/office/drawing/2014/chart" uri="{C3380CC4-5D6E-409C-BE32-E72D297353CC}">
                <c16:uniqueId val="{00000000-412E-437E-82DA-5CD3D08CB063}"/>
              </c:ext>
            </c:extLst>
          </c:dPt>
          <c:dPt>
            <c:idx val="9"/>
            <c:invertIfNegative val="0"/>
            <c:bubble3D val="0"/>
            <c:spPr>
              <a:solidFill>
                <a:srgbClr val="C0504D">
                  <a:lumMod val="60000"/>
                  <a:lumOff val="40000"/>
                </a:srgbClr>
              </a:solidFill>
            </c:spPr>
            <c:extLst>
              <c:ext xmlns:c16="http://schemas.microsoft.com/office/drawing/2014/chart" uri="{C3380CC4-5D6E-409C-BE32-E72D297353CC}">
                <c16:uniqueId val="{00000002-412E-437E-82DA-5CD3D08CB063}"/>
              </c:ext>
            </c:extLst>
          </c:dPt>
          <c:dPt>
            <c:idx val="16"/>
            <c:invertIfNegative val="0"/>
            <c:bubble3D val="0"/>
            <c:extLst>
              <c:ext xmlns:c16="http://schemas.microsoft.com/office/drawing/2014/chart" uri="{C3380CC4-5D6E-409C-BE32-E72D297353CC}">
                <c16:uniqueId val="{00000003-412E-437E-82DA-5CD3D08CB063}"/>
              </c:ext>
            </c:extLst>
          </c:dPt>
          <c:errBars>
            <c:errBarType val="both"/>
            <c:errValType val="cust"/>
            <c:noEndCap val="0"/>
            <c:plus>
              <c:numRef>
                <c:f>Literacy!$H$23:$H$39</c:f>
                <c:numCache>
                  <c:formatCode>General</c:formatCode>
                  <c:ptCount val="17"/>
                  <c:pt idx="0">
                    <c:v>1.1684735999999999E-2</c:v>
                  </c:pt>
                  <c:pt idx="1">
                    <c:v>8.3999720000000003E-3</c:v>
                  </c:pt>
                  <c:pt idx="2">
                    <c:v>9.4530799999999991E-3</c:v>
                  </c:pt>
                  <c:pt idx="3">
                    <c:v>9.97346E-3</c:v>
                  </c:pt>
                  <c:pt idx="4">
                    <c:v>3.9517520000000002E-3</c:v>
                  </c:pt>
                  <c:pt idx="5">
                    <c:v>1.0864476E-2</c:v>
                  </c:pt>
                  <c:pt idx="6">
                    <c:v>8.6181199999999999E-3</c:v>
                  </c:pt>
                  <c:pt idx="7">
                    <c:v>9.2347360000000003E-3</c:v>
                  </c:pt>
                  <c:pt idx="8">
                    <c:v>6.1518519999999993E-3</c:v>
                  </c:pt>
                  <c:pt idx="9">
                    <c:v>9.31098E-3</c:v>
                  </c:pt>
                  <c:pt idx="10">
                    <c:v>7.6604640000000005E-3</c:v>
                  </c:pt>
                  <c:pt idx="11">
                    <c:v>9.9352399999999997E-3</c:v>
                  </c:pt>
                  <c:pt idx="12">
                    <c:v>1.2700211999999999E-2</c:v>
                  </c:pt>
                  <c:pt idx="13">
                    <c:v>9.4309320000000012E-3</c:v>
                  </c:pt>
                  <c:pt idx="14">
                    <c:v>1.1717468E-2</c:v>
                  </c:pt>
                  <c:pt idx="15">
                    <c:v>1.0170439999999999E-2</c:v>
                  </c:pt>
                  <c:pt idx="16">
                    <c:v>1.2218836E-2</c:v>
                  </c:pt>
                </c:numCache>
              </c:numRef>
            </c:plus>
            <c:minus>
              <c:numRef>
                <c:f>Literacy!$H$23:$H$39</c:f>
                <c:numCache>
                  <c:formatCode>General</c:formatCode>
                  <c:ptCount val="17"/>
                  <c:pt idx="0">
                    <c:v>1.1684735999999999E-2</c:v>
                  </c:pt>
                  <c:pt idx="1">
                    <c:v>8.3999720000000003E-3</c:v>
                  </c:pt>
                  <c:pt idx="2">
                    <c:v>9.4530799999999991E-3</c:v>
                  </c:pt>
                  <c:pt idx="3">
                    <c:v>9.97346E-3</c:v>
                  </c:pt>
                  <c:pt idx="4">
                    <c:v>3.9517520000000002E-3</c:v>
                  </c:pt>
                  <c:pt idx="5">
                    <c:v>1.0864476E-2</c:v>
                  </c:pt>
                  <c:pt idx="6">
                    <c:v>8.6181199999999999E-3</c:v>
                  </c:pt>
                  <c:pt idx="7">
                    <c:v>9.2347360000000003E-3</c:v>
                  </c:pt>
                  <c:pt idx="8">
                    <c:v>6.1518519999999993E-3</c:v>
                  </c:pt>
                  <c:pt idx="9">
                    <c:v>9.31098E-3</c:v>
                  </c:pt>
                  <c:pt idx="10">
                    <c:v>7.6604640000000005E-3</c:v>
                  </c:pt>
                  <c:pt idx="11">
                    <c:v>9.9352399999999997E-3</c:v>
                  </c:pt>
                  <c:pt idx="12">
                    <c:v>1.2700211999999999E-2</c:v>
                  </c:pt>
                  <c:pt idx="13">
                    <c:v>9.4309320000000012E-3</c:v>
                  </c:pt>
                  <c:pt idx="14">
                    <c:v>1.1717468E-2</c:v>
                  </c:pt>
                  <c:pt idx="15">
                    <c:v>1.0170439999999999E-2</c:v>
                  </c:pt>
                  <c:pt idx="16">
                    <c:v>1.2218836E-2</c:v>
                  </c:pt>
                </c:numCache>
              </c:numRef>
            </c:minus>
          </c:errBars>
          <c:cat>
            <c:strRef>
              <c:f>Literacy!$A$23:$A$39</c:f>
              <c:strCache>
                <c:ptCount val="17"/>
                <c:pt idx="0">
                  <c:v>SK</c:v>
                </c:pt>
                <c:pt idx="1">
                  <c:v>DK</c:v>
                </c:pt>
                <c:pt idx="2">
                  <c:v>EE</c:v>
                </c:pt>
                <c:pt idx="3">
                  <c:v>UK (EN/NI)</c:v>
                </c:pt>
                <c:pt idx="4">
                  <c:v>IT</c:v>
                </c:pt>
                <c:pt idx="5">
                  <c:v>IE</c:v>
                </c:pt>
                <c:pt idx="6">
                  <c:v>AT</c:v>
                </c:pt>
                <c:pt idx="7">
                  <c:v>DE</c:v>
                </c:pt>
                <c:pt idx="8">
                  <c:v>ES</c:v>
                </c:pt>
                <c:pt idx="9">
                  <c:v>EU-16</c:v>
                </c:pt>
                <c:pt idx="10">
                  <c:v>NL</c:v>
                </c:pt>
                <c:pt idx="11">
                  <c:v>FI</c:v>
                </c:pt>
                <c:pt idx="12">
                  <c:v>BE (FL)</c:v>
                </c:pt>
                <c:pt idx="13">
                  <c:v>SE</c:v>
                </c:pt>
                <c:pt idx="14">
                  <c:v>CZ</c:v>
                </c:pt>
                <c:pt idx="15">
                  <c:v>FR</c:v>
                </c:pt>
                <c:pt idx="16">
                  <c:v>PL</c:v>
                </c:pt>
              </c:strCache>
            </c:strRef>
          </c:cat>
          <c:val>
            <c:numRef>
              <c:f>Literacy!$B$23:$B$39</c:f>
              <c:numCache>
                <c:formatCode>General</c:formatCode>
                <c:ptCount val="17"/>
                <c:pt idx="0">
                  <c:v>0.1292333</c:v>
                </c:pt>
                <c:pt idx="1">
                  <c:v>0.1091</c:v>
                </c:pt>
                <c:pt idx="2">
                  <c:v>0.1010697</c:v>
                </c:pt>
                <c:pt idx="3">
                  <c:v>0.1004094</c:v>
                </c:pt>
                <c:pt idx="4">
                  <c:v>9.2944600000000002E-2</c:v>
                </c:pt>
                <c:pt idx="5">
                  <c:v>9.1783900000000002E-2</c:v>
                </c:pt>
                <c:pt idx="6">
                  <c:v>8.9695999999999998E-2</c:v>
                </c:pt>
                <c:pt idx="7">
                  <c:v>8.9689099999999994E-2</c:v>
                </c:pt>
                <c:pt idx="8">
                  <c:v>8.9268799999999995E-2</c:v>
                </c:pt>
                <c:pt idx="9">
                  <c:v>8.5761799999999999E-2</c:v>
                </c:pt>
                <c:pt idx="10">
                  <c:v>8.2240099999999997E-2</c:v>
                </c:pt>
                <c:pt idx="11">
                  <c:v>8.1549999999999997E-2</c:v>
                </c:pt>
                <c:pt idx="12">
                  <c:v>7.62848E-2</c:v>
                </c:pt>
                <c:pt idx="13">
                  <c:v>7.4912000000000006E-2</c:v>
                </c:pt>
                <c:pt idx="14">
                  <c:v>7.4536500000000006E-2</c:v>
                </c:pt>
                <c:pt idx="15">
                  <c:v>7.1502700000000002E-2</c:v>
                </c:pt>
                <c:pt idx="16">
                  <c:v>6.6417699999999996E-2</c:v>
                </c:pt>
              </c:numCache>
            </c:numRef>
          </c:val>
          <c:extLst>
            <c:ext xmlns:c16="http://schemas.microsoft.com/office/drawing/2014/chart" uri="{C3380CC4-5D6E-409C-BE32-E72D297353CC}">
              <c16:uniqueId val="{00000004-412E-437E-82DA-5CD3D08CB063}"/>
            </c:ext>
          </c:extLst>
        </c:ser>
        <c:dLbls>
          <c:showLegendKey val="0"/>
          <c:showVal val="0"/>
          <c:showCatName val="0"/>
          <c:showSerName val="0"/>
          <c:showPercent val="0"/>
          <c:showBubbleSize val="0"/>
        </c:dLbls>
        <c:gapWidth val="100"/>
        <c:axId val="359111984"/>
        <c:axId val="359112376"/>
      </c:barChart>
      <c:catAx>
        <c:axId val="359111984"/>
        <c:scaling>
          <c:orientation val="minMax"/>
        </c:scaling>
        <c:delete val="0"/>
        <c:axPos val="b"/>
        <c:numFmt formatCode="General" sourceLinked="0"/>
        <c:majorTickMark val="in"/>
        <c:minorTickMark val="none"/>
        <c:tickLblPos val="nextTo"/>
        <c:spPr>
          <a:ln>
            <a:solidFill>
              <a:sysClr val="windowText" lastClr="000000"/>
            </a:solidFill>
          </a:ln>
        </c:spPr>
        <c:txPr>
          <a:bodyPr/>
          <a:lstStyle/>
          <a:p>
            <a:pPr>
              <a:defRPr sz="900"/>
            </a:pPr>
            <a:endParaRPr lang="en-US"/>
          </a:p>
        </c:txPr>
        <c:crossAx val="359112376"/>
        <c:crosses val="autoZero"/>
        <c:auto val="1"/>
        <c:lblAlgn val="ctr"/>
        <c:lblOffset val="100"/>
        <c:noMultiLvlLbl val="0"/>
      </c:catAx>
      <c:valAx>
        <c:axId val="359112376"/>
        <c:scaling>
          <c:orientation val="minMax"/>
        </c:scaling>
        <c:delete val="0"/>
        <c:axPos val="l"/>
        <c:majorGridlines>
          <c:spPr>
            <a:ln>
              <a:solidFill>
                <a:sysClr val="window" lastClr="FFFFFF">
                  <a:lumMod val="75000"/>
                </a:sysClr>
              </a:solidFill>
              <a:prstDash val="dash"/>
            </a:ln>
          </c:spPr>
        </c:majorGridlines>
        <c:numFmt formatCode="#,##0.00" sourceLinked="0"/>
        <c:majorTickMark val="in"/>
        <c:minorTickMark val="none"/>
        <c:tickLblPos val="nextTo"/>
        <c:spPr>
          <a:ln>
            <a:solidFill>
              <a:sysClr val="windowText" lastClr="000000"/>
            </a:solidFill>
          </a:ln>
        </c:spPr>
        <c:crossAx val="359111984"/>
        <c:crosses val="autoZero"/>
        <c:crossBetween val="between"/>
      </c:valAx>
    </c:plotArea>
    <c:plotVisOnly val="1"/>
    <c:dispBlanksAs val="gap"/>
    <c:showDLblsOverMax val="0"/>
  </c:chart>
  <c:spPr>
    <a:ln>
      <a:noFill/>
    </a:ln>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Pt>
            <c:idx val="7"/>
            <c:invertIfNegative val="0"/>
            <c:bubble3D val="0"/>
            <c:spPr>
              <a:solidFill>
                <a:schemeClr val="accent2">
                  <a:lumMod val="60000"/>
                  <a:lumOff val="40000"/>
                </a:schemeClr>
              </a:solidFill>
            </c:spPr>
            <c:extLst>
              <c:ext xmlns:c16="http://schemas.microsoft.com/office/drawing/2014/chart" uri="{C3380CC4-5D6E-409C-BE32-E72D297353CC}">
                <c16:uniqueId val="{00000001-6200-4023-8AD5-B9748457A54E}"/>
              </c:ext>
            </c:extLst>
          </c:dPt>
          <c:dPt>
            <c:idx val="16"/>
            <c:invertIfNegative val="0"/>
            <c:bubble3D val="0"/>
            <c:extLst>
              <c:ext xmlns:c16="http://schemas.microsoft.com/office/drawing/2014/chart" uri="{C3380CC4-5D6E-409C-BE32-E72D297353CC}">
                <c16:uniqueId val="{00000002-6200-4023-8AD5-B9748457A54E}"/>
              </c:ext>
            </c:extLst>
          </c:dPt>
          <c:errBars>
            <c:errBarType val="both"/>
            <c:errValType val="cust"/>
            <c:noEndCap val="0"/>
            <c:plus>
              <c:numRef>
                <c:f>'Numeracy '!$H$3:$H$19</c:f>
                <c:numCache>
                  <c:formatCode>General</c:formatCode>
                  <c:ptCount val="17"/>
                  <c:pt idx="0">
                    <c:v>9.2461039999999998E-3</c:v>
                  </c:pt>
                  <c:pt idx="1">
                    <c:v>6.2476959999999996E-3</c:v>
                  </c:pt>
                  <c:pt idx="2">
                    <c:v>6.4164519999999996E-3</c:v>
                  </c:pt>
                  <c:pt idx="3">
                    <c:v>6.3872479999999999E-3</c:v>
                  </c:pt>
                  <c:pt idx="4">
                    <c:v>7.9413320000000006E-3</c:v>
                  </c:pt>
                  <c:pt idx="5">
                    <c:v>1.126314E-2</c:v>
                  </c:pt>
                  <c:pt idx="6">
                    <c:v>4.9293999999999996E-3</c:v>
                  </c:pt>
                  <c:pt idx="7">
                    <c:v>1.4155316000000001E-2</c:v>
                  </c:pt>
                  <c:pt idx="8">
                    <c:v>8.2202400000000002E-3</c:v>
                  </c:pt>
                  <c:pt idx="9">
                    <c:v>9.2341479999999993E-3</c:v>
                  </c:pt>
                  <c:pt idx="10">
                    <c:v>7.1061759999999996E-3</c:v>
                  </c:pt>
                  <c:pt idx="11">
                    <c:v>9.0938119999999997E-3</c:v>
                  </c:pt>
                  <c:pt idx="12">
                    <c:v>1.226176E-2</c:v>
                  </c:pt>
                  <c:pt idx="13">
                    <c:v>8.6496759999999985E-3</c:v>
                  </c:pt>
                  <c:pt idx="14">
                    <c:v>9.656528000000001E-3</c:v>
                  </c:pt>
                  <c:pt idx="15">
                    <c:v>6.3286439999999996E-3</c:v>
                  </c:pt>
                  <c:pt idx="16">
                    <c:v>8.9217240000000007E-3</c:v>
                  </c:pt>
                </c:numCache>
              </c:numRef>
            </c:plus>
            <c:minus>
              <c:numRef>
                <c:f>'Numeracy '!$H$3:$H$19</c:f>
                <c:numCache>
                  <c:formatCode>General</c:formatCode>
                  <c:ptCount val="17"/>
                  <c:pt idx="0">
                    <c:v>9.2461039999999998E-3</c:v>
                  </c:pt>
                  <c:pt idx="1">
                    <c:v>6.2476959999999996E-3</c:v>
                  </c:pt>
                  <c:pt idx="2">
                    <c:v>6.4164519999999996E-3</c:v>
                  </c:pt>
                  <c:pt idx="3">
                    <c:v>6.3872479999999999E-3</c:v>
                  </c:pt>
                  <c:pt idx="4">
                    <c:v>7.9413320000000006E-3</c:v>
                  </c:pt>
                  <c:pt idx="5">
                    <c:v>1.126314E-2</c:v>
                  </c:pt>
                  <c:pt idx="6">
                    <c:v>4.9293999999999996E-3</c:v>
                  </c:pt>
                  <c:pt idx="7">
                    <c:v>1.4155316000000001E-2</c:v>
                  </c:pt>
                  <c:pt idx="8">
                    <c:v>8.2202400000000002E-3</c:v>
                  </c:pt>
                  <c:pt idx="9">
                    <c:v>9.2341479999999993E-3</c:v>
                  </c:pt>
                  <c:pt idx="10">
                    <c:v>7.1061759999999996E-3</c:v>
                  </c:pt>
                  <c:pt idx="11">
                    <c:v>9.0938119999999997E-3</c:v>
                  </c:pt>
                  <c:pt idx="12">
                    <c:v>1.226176E-2</c:v>
                  </c:pt>
                  <c:pt idx="13">
                    <c:v>8.6496759999999985E-3</c:v>
                  </c:pt>
                  <c:pt idx="14">
                    <c:v>9.656528000000001E-3</c:v>
                  </c:pt>
                  <c:pt idx="15">
                    <c:v>6.3286439999999996E-3</c:v>
                  </c:pt>
                  <c:pt idx="16">
                    <c:v>8.9217240000000007E-3</c:v>
                  </c:pt>
                </c:numCache>
              </c:numRef>
            </c:minus>
          </c:errBars>
          <c:cat>
            <c:strRef>
              <c:f>'Numeracy '!$A$3:$A$19</c:f>
              <c:strCache>
                <c:ptCount val="17"/>
                <c:pt idx="0">
                  <c:v>FR</c:v>
                </c:pt>
                <c:pt idx="1">
                  <c:v>CZ</c:v>
                </c:pt>
                <c:pt idx="2">
                  <c:v>IE</c:v>
                </c:pt>
                <c:pt idx="3">
                  <c:v>PL</c:v>
                </c:pt>
                <c:pt idx="4">
                  <c:v>AT</c:v>
                </c:pt>
                <c:pt idx="5">
                  <c:v>BE (FL)</c:v>
                </c:pt>
                <c:pt idx="6">
                  <c:v>UK (EN/NI)</c:v>
                </c:pt>
                <c:pt idx="7">
                  <c:v>EU-16</c:v>
                </c:pt>
                <c:pt idx="8">
                  <c:v>DE</c:v>
                </c:pt>
                <c:pt idx="9">
                  <c:v>NL</c:v>
                </c:pt>
                <c:pt idx="10">
                  <c:v>SE</c:v>
                </c:pt>
                <c:pt idx="11">
                  <c:v>FI</c:v>
                </c:pt>
                <c:pt idx="12">
                  <c:v>IT</c:v>
                </c:pt>
                <c:pt idx="13">
                  <c:v>SK</c:v>
                </c:pt>
                <c:pt idx="14">
                  <c:v>DK</c:v>
                </c:pt>
                <c:pt idx="15">
                  <c:v>EE</c:v>
                </c:pt>
                <c:pt idx="16">
                  <c:v>ES</c:v>
                </c:pt>
              </c:strCache>
            </c:strRef>
          </c:cat>
          <c:val>
            <c:numRef>
              <c:f>'Numeracy '!$B$3:$B$19</c:f>
              <c:numCache>
                <c:formatCode>General</c:formatCode>
                <c:ptCount val="17"/>
                <c:pt idx="0">
                  <c:v>0.10802009999999999</c:v>
                </c:pt>
                <c:pt idx="1">
                  <c:v>8.6834999999999996E-2</c:v>
                </c:pt>
                <c:pt idx="2">
                  <c:v>7.9352800000000001E-2</c:v>
                </c:pt>
                <c:pt idx="3">
                  <c:v>7.50696E-2</c:v>
                </c:pt>
                <c:pt idx="4">
                  <c:v>7.0994399999999999E-2</c:v>
                </c:pt>
                <c:pt idx="5">
                  <c:v>6.6932500000000006E-2</c:v>
                </c:pt>
                <c:pt idx="6">
                  <c:v>6.4657699999999999E-2</c:v>
                </c:pt>
                <c:pt idx="7">
                  <c:v>6.3322699999999996E-2</c:v>
                </c:pt>
                <c:pt idx="8">
                  <c:v>6.2422499999999999E-2</c:v>
                </c:pt>
                <c:pt idx="9">
                  <c:v>6.15664E-2</c:v>
                </c:pt>
                <c:pt idx="10">
                  <c:v>5.7980499999999997E-2</c:v>
                </c:pt>
                <c:pt idx="11">
                  <c:v>5.4960299999999997E-2</c:v>
                </c:pt>
                <c:pt idx="12">
                  <c:v>4.6445800000000002E-2</c:v>
                </c:pt>
                <c:pt idx="13">
                  <c:v>4.23563E-2</c:v>
                </c:pt>
                <c:pt idx="14">
                  <c:v>3.5790799999999998E-2</c:v>
                </c:pt>
                <c:pt idx="15">
                  <c:v>3.0705099999999999E-2</c:v>
                </c:pt>
                <c:pt idx="16">
                  <c:v>2.4862700000000001E-2</c:v>
                </c:pt>
              </c:numCache>
            </c:numRef>
          </c:val>
          <c:extLst>
            <c:ext xmlns:c16="http://schemas.microsoft.com/office/drawing/2014/chart" uri="{C3380CC4-5D6E-409C-BE32-E72D297353CC}">
              <c16:uniqueId val="{00000003-6200-4023-8AD5-B9748457A54E}"/>
            </c:ext>
          </c:extLst>
        </c:ser>
        <c:dLbls>
          <c:showLegendKey val="0"/>
          <c:showVal val="0"/>
          <c:showCatName val="0"/>
          <c:showSerName val="0"/>
          <c:showPercent val="0"/>
          <c:showBubbleSize val="0"/>
        </c:dLbls>
        <c:gapWidth val="100"/>
        <c:axId val="359113160"/>
        <c:axId val="359113552"/>
      </c:barChart>
      <c:catAx>
        <c:axId val="359113160"/>
        <c:scaling>
          <c:orientation val="minMax"/>
        </c:scaling>
        <c:delete val="0"/>
        <c:axPos val="b"/>
        <c:numFmt formatCode="General" sourceLinked="0"/>
        <c:majorTickMark val="in"/>
        <c:minorTickMark val="none"/>
        <c:tickLblPos val="nextTo"/>
        <c:spPr>
          <a:ln>
            <a:solidFill>
              <a:schemeClr val="tx1"/>
            </a:solidFill>
          </a:ln>
        </c:spPr>
        <c:txPr>
          <a:bodyPr/>
          <a:lstStyle/>
          <a:p>
            <a:pPr>
              <a:defRPr sz="900"/>
            </a:pPr>
            <a:endParaRPr lang="en-US"/>
          </a:p>
        </c:txPr>
        <c:crossAx val="359113552"/>
        <c:crosses val="autoZero"/>
        <c:auto val="1"/>
        <c:lblAlgn val="ctr"/>
        <c:lblOffset val="100"/>
        <c:noMultiLvlLbl val="0"/>
      </c:catAx>
      <c:valAx>
        <c:axId val="359113552"/>
        <c:scaling>
          <c:orientation val="minMax"/>
        </c:scaling>
        <c:delete val="0"/>
        <c:axPos val="l"/>
        <c:majorGridlines>
          <c:spPr>
            <a:ln>
              <a:solidFill>
                <a:schemeClr val="bg1">
                  <a:lumMod val="85000"/>
                </a:schemeClr>
              </a:solidFill>
              <a:prstDash val="dash"/>
            </a:ln>
          </c:spPr>
        </c:majorGridlines>
        <c:numFmt formatCode="#,##0.00" sourceLinked="0"/>
        <c:majorTickMark val="in"/>
        <c:minorTickMark val="none"/>
        <c:tickLblPos val="nextTo"/>
        <c:spPr>
          <a:ln>
            <a:solidFill>
              <a:schemeClr val="tx1"/>
            </a:solidFill>
          </a:ln>
        </c:spPr>
        <c:crossAx val="359113160"/>
        <c:crosses val="autoZero"/>
        <c:crossBetween val="between"/>
      </c:valAx>
    </c:plotArea>
    <c:plotVisOnly val="1"/>
    <c:dispBlanksAs val="gap"/>
    <c:showDLblsOverMax val="0"/>
  </c:chart>
  <c:spPr>
    <a:ln>
      <a:no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rgbClr val="1F497D">
                <a:lumMod val="60000"/>
                <a:lumOff val="40000"/>
              </a:srgbClr>
            </a:solidFill>
          </c:spPr>
          <c:invertIfNegative val="0"/>
          <c:dPt>
            <c:idx val="6"/>
            <c:invertIfNegative val="0"/>
            <c:bubble3D val="0"/>
            <c:spPr>
              <a:solidFill>
                <a:srgbClr val="C0504D">
                  <a:lumMod val="60000"/>
                  <a:lumOff val="40000"/>
                </a:srgbClr>
              </a:solidFill>
            </c:spPr>
            <c:extLst>
              <c:ext xmlns:c16="http://schemas.microsoft.com/office/drawing/2014/chart" uri="{C3380CC4-5D6E-409C-BE32-E72D297353CC}">
                <c16:uniqueId val="{00000001-2D35-4E2C-89B3-BDD5AAAF8E27}"/>
              </c:ext>
            </c:extLst>
          </c:dPt>
          <c:dPt>
            <c:idx val="7"/>
            <c:invertIfNegative val="0"/>
            <c:bubble3D val="0"/>
            <c:spPr/>
            <c:extLst>
              <c:ext xmlns:c16="http://schemas.microsoft.com/office/drawing/2014/chart" uri="{C3380CC4-5D6E-409C-BE32-E72D297353CC}">
                <c16:uniqueId val="{00000003-2D35-4E2C-89B3-BDD5AAAF8E27}"/>
              </c:ext>
            </c:extLst>
          </c:dPt>
          <c:dPt>
            <c:idx val="16"/>
            <c:invertIfNegative val="0"/>
            <c:bubble3D val="0"/>
            <c:extLst>
              <c:ext xmlns:c16="http://schemas.microsoft.com/office/drawing/2014/chart" uri="{C3380CC4-5D6E-409C-BE32-E72D297353CC}">
                <c16:uniqueId val="{00000004-2D35-4E2C-89B3-BDD5AAAF8E27}"/>
              </c:ext>
            </c:extLst>
          </c:dPt>
          <c:errBars>
            <c:errBarType val="both"/>
            <c:errValType val="cust"/>
            <c:noEndCap val="0"/>
            <c:plus>
              <c:numRef>
                <c:f>Literacy!$H$3:$H$19</c:f>
                <c:numCache>
                  <c:formatCode>General</c:formatCode>
                  <c:ptCount val="17"/>
                  <c:pt idx="0">
                    <c:v>6.1859559999999994E-3</c:v>
                  </c:pt>
                  <c:pt idx="1">
                    <c:v>7.6975079999999996E-3</c:v>
                  </c:pt>
                  <c:pt idx="2">
                    <c:v>6.5436560000000001E-3</c:v>
                  </c:pt>
                  <c:pt idx="3">
                    <c:v>7.1277359999999991E-3</c:v>
                  </c:pt>
                  <c:pt idx="4">
                    <c:v>6.5950079999999994E-3</c:v>
                  </c:pt>
                  <c:pt idx="5">
                    <c:v>6.4429120000000003E-3</c:v>
                  </c:pt>
                  <c:pt idx="6">
                    <c:v>1.0622807999999999E-2</c:v>
                  </c:pt>
                  <c:pt idx="7">
                    <c:v>7.398216E-3</c:v>
                  </c:pt>
                  <c:pt idx="8">
                    <c:v>4.6700920000000007E-3</c:v>
                  </c:pt>
                  <c:pt idx="9">
                    <c:v>6.8452999999999995E-3</c:v>
                  </c:pt>
                  <c:pt idx="10">
                    <c:v>5.8776479999999992E-3</c:v>
                  </c:pt>
                  <c:pt idx="11">
                    <c:v>6.4536919999999996E-3</c:v>
                  </c:pt>
                  <c:pt idx="12">
                    <c:v>6.0230800000000001E-3</c:v>
                  </c:pt>
                  <c:pt idx="13">
                    <c:v>9.00718E-3</c:v>
                  </c:pt>
                  <c:pt idx="14">
                    <c:v>7.5038599999999994E-3</c:v>
                  </c:pt>
                  <c:pt idx="15">
                    <c:v>7.0130759999999992E-3</c:v>
                  </c:pt>
                  <c:pt idx="16">
                    <c:v>7.3601920000000006E-3</c:v>
                  </c:pt>
                </c:numCache>
              </c:numRef>
            </c:plus>
            <c:minus>
              <c:numRef>
                <c:f>Literacy!$H$3:$H$19</c:f>
                <c:numCache>
                  <c:formatCode>General</c:formatCode>
                  <c:ptCount val="17"/>
                  <c:pt idx="0">
                    <c:v>6.1859559999999994E-3</c:v>
                  </c:pt>
                  <c:pt idx="1">
                    <c:v>7.6975079999999996E-3</c:v>
                  </c:pt>
                  <c:pt idx="2">
                    <c:v>6.5436560000000001E-3</c:v>
                  </c:pt>
                  <c:pt idx="3">
                    <c:v>7.1277359999999991E-3</c:v>
                  </c:pt>
                  <c:pt idx="4">
                    <c:v>6.5950079999999994E-3</c:v>
                  </c:pt>
                  <c:pt idx="5">
                    <c:v>6.4429120000000003E-3</c:v>
                  </c:pt>
                  <c:pt idx="6">
                    <c:v>1.0622807999999999E-2</c:v>
                  </c:pt>
                  <c:pt idx="7">
                    <c:v>7.398216E-3</c:v>
                  </c:pt>
                  <c:pt idx="8">
                    <c:v>4.6700920000000007E-3</c:v>
                  </c:pt>
                  <c:pt idx="9">
                    <c:v>6.8452999999999995E-3</c:v>
                  </c:pt>
                  <c:pt idx="10">
                    <c:v>5.8776479999999992E-3</c:v>
                  </c:pt>
                  <c:pt idx="11">
                    <c:v>6.4536919999999996E-3</c:v>
                  </c:pt>
                  <c:pt idx="12">
                    <c:v>6.0230800000000001E-3</c:v>
                  </c:pt>
                  <c:pt idx="13">
                    <c:v>9.00718E-3</c:v>
                  </c:pt>
                  <c:pt idx="14">
                    <c:v>7.5038599999999994E-3</c:v>
                  </c:pt>
                  <c:pt idx="15">
                    <c:v>7.0130759999999992E-3</c:v>
                  </c:pt>
                  <c:pt idx="16">
                    <c:v>7.3601920000000006E-3</c:v>
                  </c:pt>
                </c:numCache>
              </c:numRef>
            </c:minus>
          </c:errBars>
          <c:cat>
            <c:strRef>
              <c:f>Literacy!$A$3:$A$19</c:f>
              <c:strCache>
                <c:ptCount val="17"/>
                <c:pt idx="0">
                  <c:v>PL</c:v>
                </c:pt>
                <c:pt idx="1">
                  <c:v>BE (FL)</c:v>
                </c:pt>
                <c:pt idx="2">
                  <c:v>FR</c:v>
                </c:pt>
                <c:pt idx="3">
                  <c:v>NL</c:v>
                </c:pt>
                <c:pt idx="4">
                  <c:v>IE</c:v>
                </c:pt>
                <c:pt idx="5">
                  <c:v>CZ</c:v>
                </c:pt>
                <c:pt idx="6">
                  <c:v>EU-16</c:v>
                </c:pt>
                <c:pt idx="7">
                  <c:v>IT</c:v>
                </c:pt>
                <c:pt idx="8">
                  <c:v>AT</c:v>
                </c:pt>
                <c:pt idx="9">
                  <c:v>SE</c:v>
                </c:pt>
                <c:pt idx="10">
                  <c:v>DE</c:v>
                </c:pt>
                <c:pt idx="11">
                  <c:v>FI</c:v>
                </c:pt>
                <c:pt idx="12">
                  <c:v>UK (EN/NI)</c:v>
                </c:pt>
                <c:pt idx="13">
                  <c:v>DK</c:v>
                </c:pt>
                <c:pt idx="14">
                  <c:v>ES</c:v>
                </c:pt>
                <c:pt idx="15">
                  <c:v>EE</c:v>
                </c:pt>
                <c:pt idx="16">
                  <c:v>SK</c:v>
                </c:pt>
              </c:strCache>
            </c:strRef>
          </c:cat>
          <c:val>
            <c:numRef>
              <c:f>Literacy!$B$3:$B$19</c:f>
              <c:numCache>
                <c:formatCode>General</c:formatCode>
                <c:ptCount val="17"/>
                <c:pt idx="0">
                  <c:v>8.2405699999999998E-2</c:v>
                </c:pt>
                <c:pt idx="1">
                  <c:v>7.4811100000000005E-2</c:v>
                </c:pt>
                <c:pt idx="2">
                  <c:v>6.94018E-2</c:v>
                </c:pt>
                <c:pt idx="3">
                  <c:v>6.4042000000000002E-2</c:v>
                </c:pt>
                <c:pt idx="4">
                  <c:v>6.3018099999999994E-2</c:v>
                </c:pt>
                <c:pt idx="5">
                  <c:v>6.2724799999999997E-2</c:v>
                </c:pt>
                <c:pt idx="6">
                  <c:v>5.6481700000000003E-2</c:v>
                </c:pt>
                <c:pt idx="7">
                  <c:v>5.6092200000000002E-2</c:v>
                </c:pt>
                <c:pt idx="8">
                  <c:v>5.5579099999999999E-2</c:v>
                </c:pt>
                <c:pt idx="9">
                  <c:v>5.3981099999999997E-2</c:v>
                </c:pt>
                <c:pt idx="10">
                  <c:v>5.2907900000000001E-2</c:v>
                </c:pt>
                <c:pt idx="11">
                  <c:v>5.2701100000000001E-2</c:v>
                </c:pt>
                <c:pt idx="12">
                  <c:v>4.6553799999999999E-2</c:v>
                </c:pt>
                <c:pt idx="13">
                  <c:v>3.9521000000000001E-2</c:v>
                </c:pt>
                <c:pt idx="14">
                  <c:v>3.3988699999999997E-2</c:v>
                </c:pt>
                <c:pt idx="15">
                  <c:v>3.1776699999999998E-2</c:v>
                </c:pt>
                <c:pt idx="16">
                  <c:v>2.2348799999999999E-2</c:v>
                </c:pt>
              </c:numCache>
            </c:numRef>
          </c:val>
          <c:extLst>
            <c:ext xmlns:c16="http://schemas.microsoft.com/office/drawing/2014/chart" uri="{C3380CC4-5D6E-409C-BE32-E72D297353CC}">
              <c16:uniqueId val="{00000005-2D35-4E2C-89B3-BDD5AAAF8E27}"/>
            </c:ext>
          </c:extLst>
        </c:ser>
        <c:dLbls>
          <c:showLegendKey val="0"/>
          <c:showVal val="0"/>
          <c:showCatName val="0"/>
          <c:showSerName val="0"/>
          <c:showPercent val="0"/>
          <c:showBubbleSize val="0"/>
        </c:dLbls>
        <c:gapWidth val="100"/>
        <c:axId val="359114336"/>
        <c:axId val="359114728"/>
      </c:barChart>
      <c:catAx>
        <c:axId val="359114336"/>
        <c:scaling>
          <c:orientation val="minMax"/>
        </c:scaling>
        <c:delete val="0"/>
        <c:axPos val="b"/>
        <c:numFmt formatCode="General" sourceLinked="0"/>
        <c:majorTickMark val="in"/>
        <c:minorTickMark val="none"/>
        <c:tickLblPos val="nextTo"/>
        <c:spPr>
          <a:ln>
            <a:solidFill>
              <a:sysClr val="windowText" lastClr="000000"/>
            </a:solidFill>
          </a:ln>
        </c:spPr>
        <c:txPr>
          <a:bodyPr/>
          <a:lstStyle/>
          <a:p>
            <a:pPr>
              <a:defRPr sz="900"/>
            </a:pPr>
            <a:endParaRPr lang="en-US"/>
          </a:p>
        </c:txPr>
        <c:crossAx val="359114728"/>
        <c:crosses val="autoZero"/>
        <c:auto val="1"/>
        <c:lblAlgn val="ctr"/>
        <c:lblOffset val="100"/>
        <c:noMultiLvlLbl val="0"/>
      </c:catAx>
      <c:valAx>
        <c:axId val="359114728"/>
        <c:scaling>
          <c:orientation val="minMax"/>
        </c:scaling>
        <c:delete val="0"/>
        <c:axPos val="l"/>
        <c:majorGridlines>
          <c:spPr>
            <a:ln>
              <a:solidFill>
                <a:sysClr val="window" lastClr="FFFFFF">
                  <a:lumMod val="85000"/>
                </a:sysClr>
              </a:solidFill>
              <a:prstDash val="dash"/>
            </a:ln>
          </c:spPr>
        </c:majorGridlines>
        <c:numFmt formatCode="#,##0.00" sourceLinked="0"/>
        <c:majorTickMark val="in"/>
        <c:minorTickMark val="none"/>
        <c:tickLblPos val="nextTo"/>
        <c:spPr>
          <a:ln>
            <a:solidFill>
              <a:sysClr val="windowText" lastClr="000000"/>
            </a:solidFill>
          </a:ln>
        </c:spPr>
        <c:crossAx val="359114336"/>
        <c:crosses val="autoZero"/>
        <c:crossBetween val="between"/>
      </c:valAx>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97477754305102"/>
          <c:y val="1.8301858245955118E-2"/>
          <c:w val="0.71051658888460267"/>
          <c:h val="0.84966592658391682"/>
        </c:manualLayout>
      </c:layout>
      <c:barChart>
        <c:barDir val="bar"/>
        <c:grouping val="stacked"/>
        <c:varyColors val="0"/>
        <c:ser>
          <c:idx val="2"/>
          <c:order val="0"/>
          <c:tx>
            <c:strRef>
              <c:f>Literacy!$Q$7</c:f>
              <c:strCache>
                <c:ptCount val="1"/>
                <c:pt idx="0">
                  <c:v>Below Level 1</c:v>
                </c:pt>
              </c:strCache>
            </c:strRef>
          </c:tx>
          <c:spPr>
            <a:solidFill>
              <a:schemeClr val="bg1">
                <a:lumMod val="50000"/>
              </a:schemeClr>
            </a:solidFill>
          </c:spPr>
          <c:invertIfNegative val="0"/>
          <c:cat>
            <c:strRef>
              <c:f>Literacy!$P$8:$P$24</c:f>
              <c:strCache>
                <c:ptCount val="17"/>
                <c:pt idx="0">
                  <c:v>Italy</c:v>
                </c:pt>
                <c:pt idx="1">
                  <c:v>Spain</c:v>
                </c:pt>
                <c:pt idx="2">
                  <c:v>Ireland</c:v>
                </c:pt>
                <c:pt idx="3">
                  <c:v>United Kingdom (EN/NI)</c:v>
                </c:pt>
                <c:pt idx="4">
                  <c:v>Poland</c:v>
                </c:pt>
                <c:pt idx="5">
                  <c:v>France</c:v>
                </c:pt>
                <c:pt idx="6">
                  <c:v>Slovak Republic</c:v>
                </c:pt>
                <c:pt idx="7">
                  <c:v>Germany</c:v>
                </c:pt>
                <c:pt idx="8">
                  <c:v>Austria</c:v>
                </c:pt>
                <c:pt idx="9">
                  <c:v>EU-16 average</c:v>
                </c:pt>
                <c:pt idx="10">
                  <c:v>Denmark</c:v>
                </c:pt>
                <c:pt idx="11">
                  <c:v>Czech Republic</c:v>
                </c:pt>
                <c:pt idx="12">
                  <c:v>Estonia</c:v>
                </c:pt>
                <c:pt idx="13">
                  <c:v>Sweden</c:v>
                </c:pt>
                <c:pt idx="14">
                  <c:v>Belgium (FL)</c:v>
                </c:pt>
                <c:pt idx="15">
                  <c:v>Netherlands</c:v>
                </c:pt>
                <c:pt idx="16">
                  <c:v>Finland</c:v>
                </c:pt>
              </c:strCache>
            </c:strRef>
          </c:cat>
          <c:val>
            <c:numRef>
              <c:f>Literacy!$Q$8:$Q$24</c:f>
              <c:numCache>
                <c:formatCode>0.00</c:formatCode>
                <c:ptCount val="17"/>
                <c:pt idx="0">
                  <c:v>-4.2062799999999996</c:v>
                </c:pt>
                <c:pt idx="1">
                  <c:v>-3.7511999999999999</c:v>
                </c:pt>
                <c:pt idx="2">
                  <c:v>-2.6174599999999999</c:v>
                </c:pt>
                <c:pt idx="3">
                  <c:v>-3.4095499999999999</c:v>
                </c:pt>
                <c:pt idx="4">
                  <c:v>-2.2957800000000002</c:v>
                </c:pt>
                <c:pt idx="5">
                  <c:v>-2.5390899999999998</c:v>
                </c:pt>
                <c:pt idx="6">
                  <c:v>-1.7942899999999999</c:v>
                </c:pt>
                <c:pt idx="7">
                  <c:v>-2.0196000000000001</c:v>
                </c:pt>
                <c:pt idx="8">
                  <c:v>-2.1916199999999999</c:v>
                </c:pt>
                <c:pt idx="9">
                  <c:v>-2.4142199999999998</c:v>
                </c:pt>
                <c:pt idx="10">
                  <c:v>-3.9106200000000002</c:v>
                </c:pt>
                <c:pt idx="11">
                  <c:v>-0.69027000000000005</c:v>
                </c:pt>
                <c:pt idx="12">
                  <c:v>-1.05138</c:v>
                </c:pt>
                <c:pt idx="13">
                  <c:v>-3.7129300000000001</c:v>
                </c:pt>
                <c:pt idx="14">
                  <c:v>-1.7020900000000001</c:v>
                </c:pt>
                <c:pt idx="15">
                  <c:v>-1.3500300000000001</c:v>
                </c:pt>
                <c:pt idx="16">
                  <c:v>-1.3854200000000001</c:v>
                </c:pt>
              </c:numCache>
            </c:numRef>
          </c:val>
          <c:extLst>
            <c:ext xmlns:c16="http://schemas.microsoft.com/office/drawing/2014/chart" uri="{C3380CC4-5D6E-409C-BE32-E72D297353CC}">
              <c16:uniqueId val="{00000000-069E-4855-8EF4-3B69046C294F}"/>
            </c:ext>
          </c:extLst>
        </c:ser>
        <c:ser>
          <c:idx val="5"/>
          <c:order val="1"/>
          <c:tx>
            <c:strRef>
              <c:f>Literacy!$R$7</c:f>
              <c:strCache>
                <c:ptCount val="1"/>
                <c:pt idx="0">
                  <c:v>Level 1</c:v>
                </c:pt>
              </c:strCache>
            </c:strRef>
          </c:tx>
          <c:spPr>
            <a:solidFill>
              <a:schemeClr val="accent2">
                <a:lumMod val="75000"/>
              </a:schemeClr>
            </a:solidFill>
          </c:spPr>
          <c:invertIfNegative val="0"/>
          <c:cat>
            <c:strRef>
              <c:f>Literacy!$P$8:$P$24</c:f>
              <c:strCache>
                <c:ptCount val="17"/>
                <c:pt idx="0">
                  <c:v>Italy</c:v>
                </c:pt>
                <c:pt idx="1">
                  <c:v>Spain</c:v>
                </c:pt>
                <c:pt idx="2">
                  <c:v>Ireland</c:v>
                </c:pt>
                <c:pt idx="3">
                  <c:v>United Kingdom (EN/NI)</c:v>
                </c:pt>
                <c:pt idx="4">
                  <c:v>Poland</c:v>
                </c:pt>
                <c:pt idx="5">
                  <c:v>France</c:v>
                </c:pt>
                <c:pt idx="6">
                  <c:v>Slovak Republic</c:v>
                </c:pt>
                <c:pt idx="7">
                  <c:v>Germany</c:v>
                </c:pt>
                <c:pt idx="8">
                  <c:v>Austria</c:v>
                </c:pt>
                <c:pt idx="9">
                  <c:v>EU-16 average</c:v>
                </c:pt>
                <c:pt idx="10">
                  <c:v>Denmark</c:v>
                </c:pt>
                <c:pt idx="11">
                  <c:v>Czech Republic</c:v>
                </c:pt>
                <c:pt idx="12">
                  <c:v>Estonia</c:v>
                </c:pt>
                <c:pt idx="13">
                  <c:v>Sweden</c:v>
                </c:pt>
                <c:pt idx="14">
                  <c:v>Belgium (FL)</c:v>
                </c:pt>
                <c:pt idx="15">
                  <c:v>Netherlands</c:v>
                </c:pt>
                <c:pt idx="16">
                  <c:v>Finland</c:v>
                </c:pt>
              </c:strCache>
            </c:strRef>
          </c:cat>
          <c:val>
            <c:numRef>
              <c:f>Literacy!$R$8:$R$24</c:f>
              <c:numCache>
                <c:formatCode>0.00</c:formatCode>
                <c:ptCount val="17"/>
                <c:pt idx="0">
                  <c:v>-18.554760000000002</c:v>
                </c:pt>
                <c:pt idx="1">
                  <c:v>-15.14404</c:v>
                </c:pt>
                <c:pt idx="2">
                  <c:v>-9.6962499999999991</c:v>
                </c:pt>
                <c:pt idx="3">
                  <c:v>-11.66314</c:v>
                </c:pt>
                <c:pt idx="4">
                  <c:v>-10.103859999999999</c:v>
                </c:pt>
                <c:pt idx="5">
                  <c:v>-10.07109</c:v>
                </c:pt>
                <c:pt idx="6">
                  <c:v>-8.8280600000000007</c:v>
                </c:pt>
                <c:pt idx="7">
                  <c:v>-10.93364</c:v>
                </c:pt>
                <c:pt idx="8">
                  <c:v>-8.3804599999999994</c:v>
                </c:pt>
                <c:pt idx="9">
                  <c:v>-9.0916200000000007</c:v>
                </c:pt>
                <c:pt idx="10">
                  <c:v>-7.6638999999999999</c:v>
                </c:pt>
                <c:pt idx="11">
                  <c:v>-6.6264000000000003</c:v>
                </c:pt>
                <c:pt idx="12">
                  <c:v>-7.5661100000000001</c:v>
                </c:pt>
                <c:pt idx="13">
                  <c:v>-5.1291900000000004</c:v>
                </c:pt>
                <c:pt idx="14">
                  <c:v>-6.4212699999999998</c:v>
                </c:pt>
                <c:pt idx="15">
                  <c:v>-5.4956500000000004</c:v>
                </c:pt>
                <c:pt idx="16">
                  <c:v>-3.1880700000000002</c:v>
                </c:pt>
              </c:numCache>
            </c:numRef>
          </c:val>
          <c:extLst>
            <c:ext xmlns:c16="http://schemas.microsoft.com/office/drawing/2014/chart" uri="{C3380CC4-5D6E-409C-BE32-E72D297353CC}">
              <c16:uniqueId val="{00000001-069E-4855-8EF4-3B69046C294F}"/>
            </c:ext>
          </c:extLst>
        </c:ser>
        <c:ser>
          <c:idx val="4"/>
          <c:order val="2"/>
          <c:tx>
            <c:strRef>
              <c:f>Literacy!$S$7</c:f>
              <c:strCache>
                <c:ptCount val="1"/>
                <c:pt idx="0">
                  <c:v>Level 2</c:v>
                </c:pt>
              </c:strCache>
            </c:strRef>
          </c:tx>
          <c:spPr>
            <a:solidFill>
              <a:schemeClr val="accent2">
                <a:lumMod val="60000"/>
                <a:lumOff val="40000"/>
              </a:schemeClr>
            </a:solidFill>
          </c:spPr>
          <c:invertIfNegative val="0"/>
          <c:cat>
            <c:strRef>
              <c:f>Literacy!$P$8:$P$24</c:f>
              <c:strCache>
                <c:ptCount val="17"/>
                <c:pt idx="0">
                  <c:v>Italy</c:v>
                </c:pt>
                <c:pt idx="1">
                  <c:v>Spain</c:v>
                </c:pt>
                <c:pt idx="2">
                  <c:v>Ireland</c:v>
                </c:pt>
                <c:pt idx="3">
                  <c:v>United Kingdom (EN/NI)</c:v>
                </c:pt>
                <c:pt idx="4">
                  <c:v>Poland</c:v>
                </c:pt>
                <c:pt idx="5">
                  <c:v>France</c:v>
                </c:pt>
                <c:pt idx="6">
                  <c:v>Slovak Republic</c:v>
                </c:pt>
                <c:pt idx="7">
                  <c:v>Germany</c:v>
                </c:pt>
                <c:pt idx="8">
                  <c:v>Austria</c:v>
                </c:pt>
                <c:pt idx="9">
                  <c:v>EU-16 average</c:v>
                </c:pt>
                <c:pt idx="10">
                  <c:v>Denmark</c:v>
                </c:pt>
                <c:pt idx="11">
                  <c:v>Czech Republic</c:v>
                </c:pt>
                <c:pt idx="12">
                  <c:v>Estonia</c:v>
                </c:pt>
                <c:pt idx="13">
                  <c:v>Sweden</c:v>
                </c:pt>
                <c:pt idx="14">
                  <c:v>Belgium (FL)</c:v>
                </c:pt>
                <c:pt idx="15">
                  <c:v>Netherlands</c:v>
                </c:pt>
                <c:pt idx="16">
                  <c:v>Finland</c:v>
                </c:pt>
              </c:strCache>
            </c:strRef>
          </c:cat>
          <c:val>
            <c:numRef>
              <c:f>Literacy!$S$8:$S$24</c:f>
              <c:numCache>
                <c:formatCode>0.00</c:formatCode>
                <c:ptCount val="17"/>
                <c:pt idx="0">
                  <c:v>-38.435989999999997</c:v>
                </c:pt>
                <c:pt idx="1">
                  <c:v>-39.101260000000003</c:v>
                </c:pt>
                <c:pt idx="2">
                  <c:v>-35.558199999999999</c:v>
                </c:pt>
                <c:pt idx="3">
                  <c:v>-31.385739999999998</c:v>
                </c:pt>
                <c:pt idx="4">
                  <c:v>-33.057270000000003</c:v>
                </c:pt>
                <c:pt idx="5">
                  <c:v>-31.069690000000001</c:v>
                </c:pt>
                <c:pt idx="6">
                  <c:v>-32.275120000000001</c:v>
                </c:pt>
                <c:pt idx="7">
                  <c:v>-28.082599999999999</c:v>
                </c:pt>
                <c:pt idx="8">
                  <c:v>-30.04918</c:v>
                </c:pt>
                <c:pt idx="9">
                  <c:v>-29.046890000000001</c:v>
                </c:pt>
                <c:pt idx="10">
                  <c:v>-27.669910000000002</c:v>
                </c:pt>
                <c:pt idx="11">
                  <c:v>-29.77983</c:v>
                </c:pt>
                <c:pt idx="12">
                  <c:v>-27.868639999999999</c:v>
                </c:pt>
                <c:pt idx="13">
                  <c:v>-22.1904</c:v>
                </c:pt>
                <c:pt idx="14">
                  <c:v>-22.847570000000001</c:v>
                </c:pt>
                <c:pt idx="15">
                  <c:v>-19.992439999999998</c:v>
                </c:pt>
                <c:pt idx="16">
                  <c:v>-15.38635</c:v>
                </c:pt>
              </c:numCache>
            </c:numRef>
          </c:val>
          <c:extLst>
            <c:ext xmlns:c16="http://schemas.microsoft.com/office/drawing/2014/chart" uri="{C3380CC4-5D6E-409C-BE32-E72D297353CC}">
              <c16:uniqueId val="{00000002-069E-4855-8EF4-3B69046C294F}"/>
            </c:ext>
          </c:extLst>
        </c:ser>
        <c:ser>
          <c:idx val="3"/>
          <c:order val="3"/>
          <c:tx>
            <c:strRef>
              <c:f>Literacy!$T$7</c:f>
              <c:strCache>
                <c:ptCount val="1"/>
                <c:pt idx="0">
                  <c:v>Level 3</c:v>
                </c:pt>
              </c:strCache>
            </c:strRef>
          </c:tx>
          <c:spPr>
            <a:solidFill>
              <a:schemeClr val="accent1">
                <a:lumMod val="50000"/>
              </a:schemeClr>
            </a:solidFill>
          </c:spPr>
          <c:invertIfNegative val="0"/>
          <c:cat>
            <c:strRef>
              <c:f>Literacy!$P$8:$P$24</c:f>
              <c:strCache>
                <c:ptCount val="17"/>
                <c:pt idx="0">
                  <c:v>Italy</c:v>
                </c:pt>
                <c:pt idx="1">
                  <c:v>Spain</c:v>
                </c:pt>
                <c:pt idx="2">
                  <c:v>Ireland</c:v>
                </c:pt>
                <c:pt idx="3">
                  <c:v>United Kingdom (EN/NI)</c:v>
                </c:pt>
                <c:pt idx="4">
                  <c:v>Poland</c:v>
                </c:pt>
                <c:pt idx="5">
                  <c:v>France</c:v>
                </c:pt>
                <c:pt idx="6">
                  <c:v>Slovak Republic</c:v>
                </c:pt>
                <c:pt idx="7">
                  <c:v>Germany</c:v>
                </c:pt>
                <c:pt idx="8">
                  <c:v>Austria</c:v>
                </c:pt>
                <c:pt idx="9">
                  <c:v>EU-16 average</c:v>
                </c:pt>
                <c:pt idx="10">
                  <c:v>Denmark</c:v>
                </c:pt>
                <c:pt idx="11">
                  <c:v>Czech Republic</c:v>
                </c:pt>
                <c:pt idx="12">
                  <c:v>Estonia</c:v>
                </c:pt>
                <c:pt idx="13">
                  <c:v>Sweden</c:v>
                </c:pt>
                <c:pt idx="14">
                  <c:v>Belgium (FL)</c:v>
                </c:pt>
                <c:pt idx="15">
                  <c:v>Netherlands</c:v>
                </c:pt>
                <c:pt idx="16">
                  <c:v>Finland</c:v>
                </c:pt>
              </c:strCache>
            </c:strRef>
          </c:cat>
          <c:val>
            <c:numRef>
              <c:f>Literacy!$T$8:$T$24</c:f>
              <c:numCache>
                <c:formatCode>0.00</c:formatCode>
                <c:ptCount val="17"/>
                <c:pt idx="0">
                  <c:v>33.44426</c:v>
                </c:pt>
                <c:pt idx="1">
                  <c:v>35.44361</c:v>
                </c:pt>
                <c:pt idx="2">
                  <c:v>41.12856</c:v>
                </c:pt>
                <c:pt idx="3">
                  <c:v>38.028799999999997</c:v>
                </c:pt>
                <c:pt idx="4">
                  <c:v>40.448360000000001</c:v>
                </c:pt>
                <c:pt idx="5">
                  <c:v>43.032029999999999</c:v>
                </c:pt>
                <c:pt idx="6">
                  <c:v>47.046300000000002</c:v>
                </c:pt>
                <c:pt idx="7">
                  <c:v>42.356619999999999</c:v>
                </c:pt>
                <c:pt idx="8">
                  <c:v>45.935749999999999</c:v>
                </c:pt>
                <c:pt idx="9">
                  <c:v>43.144829999999999</c:v>
                </c:pt>
                <c:pt idx="10">
                  <c:v>44.281320000000001</c:v>
                </c:pt>
                <c:pt idx="11">
                  <c:v>48.462269999999997</c:v>
                </c:pt>
                <c:pt idx="12">
                  <c:v>46.033099999999997</c:v>
                </c:pt>
                <c:pt idx="13">
                  <c:v>46.260159999999999</c:v>
                </c:pt>
                <c:pt idx="14">
                  <c:v>47.924010000000003</c:v>
                </c:pt>
                <c:pt idx="15">
                  <c:v>45.52187</c:v>
                </c:pt>
                <c:pt idx="16">
                  <c:v>44.97025</c:v>
                </c:pt>
              </c:numCache>
            </c:numRef>
          </c:val>
          <c:extLst>
            <c:ext xmlns:c16="http://schemas.microsoft.com/office/drawing/2014/chart" uri="{C3380CC4-5D6E-409C-BE32-E72D297353CC}">
              <c16:uniqueId val="{00000003-069E-4855-8EF4-3B69046C294F}"/>
            </c:ext>
          </c:extLst>
        </c:ser>
        <c:ser>
          <c:idx val="6"/>
          <c:order val="4"/>
          <c:tx>
            <c:strRef>
              <c:f>Literacy!$U$7</c:f>
              <c:strCache>
                <c:ptCount val="1"/>
                <c:pt idx="0">
                  <c:v>Level 4</c:v>
                </c:pt>
              </c:strCache>
            </c:strRef>
          </c:tx>
          <c:spPr>
            <a:solidFill>
              <a:schemeClr val="accent1">
                <a:lumMod val="20000"/>
                <a:lumOff val="80000"/>
              </a:schemeClr>
            </a:solidFill>
          </c:spPr>
          <c:invertIfNegative val="0"/>
          <c:cat>
            <c:strRef>
              <c:f>Literacy!$P$8:$P$24</c:f>
              <c:strCache>
                <c:ptCount val="17"/>
                <c:pt idx="0">
                  <c:v>Italy</c:v>
                </c:pt>
                <c:pt idx="1">
                  <c:v>Spain</c:v>
                </c:pt>
                <c:pt idx="2">
                  <c:v>Ireland</c:v>
                </c:pt>
                <c:pt idx="3">
                  <c:v>United Kingdom (EN/NI)</c:v>
                </c:pt>
                <c:pt idx="4">
                  <c:v>Poland</c:v>
                </c:pt>
                <c:pt idx="5">
                  <c:v>France</c:v>
                </c:pt>
                <c:pt idx="6">
                  <c:v>Slovak Republic</c:v>
                </c:pt>
                <c:pt idx="7">
                  <c:v>Germany</c:v>
                </c:pt>
                <c:pt idx="8">
                  <c:v>Austria</c:v>
                </c:pt>
                <c:pt idx="9">
                  <c:v>EU-16 average</c:v>
                </c:pt>
                <c:pt idx="10">
                  <c:v>Denmark</c:v>
                </c:pt>
                <c:pt idx="11">
                  <c:v>Czech Republic</c:v>
                </c:pt>
                <c:pt idx="12">
                  <c:v>Estonia</c:v>
                </c:pt>
                <c:pt idx="13">
                  <c:v>Sweden</c:v>
                </c:pt>
                <c:pt idx="14">
                  <c:v>Belgium (FL)</c:v>
                </c:pt>
                <c:pt idx="15">
                  <c:v>Netherlands</c:v>
                </c:pt>
                <c:pt idx="16">
                  <c:v>Finland</c:v>
                </c:pt>
              </c:strCache>
            </c:strRef>
          </c:cat>
          <c:val>
            <c:numRef>
              <c:f>Literacy!$U$8:$U$24</c:f>
              <c:numCache>
                <c:formatCode>0.00</c:formatCode>
                <c:ptCount val="17"/>
                <c:pt idx="0">
                  <c:v>5.2880000000000003</c:v>
                </c:pt>
                <c:pt idx="1">
                  <c:v>6.39717</c:v>
                </c:pt>
                <c:pt idx="2">
                  <c:v>10.36993</c:v>
                </c:pt>
                <c:pt idx="3">
                  <c:v>14.50192</c:v>
                </c:pt>
                <c:pt idx="4">
                  <c:v>12.953469999999999</c:v>
                </c:pt>
                <c:pt idx="5">
                  <c:v>12.64264</c:v>
                </c:pt>
                <c:pt idx="6">
                  <c:v>9.7980499999999999</c:v>
                </c:pt>
                <c:pt idx="7">
                  <c:v>15.855729999999999</c:v>
                </c:pt>
                <c:pt idx="8">
                  <c:v>12.934530000000001</c:v>
                </c:pt>
                <c:pt idx="9">
                  <c:v>15.169750000000001</c:v>
                </c:pt>
                <c:pt idx="10">
                  <c:v>15.67656</c:v>
                </c:pt>
                <c:pt idx="11">
                  <c:v>13.673690000000001</c:v>
                </c:pt>
                <c:pt idx="12">
                  <c:v>16.049700000000001</c:v>
                </c:pt>
                <c:pt idx="13">
                  <c:v>20.77974</c:v>
                </c:pt>
                <c:pt idx="14">
                  <c:v>20.133130000000001</c:v>
                </c:pt>
                <c:pt idx="15">
                  <c:v>24.825009999999999</c:v>
                </c:pt>
                <c:pt idx="16">
                  <c:v>30.836819999999999</c:v>
                </c:pt>
              </c:numCache>
            </c:numRef>
          </c:val>
          <c:extLst>
            <c:ext xmlns:c16="http://schemas.microsoft.com/office/drawing/2014/chart" uri="{C3380CC4-5D6E-409C-BE32-E72D297353CC}">
              <c16:uniqueId val="{00000004-069E-4855-8EF4-3B69046C294F}"/>
            </c:ext>
          </c:extLst>
        </c:ser>
        <c:ser>
          <c:idx val="0"/>
          <c:order val="5"/>
          <c:tx>
            <c:strRef>
              <c:f>Literacy!$V$7</c:f>
              <c:strCache>
                <c:ptCount val="1"/>
                <c:pt idx="0">
                  <c:v>Level 5</c:v>
                </c:pt>
              </c:strCache>
            </c:strRef>
          </c:tx>
          <c:invertIfNegative val="0"/>
          <c:cat>
            <c:strRef>
              <c:f>Literacy!$P$8:$P$24</c:f>
              <c:strCache>
                <c:ptCount val="17"/>
                <c:pt idx="0">
                  <c:v>Italy</c:v>
                </c:pt>
                <c:pt idx="1">
                  <c:v>Spain</c:v>
                </c:pt>
                <c:pt idx="2">
                  <c:v>Ireland</c:v>
                </c:pt>
                <c:pt idx="3">
                  <c:v>United Kingdom (EN/NI)</c:v>
                </c:pt>
                <c:pt idx="4">
                  <c:v>Poland</c:v>
                </c:pt>
                <c:pt idx="5">
                  <c:v>France</c:v>
                </c:pt>
                <c:pt idx="6">
                  <c:v>Slovak Republic</c:v>
                </c:pt>
                <c:pt idx="7">
                  <c:v>Germany</c:v>
                </c:pt>
                <c:pt idx="8">
                  <c:v>Austria</c:v>
                </c:pt>
                <c:pt idx="9">
                  <c:v>EU-16 average</c:v>
                </c:pt>
                <c:pt idx="10">
                  <c:v>Denmark</c:v>
                </c:pt>
                <c:pt idx="11">
                  <c:v>Czech Republic</c:v>
                </c:pt>
                <c:pt idx="12">
                  <c:v>Estonia</c:v>
                </c:pt>
                <c:pt idx="13">
                  <c:v>Sweden</c:v>
                </c:pt>
                <c:pt idx="14">
                  <c:v>Belgium (FL)</c:v>
                </c:pt>
                <c:pt idx="15">
                  <c:v>Netherlands</c:v>
                </c:pt>
                <c:pt idx="16">
                  <c:v>Finland</c:v>
                </c:pt>
              </c:strCache>
            </c:strRef>
          </c:cat>
          <c:val>
            <c:numRef>
              <c:f>Literacy!$V$8:$V$24</c:f>
              <c:numCache>
                <c:formatCode>0.00</c:formatCode>
                <c:ptCount val="17"/>
                <c:pt idx="0">
                  <c:v>7.0709999999999995E-2</c:v>
                </c:pt>
                <c:pt idx="1">
                  <c:v>0.16273000000000001</c:v>
                </c:pt>
                <c:pt idx="2">
                  <c:v>0.62960000000000005</c:v>
                </c:pt>
                <c:pt idx="3">
                  <c:v>1.0108600000000001</c:v>
                </c:pt>
                <c:pt idx="4">
                  <c:v>1.1412599999999999</c:v>
                </c:pt>
                <c:pt idx="5">
                  <c:v>0.64546000000000003</c:v>
                </c:pt>
                <c:pt idx="6">
                  <c:v>0.25818000000000002</c:v>
                </c:pt>
                <c:pt idx="7">
                  <c:v>0.75183</c:v>
                </c:pt>
                <c:pt idx="8">
                  <c:v>0.50846000000000002</c:v>
                </c:pt>
                <c:pt idx="9">
                  <c:v>1.1326799999999999</c:v>
                </c:pt>
                <c:pt idx="10">
                  <c:v>0.79769000000000001</c:v>
                </c:pt>
                <c:pt idx="11">
                  <c:v>0.76753000000000005</c:v>
                </c:pt>
                <c:pt idx="12">
                  <c:v>1.4310700000000001</c:v>
                </c:pt>
                <c:pt idx="13">
                  <c:v>1.9275800000000001</c:v>
                </c:pt>
                <c:pt idx="14">
                  <c:v>0.97192000000000001</c:v>
                </c:pt>
                <c:pt idx="15">
                  <c:v>2.8149999999999999</c:v>
                </c:pt>
                <c:pt idx="16">
                  <c:v>4.2330800000000002</c:v>
                </c:pt>
              </c:numCache>
            </c:numRef>
          </c:val>
          <c:extLst>
            <c:ext xmlns:c16="http://schemas.microsoft.com/office/drawing/2014/chart" uri="{C3380CC4-5D6E-409C-BE32-E72D297353CC}">
              <c16:uniqueId val="{00000005-069E-4855-8EF4-3B69046C294F}"/>
            </c:ext>
          </c:extLst>
        </c:ser>
        <c:dLbls>
          <c:showLegendKey val="0"/>
          <c:showVal val="0"/>
          <c:showCatName val="0"/>
          <c:showSerName val="0"/>
          <c:showPercent val="0"/>
          <c:showBubbleSize val="0"/>
        </c:dLbls>
        <c:gapWidth val="150"/>
        <c:overlap val="100"/>
        <c:axId val="355908800"/>
        <c:axId val="355908016"/>
      </c:barChart>
      <c:catAx>
        <c:axId val="355908800"/>
        <c:scaling>
          <c:orientation val="minMax"/>
        </c:scaling>
        <c:delete val="0"/>
        <c:axPos val="l"/>
        <c:numFmt formatCode="General" sourceLinked="1"/>
        <c:majorTickMark val="none"/>
        <c:minorTickMark val="none"/>
        <c:tickLblPos val="low"/>
        <c:spPr>
          <a:ln w="22225">
            <a:solidFill>
              <a:schemeClr val="tx1"/>
            </a:solidFill>
          </a:ln>
        </c:spPr>
        <c:txPr>
          <a:bodyPr rot="0" vert="horz"/>
          <a:lstStyle/>
          <a:p>
            <a:pPr>
              <a:defRPr sz="1000" b="0" i="0" u="none" strike="noStrike" baseline="0">
                <a:solidFill>
                  <a:srgbClr val="000000"/>
                </a:solidFill>
                <a:latin typeface="Calibri"/>
                <a:ea typeface="Calibri"/>
                <a:cs typeface="Calibri"/>
              </a:defRPr>
            </a:pPr>
            <a:endParaRPr lang="en-US"/>
          </a:p>
        </c:txPr>
        <c:crossAx val="355908016"/>
        <c:crosses val="autoZero"/>
        <c:auto val="1"/>
        <c:lblAlgn val="ctr"/>
        <c:lblOffset val="100"/>
        <c:noMultiLvlLbl val="0"/>
      </c:catAx>
      <c:valAx>
        <c:axId val="355908016"/>
        <c:scaling>
          <c:orientation val="minMax"/>
          <c:max val="100"/>
          <c:min val="-100"/>
        </c:scaling>
        <c:delete val="0"/>
        <c:axPos val="b"/>
        <c:majorGridlines>
          <c:spPr>
            <a:ln w="3175">
              <a:prstDash val="dash"/>
            </a:ln>
          </c:spPr>
        </c:majorGridlines>
        <c:numFmt formatCode="0;[Black]0" sourceLinked="0"/>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55908800"/>
        <c:crosses val="autoZero"/>
        <c:crossBetween val="between"/>
        <c:majorUnit val="20"/>
      </c:valAx>
      <c:spPr>
        <a:noFill/>
        <a:ln>
          <a:solidFill>
            <a:schemeClr val="tx1">
              <a:tint val="75000"/>
              <a:shade val="95000"/>
              <a:satMod val="105000"/>
            </a:schemeClr>
          </a:solidFill>
        </a:ln>
      </c:spPr>
    </c:plotArea>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'Numeracy '!$B$45</c:f>
              <c:strCache>
                <c:ptCount val="1"/>
                <c:pt idx="0">
                  <c:v>Tertiary</c:v>
                </c:pt>
              </c:strCache>
            </c:strRef>
          </c:tx>
          <c:spPr>
            <a:solidFill>
              <a:schemeClr val="tx2">
                <a:lumMod val="50000"/>
              </a:schemeClr>
            </a:solidFill>
          </c:spPr>
          <c:invertIfNegative val="0"/>
          <c:errBars>
            <c:errBarType val="both"/>
            <c:errValType val="cust"/>
            <c:noEndCap val="0"/>
            <c:plus>
              <c:numRef>
                <c:f>'Numeracy '!$C$46:$C$62</c:f>
                <c:numCache>
                  <c:formatCode>General</c:formatCode>
                  <c:ptCount val="17"/>
                  <c:pt idx="0">
                    <c:v>8.6496759999999985E-3</c:v>
                  </c:pt>
                  <c:pt idx="1">
                    <c:v>9.656528000000001E-3</c:v>
                  </c:pt>
                  <c:pt idx="2">
                    <c:v>6.3286439999999996E-3</c:v>
                  </c:pt>
                  <c:pt idx="3">
                    <c:v>8.2202400000000002E-3</c:v>
                  </c:pt>
                  <c:pt idx="4">
                    <c:v>1.226176E-2</c:v>
                  </c:pt>
                  <c:pt idx="5">
                    <c:v>4.9293999999999996E-3</c:v>
                  </c:pt>
                  <c:pt idx="6">
                    <c:v>8.9217240000000007E-3</c:v>
                  </c:pt>
                  <c:pt idx="7">
                    <c:v>1.126314E-2</c:v>
                  </c:pt>
                  <c:pt idx="8">
                    <c:v>7.1061759999999996E-3</c:v>
                  </c:pt>
                  <c:pt idx="9">
                    <c:v>1.4155316000000001E-2</c:v>
                  </c:pt>
                  <c:pt idx="10">
                    <c:v>9.2341479999999993E-3</c:v>
                  </c:pt>
                  <c:pt idx="11">
                    <c:v>6.4164519999999996E-3</c:v>
                  </c:pt>
                  <c:pt idx="12">
                    <c:v>9.0938119999999997E-3</c:v>
                  </c:pt>
                  <c:pt idx="13">
                    <c:v>7.9413320000000006E-3</c:v>
                  </c:pt>
                  <c:pt idx="14">
                    <c:v>6.3872479999999999E-3</c:v>
                  </c:pt>
                  <c:pt idx="15">
                    <c:v>6.2476959999999996E-3</c:v>
                  </c:pt>
                  <c:pt idx="16">
                    <c:v>9.2461039999999998E-3</c:v>
                  </c:pt>
                </c:numCache>
              </c:numRef>
            </c:plus>
            <c:minus>
              <c:numRef>
                <c:f>'Numeracy '!$C$46:$C$62</c:f>
                <c:numCache>
                  <c:formatCode>General</c:formatCode>
                  <c:ptCount val="17"/>
                  <c:pt idx="0">
                    <c:v>8.6496759999999985E-3</c:v>
                  </c:pt>
                  <c:pt idx="1">
                    <c:v>9.656528000000001E-3</c:v>
                  </c:pt>
                  <c:pt idx="2">
                    <c:v>6.3286439999999996E-3</c:v>
                  </c:pt>
                  <c:pt idx="3">
                    <c:v>8.2202400000000002E-3</c:v>
                  </c:pt>
                  <c:pt idx="4">
                    <c:v>1.226176E-2</c:v>
                  </c:pt>
                  <c:pt idx="5">
                    <c:v>4.9293999999999996E-3</c:v>
                  </c:pt>
                  <c:pt idx="6">
                    <c:v>8.9217240000000007E-3</c:v>
                  </c:pt>
                  <c:pt idx="7">
                    <c:v>1.126314E-2</c:v>
                  </c:pt>
                  <c:pt idx="8">
                    <c:v>7.1061759999999996E-3</c:v>
                  </c:pt>
                  <c:pt idx="9">
                    <c:v>1.4155316000000001E-2</c:v>
                  </c:pt>
                  <c:pt idx="10">
                    <c:v>9.2341479999999993E-3</c:v>
                  </c:pt>
                  <c:pt idx="11">
                    <c:v>6.4164519999999996E-3</c:v>
                  </c:pt>
                  <c:pt idx="12">
                    <c:v>9.0938119999999997E-3</c:v>
                  </c:pt>
                  <c:pt idx="13">
                    <c:v>7.9413320000000006E-3</c:v>
                  </c:pt>
                  <c:pt idx="14">
                    <c:v>6.3872479999999999E-3</c:v>
                  </c:pt>
                  <c:pt idx="15">
                    <c:v>6.2476959999999996E-3</c:v>
                  </c:pt>
                  <c:pt idx="16">
                    <c:v>9.2461039999999998E-3</c:v>
                  </c:pt>
                </c:numCache>
              </c:numRef>
            </c:minus>
          </c:errBars>
          <c:cat>
            <c:strRef>
              <c:f>'Numeracy '!$A$46:$A$62</c:f>
              <c:strCache>
                <c:ptCount val="17"/>
                <c:pt idx="0">
                  <c:v>SK</c:v>
                </c:pt>
                <c:pt idx="1">
                  <c:v>DK</c:v>
                </c:pt>
                <c:pt idx="2">
                  <c:v>EE</c:v>
                </c:pt>
                <c:pt idx="3">
                  <c:v>DE</c:v>
                </c:pt>
                <c:pt idx="4">
                  <c:v>IT</c:v>
                </c:pt>
                <c:pt idx="5">
                  <c:v>UK (EN/NI)</c:v>
                </c:pt>
                <c:pt idx="6">
                  <c:v>ES</c:v>
                </c:pt>
                <c:pt idx="7">
                  <c:v>BE (FL)</c:v>
                </c:pt>
                <c:pt idx="8">
                  <c:v>SE</c:v>
                </c:pt>
                <c:pt idx="9">
                  <c:v>EU-16</c:v>
                </c:pt>
                <c:pt idx="10">
                  <c:v>NL</c:v>
                </c:pt>
                <c:pt idx="11">
                  <c:v>IE</c:v>
                </c:pt>
                <c:pt idx="12">
                  <c:v>FI</c:v>
                </c:pt>
                <c:pt idx="13">
                  <c:v>AT</c:v>
                </c:pt>
                <c:pt idx="14">
                  <c:v>PL</c:v>
                </c:pt>
                <c:pt idx="15">
                  <c:v>CZ</c:v>
                </c:pt>
                <c:pt idx="16">
                  <c:v>FR</c:v>
                </c:pt>
              </c:strCache>
            </c:strRef>
          </c:cat>
          <c:val>
            <c:numRef>
              <c:f>'Numeracy '!$B$46:$B$62</c:f>
              <c:numCache>
                <c:formatCode>General</c:formatCode>
                <c:ptCount val="17"/>
                <c:pt idx="0">
                  <c:v>4.23563E-2</c:v>
                </c:pt>
                <c:pt idx="1">
                  <c:v>3.5790799999999998E-2</c:v>
                </c:pt>
                <c:pt idx="2">
                  <c:v>3.0705099999999999E-2</c:v>
                </c:pt>
                <c:pt idx="3">
                  <c:v>6.2422499999999999E-2</c:v>
                </c:pt>
                <c:pt idx="4">
                  <c:v>4.6445800000000002E-2</c:v>
                </c:pt>
                <c:pt idx="5">
                  <c:v>6.4657699999999999E-2</c:v>
                </c:pt>
                <c:pt idx="6">
                  <c:v>2.4862700000000001E-2</c:v>
                </c:pt>
                <c:pt idx="7">
                  <c:v>6.6932500000000006E-2</c:v>
                </c:pt>
                <c:pt idx="8">
                  <c:v>5.7980499999999997E-2</c:v>
                </c:pt>
                <c:pt idx="9">
                  <c:v>6.3322699999999996E-2</c:v>
                </c:pt>
                <c:pt idx="10">
                  <c:v>6.15664E-2</c:v>
                </c:pt>
                <c:pt idx="11">
                  <c:v>7.9352800000000001E-2</c:v>
                </c:pt>
                <c:pt idx="12">
                  <c:v>5.4960299999999997E-2</c:v>
                </c:pt>
                <c:pt idx="13">
                  <c:v>7.0994399999999999E-2</c:v>
                </c:pt>
                <c:pt idx="14">
                  <c:v>7.50696E-2</c:v>
                </c:pt>
                <c:pt idx="15">
                  <c:v>8.6834999999999996E-2</c:v>
                </c:pt>
                <c:pt idx="16">
                  <c:v>0.10802009999999999</c:v>
                </c:pt>
              </c:numCache>
            </c:numRef>
          </c:val>
          <c:extLst>
            <c:ext xmlns:c16="http://schemas.microsoft.com/office/drawing/2014/chart" uri="{C3380CC4-5D6E-409C-BE32-E72D297353CC}">
              <c16:uniqueId val="{00000000-9F31-4DD7-B5CF-495F62F02ECC}"/>
            </c:ext>
          </c:extLst>
        </c:ser>
        <c:ser>
          <c:idx val="1"/>
          <c:order val="1"/>
          <c:tx>
            <c:strRef>
              <c:f>'Numeracy '!$D$45</c:f>
              <c:strCache>
                <c:ptCount val="1"/>
                <c:pt idx="0">
                  <c:v>Upper Secondary/Post-Secondary Non-Tertiary</c:v>
                </c:pt>
              </c:strCache>
            </c:strRef>
          </c:tx>
          <c:spPr>
            <a:solidFill>
              <a:schemeClr val="tx2">
                <a:lumMod val="60000"/>
                <a:lumOff val="40000"/>
              </a:schemeClr>
            </a:solidFill>
          </c:spPr>
          <c:invertIfNegative val="0"/>
          <c:errBars>
            <c:errBarType val="both"/>
            <c:errValType val="cust"/>
            <c:noEndCap val="0"/>
            <c:plus>
              <c:numRef>
                <c:f>'Numeracy '!$E$46:$E$62</c:f>
                <c:numCache>
                  <c:formatCode>General</c:formatCode>
                  <c:ptCount val="17"/>
                  <c:pt idx="0">
                    <c:v>1.9446531999999999E-2</c:v>
                  </c:pt>
                  <c:pt idx="1">
                    <c:v>1.3903259999999999E-2</c:v>
                  </c:pt>
                  <c:pt idx="2">
                    <c:v>1.548008E-2</c:v>
                  </c:pt>
                  <c:pt idx="3">
                    <c:v>1.5664516E-2</c:v>
                  </c:pt>
                  <c:pt idx="4">
                    <c:v>7.9444679999999997E-3</c:v>
                  </c:pt>
                  <c:pt idx="5">
                    <c:v>1.6960664E-2</c:v>
                  </c:pt>
                  <c:pt idx="6">
                    <c:v>1.0579100000000001E-2</c:v>
                  </c:pt>
                  <c:pt idx="7">
                    <c:v>2.0434371999999999E-2</c:v>
                  </c:pt>
                  <c:pt idx="8">
                    <c:v>1.5773688000000001E-2</c:v>
                  </c:pt>
                  <c:pt idx="9">
                    <c:v>1.4363859999999999E-2</c:v>
                  </c:pt>
                  <c:pt idx="10">
                    <c:v>1.3320943999999999E-2</c:v>
                  </c:pt>
                  <c:pt idx="11">
                    <c:v>1.7590412E-2</c:v>
                  </c:pt>
                  <c:pt idx="12">
                    <c:v>1.6564547999999998E-2</c:v>
                  </c:pt>
                  <c:pt idx="13">
                    <c:v>1.4364839999999999E-2</c:v>
                  </c:pt>
                  <c:pt idx="14">
                    <c:v>2.0151347999999999E-2</c:v>
                  </c:pt>
                  <c:pt idx="15">
                    <c:v>1.8239564E-2</c:v>
                  </c:pt>
                  <c:pt idx="16">
                    <c:v>1.7823064E-2</c:v>
                  </c:pt>
                </c:numCache>
              </c:numRef>
            </c:plus>
            <c:minus>
              <c:numRef>
                <c:f>'Numeracy '!$E$46:$E$62</c:f>
                <c:numCache>
                  <c:formatCode>General</c:formatCode>
                  <c:ptCount val="17"/>
                  <c:pt idx="0">
                    <c:v>1.9446531999999999E-2</c:v>
                  </c:pt>
                  <c:pt idx="1">
                    <c:v>1.3903259999999999E-2</c:v>
                  </c:pt>
                  <c:pt idx="2">
                    <c:v>1.548008E-2</c:v>
                  </c:pt>
                  <c:pt idx="3">
                    <c:v>1.5664516E-2</c:v>
                  </c:pt>
                  <c:pt idx="4">
                    <c:v>7.9444679999999997E-3</c:v>
                  </c:pt>
                  <c:pt idx="5">
                    <c:v>1.6960664E-2</c:v>
                  </c:pt>
                  <c:pt idx="6">
                    <c:v>1.0579100000000001E-2</c:v>
                  </c:pt>
                  <c:pt idx="7">
                    <c:v>2.0434371999999999E-2</c:v>
                  </c:pt>
                  <c:pt idx="8">
                    <c:v>1.5773688000000001E-2</c:v>
                  </c:pt>
                  <c:pt idx="9">
                    <c:v>1.4363859999999999E-2</c:v>
                  </c:pt>
                  <c:pt idx="10">
                    <c:v>1.3320943999999999E-2</c:v>
                  </c:pt>
                  <c:pt idx="11">
                    <c:v>1.7590412E-2</c:v>
                  </c:pt>
                  <c:pt idx="12">
                    <c:v>1.6564547999999998E-2</c:v>
                  </c:pt>
                  <c:pt idx="13">
                    <c:v>1.4364839999999999E-2</c:v>
                  </c:pt>
                  <c:pt idx="14">
                    <c:v>2.0151347999999999E-2</c:v>
                  </c:pt>
                  <c:pt idx="15">
                    <c:v>1.8239564E-2</c:v>
                  </c:pt>
                  <c:pt idx="16">
                    <c:v>1.7823064E-2</c:v>
                  </c:pt>
                </c:numCache>
              </c:numRef>
            </c:minus>
          </c:errBars>
          <c:cat>
            <c:strRef>
              <c:f>'Numeracy '!$A$46:$A$62</c:f>
              <c:strCache>
                <c:ptCount val="17"/>
                <c:pt idx="0">
                  <c:v>SK</c:v>
                </c:pt>
                <c:pt idx="1">
                  <c:v>DK</c:v>
                </c:pt>
                <c:pt idx="2">
                  <c:v>EE</c:v>
                </c:pt>
                <c:pt idx="3">
                  <c:v>DE</c:v>
                </c:pt>
                <c:pt idx="4">
                  <c:v>IT</c:v>
                </c:pt>
                <c:pt idx="5">
                  <c:v>UK (EN/NI)</c:v>
                </c:pt>
                <c:pt idx="6">
                  <c:v>ES</c:v>
                </c:pt>
                <c:pt idx="7">
                  <c:v>BE (FL)</c:v>
                </c:pt>
                <c:pt idx="8">
                  <c:v>SE</c:v>
                </c:pt>
                <c:pt idx="9">
                  <c:v>EU-16</c:v>
                </c:pt>
                <c:pt idx="10">
                  <c:v>NL</c:v>
                </c:pt>
                <c:pt idx="11">
                  <c:v>IE</c:v>
                </c:pt>
                <c:pt idx="12">
                  <c:v>FI</c:v>
                </c:pt>
                <c:pt idx="13">
                  <c:v>AT</c:v>
                </c:pt>
                <c:pt idx="14">
                  <c:v>PL</c:v>
                </c:pt>
                <c:pt idx="15">
                  <c:v>CZ</c:v>
                </c:pt>
                <c:pt idx="16">
                  <c:v>FR</c:v>
                </c:pt>
              </c:strCache>
            </c:strRef>
          </c:cat>
          <c:val>
            <c:numRef>
              <c:f>'Numeracy '!$D$46:$D$62</c:f>
              <c:numCache>
                <c:formatCode>General</c:formatCode>
                <c:ptCount val="17"/>
                <c:pt idx="0">
                  <c:v>0.14196639999999999</c:v>
                </c:pt>
                <c:pt idx="1">
                  <c:v>0.12536149999999999</c:v>
                </c:pt>
                <c:pt idx="2">
                  <c:v>0.1176378</c:v>
                </c:pt>
                <c:pt idx="3">
                  <c:v>0.11179840000000001</c:v>
                </c:pt>
                <c:pt idx="4">
                  <c:v>0.1103172</c:v>
                </c:pt>
                <c:pt idx="5">
                  <c:v>0.11008179999999999</c:v>
                </c:pt>
                <c:pt idx="6">
                  <c:v>0.10909199999999999</c:v>
                </c:pt>
                <c:pt idx="7">
                  <c:v>0.1033562</c:v>
                </c:pt>
                <c:pt idx="8">
                  <c:v>0.1030595</c:v>
                </c:pt>
                <c:pt idx="9">
                  <c:v>0.1011417</c:v>
                </c:pt>
                <c:pt idx="10">
                  <c:v>9.8846000000000003E-2</c:v>
                </c:pt>
                <c:pt idx="11">
                  <c:v>9.8408499999999996E-2</c:v>
                </c:pt>
                <c:pt idx="12">
                  <c:v>9.7814200000000004E-2</c:v>
                </c:pt>
                <c:pt idx="13">
                  <c:v>9.5615699999999998E-2</c:v>
                </c:pt>
                <c:pt idx="14">
                  <c:v>9.1651999999999997E-2</c:v>
                </c:pt>
                <c:pt idx="15">
                  <c:v>7.8859499999999999E-2</c:v>
                </c:pt>
                <c:pt idx="16">
                  <c:v>6.6569900000000001E-2</c:v>
                </c:pt>
              </c:numCache>
            </c:numRef>
          </c:val>
          <c:extLst>
            <c:ext xmlns:c16="http://schemas.microsoft.com/office/drawing/2014/chart" uri="{C3380CC4-5D6E-409C-BE32-E72D297353CC}">
              <c16:uniqueId val="{00000001-9F31-4DD7-B5CF-495F62F02ECC}"/>
            </c:ext>
          </c:extLst>
        </c:ser>
        <c:dLbls>
          <c:showLegendKey val="0"/>
          <c:showVal val="0"/>
          <c:showCatName val="0"/>
          <c:showSerName val="0"/>
          <c:showPercent val="0"/>
          <c:showBubbleSize val="0"/>
        </c:dLbls>
        <c:gapWidth val="100"/>
        <c:axId val="359115512"/>
        <c:axId val="359115904"/>
      </c:barChart>
      <c:catAx>
        <c:axId val="359115512"/>
        <c:scaling>
          <c:orientation val="minMax"/>
        </c:scaling>
        <c:delete val="0"/>
        <c:axPos val="b"/>
        <c:numFmt formatCode="General" sourceLinked="0"/>
        <c:majorTickMark val="in"/>
        <c:minorTickMark val="none"/>
        <c:tickLblPos val="nextTo"/>
        <c:spPr>
          <a:ln>
            <a:solidFill>
              <a:schemeClr val="tx1"/>
            </a:solidFill>
          </a:ln>
        </c:spPr>
        <c:crossAx val="359115904"/>
        <c:crosses val="autoZero"/>
        <c:auto val="1"/>
        <c:lblAlgn val="ctr"/>
        <c:lblOffset val="100"/>
        <c:noMultiLvlLbl val="0"/>
      </c:catAx>
      <c:valAx>
        <c:axId val="359115904"/>
        <c:scaling>
          <c:orientation val="minMax"/>
        </c:scaling>
        <c:delete val="0"/>
        <c:axPos val="l"/>
        <c:majorGridlines>
          <c:spPr>
            <a:ln>
              <a:solidFill>
                <a:schemeClr val="bg1">
                  <a:lumMod val="85000"/>
                </a:schemeClr>
              </a:solidFill>
              <a:prstDash val="dash"/>
            </a:ln>
          </c:spPr>
        </c:majorGridlines>
        <c:numFmt formatCode="#,##0.00" sourceLinked="0"/>
        <c:majorTickMark val="in"/>
        <c:minorTickMark val="none"/>
        <c:tickLblPos val="nextTo"/>
        <c:spPr>
          <a:ln>
            <a:solidFill>
              <a:schemeClr val="tx1"/>
            </a:solidFill>
          </a:ln>
        </c:spPr>
        <c:crossAx val="359115512"/>
        <c:crosses val="autoZero"/>
        <c:crossBetween val="between"/>
      </c:valAx>
    </c:plotArea>
    <c:legend>
      <c:legendPos val="t"/>
      <c:layout>
        <c:manualLayout>
          <c:xMode val="edge"/>
          <c:yMode val="edge"/>
          <c:x val="0.17680574811869446"/>
          <c:y val="5.636449037106623E-2"/>
          <c:w val="0.668816227264866"/>
          <c:h val="8.5076045099161474E-2"/>
        </c:manualLayout>
      </c:layout>
      <c:overlay val="1"/>
    </c:legend>
    <c:plotVisOnly val="1"/>
    <c:dispBlanksAs val="gap"/>
    <c:showDLblsOverMax val="0"/>
  </c:chart>
  <c:spPr>
    <a:ln>
      <a:noFill/>
    </a:ln>
  </c:spPr>
  <c:externalData r:id="rId1">
    <c:autoUpdate val="0"/>
  </c:externalData>
  <c:userShapes r:id="rId2"/>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Literacy!$B$43</c:f>
              <c:strCache>
                <c:ptCount val="1"/>
                <c:pt idx="0">
                  <c:v>Tertiary</c:v>
                </c:pt>
              </c:strCache>
            </c:strRef>
          </c:tx>
          <c:spPr>
            <a:solidFill>
              <a:srgbClr val="1F497D">
                <a:lumMod val="50000"/>
              </a:srgbClr>
            </a:solidFill>
          </c:spPr>
          <c:invertIfNegative val="0"/>
          <c:errBars>
            <c:errBarType val="both"/>
            <c:errValType val="cust"/>
            <c:noEndCap val="0"/>
            <c:plus>
              <c:numRef>
                <c:f>Literacy!$C$44:$C$60</c:f>
                <c:numCache>
                  <c:formatCode>General</c:formatCode>
                  <c:ptCount val="17"/>
                  <c:pt idx="0">
                    <c:v>7.3601920000000006E-3</c:v>
                  </c:pt>
                  <c:pt idx="1">
                    <c:v>9.00718E-3</c:v>
                  </c:pt>
                  <c:pt idx="2">
                    <c:v>7.0130759999999992E-3</c:v>
                  </c:pt>
                  <c:pt idx="3">
                    <c:v>6.0230800000000001E-3</c:v>
                  </c:pt>
                  <c:pt idx="4">
                    <c:v>7.398216E-3</c:v>
                  </c:pt>
                  <c:pt idx="5">
                    <c:v>6.5950079999999994E-3</c:v>
                  </c:pt>
                  <c:pt idx="6">
                    <c:v>4.6700920000000007E-3</c:v>
                  </c:pt>
                  <c:pt idx="7">
                    <c:v>5.8776479999999992E-3</c:v>
                  </c:pt>
                  <c:pt idx="8">
                    <c:v>7.5038599999999994E-3</c:v>
                  </c:pt>
                  <c:pt idx="9">
                    <c:v>1.0622807999999999E-2</c:v>
                  </c:pt>
                  <c:pt idx="10">
                    <c:v>7.1277359999999991E-3</c:v>
                  </c:pt>
                  <c:pt idx="11">
                    <c:v>6.4536919999999996E-3</c:v>
                  </c:pt>
                  <c:pt idx="12">
                    <c:v>7.6975079999999996E-3</c:v>
                  </c:pt>
                  <c:pt idx="13">
                    <c:v>6.8452999999999995E-3</c:v>
                  </c:pt>
                  <c:pt idx="14">
                    <c:v>6.4429120000000003E-3</c:v>
                  </c:pt>
                  <c:pt idx="15">
                    <c:v>6.5436560000000001E-3</c:v>
                  </c:pt>
                  <c:pt idx="16">
                    <c:v>6.1859559999999994E-3</c:v>
                  </c:pt>
                </c:numCache>
              </c:numRef>
            </c:plus>
            <c:minus>
              <c:numRef>
                <c:f>Literacy!$C$44:$C$60</c:f>
                <c:numCache>
                  <c:formatCode>General</c:formatCode>
                  <c:ptCount val="17"/>
                  <c:pt idx="0">
                    <c:v>7.3601920000000006E-3</c:v>
                  </c:pt>
                  <c:pt idx="1">
                    <c:v>9.00718E-3</c:v>
                  </c:pt>
                  <c:pt idx="2">
                    <c:v>7.0130759999999992E-3</c:v>
                  </c:pt>
                  <c:pt idx="3">
                    <c:v>6.0230800000000001E-3</c:v>
                  </c:pt>
                  <c:pt idx="4">
                    <c:v>7.398216E-3</c:v>
                  </c:pt>
                  <c:pt idx="5">
                    <c:v>6.5950079999999994E-3</c:v>
                  </c:pt>
                  <c:pt idx="6">
                    <c:v>4.6700920000000007E-3</c:v>
                  </c:pt>
                  <c:pt idx="7">
                    <c:v>5.8776479999999992E-3</c:v>
                  </c:pt>
                  <c:pt idx="8">
                    <c:v>7.5038599999999994E-3</c:v>
                  </c:pt>
                  <c:pt idx="9">
                    <c:v>1.0622807999999999E-2</c:v>
                  </c:pt>
                  <c:pt idx="10">
                    <c:v>7.1277359999999991E-3</c:v>
                  </c:pt>
                  <c:pt idx="11">
                    <c:v>6.4536919999999996E-3</c:v>
                  </c:pt>
                  <c:pt idx="12">
                    <c:v>7.6975079999999996E-3</c:v>
                  </c:pt>
                  <c:pt idx="13">
                    <c:v>6.8452999999999995E-3</c:v>
                  </c:pt>
                  <c:pt idx="14">
                    <c:v>6.4429120000000003E-3</c:v>
                  </c:pt>
                  <c:pt idx="15">
                    <c:v>6.5436560000000001E-3</c:v>
                  </c:pt>
                  <c:pt idx="16">
                    <c:v>6.1859559999999994E-3</c:v>
                  </c:pt>
                </c:numCache>
              </c:numRef>
            </c:minus>
          </c:errBars>
          <c:cat>
            <c:strRef>
              <c:f>Literacy!$A$44:$A$60</c:f>
              <c:strCache>
                <c:ptCount val="17"/>
                <c:pt idx="0">
                  <c:v>SK</c:v>
                </c:pt>
                <c:pt idx="1">
                  <c:v>DK</c:v>
                </c:pt>
                <c:pt idx="2">
                  <c:v>EE</c:v>
                </c:pt>
                <c:pt idx="3">
                  <c:v>UK (EN/NI)</c:v>
                </c:pt>
                <c:pt idx="4">
                  <c:v>IT</c:v>
                </c:pt>
                <c:pt idx="5">
                  <c:v>IE</c:v>
                </c:pt>
                <c:pt idx="6">
                  <c:v>AT</c:v>
                </c:pt>
                <c:pt idx="7">
                  <c:v>DE</c:v>
                </c:pt>
                <c:pt idx="8">
                  <c:v>ES</c:v>
                </c:pt>
                <c:pt idx="9">
                  <c:v>EU-16</c:v>
                </c:pt>
                <c:pt idx="10">
                  <c:v>NL</c:v>
                </c:pt>
                <c:pt idx="11">
                  <c:v>FI</c:v>
                </c:pt>
                <c:pt idx="12">
                  <c:v>BE (FL)</c:v>
                </c:pt>
                <c:pt idx="13">
                  <c:v>SE</c:v>
                </c:pt>
                <c:pt idx="14">
                  <c:v>CZ</c:v>
                </c:pt>
                <c:pt idx="15">
                  <c:v>FR</c:v>
                </c:pt>
                <c:pt idx="16">
                  <c:v>PL</c:v>
                </c:pt>
              </c:strCache>
            </c:strRef>
          </c:cat>
          <c:val>
            <c:numRef>
              <c:f>Literacy!$B$44:$B$60</c:f>
              <c:numCache>
                <c:formatCode>General</c:formatCode>
                <c:ptCount val="17"/>
                <c:pt idx="0">
                  <c:v>2.2348799999999999E-2</c:v>
                </c:pt>
                <c:pt idx="1">
                  <c:v>3.9521000000000001E-2</c:v>
                </c:pt>
                <c:pt idx="2">
                  <c:v>3.1776699999999998E-2</c:v>
                </c:pt>
                <c:pt idx="3">
                  <c:v>4.6553799999999999E-2</c:v>
                </c:pt>
                <c:pt idx="4">
                  <c:v>5.6092200000000002E-2</c:v>
                </c:pt>
                <c:pt idx="5">
                  <c:v>6.3018099999999994E-2</c:v>
                </c:pt>
                <c:pt idx="6">
                  <c:v>5.5579099999999999E-2</c:v>
                </c:pt>
                <c:pt idx="7">
                  <c:v>5.2907900000000001E-2</c:v>
                </c:pt>
                <c:pt idx="8">
                  <c:v>3.3988699999999997E-2</c:v>
                </c:pt>
                <c:pt idx="9">
                  <c:v>5.6481700000000003E-2</c:v>
                </c:pt>
                <c:pt idx="10">
                  <c:v>6.4042000000000002E-2</c:v>
                </c:pt>
                <c:pt idx="11">
                  <c:v>5.2701100000000001E-2</c:v>
                </c:pt>
                <c:pt idx="12">
                  <c:v>7.4811100000000005E-2</c:v>
                </c:pt>
                <c:pt idx="13">
                  <c:v>5.3981099999999997E-2</c:v>
                </c:pt>
                <c:pt idx="14">
                  <c:v>6.2724799999999997E-2</c:v>
                </c:pt>
                <c:pt idx="15">
                  <c:v>6.94018E-2</c:v>
                </c:pt>
                <c:pt idx="16">
                  <c:v>8.2405699999999998E-2</c:v>
                </c:pt>
              </c:numCache>
            </c:numRef>
          </c:val>
          <c:extLst>
            <c:ext xmlns:c16="http://schemas.microsoft.com/office/drawing/2014/chart" uri="{C3380CC4-5D6E-409C-BE32-E72D297353CC}">
              <c16:uniqueId val="{00000000-6021-4546-BEC3-9B247692D2DE}"/>
            </c:ext>
          </c:extLst>
        </c:ser>
        <c:ser>
          <c:idx val="1"/>
          <c:order val="1"/>
          <c:tx>
            <c:strRef>
              <c:f>Literacy!$D$43</c:f>
              <c:strCache>
                <c:ptCount val="1"/>
                <c:pt idx="0">
                  <c:v>Upper Secondary/Post-Secondary Non-Tertiary</c:v>
                </c:pt>
              </c:strCache>
            </c:strRef>
          </c:tx>
          <c:spPr>
            <a:solidFill>
              <a:srgbClr val="1F497D">
                <a:lumMod val="60000"/>
                <a:lumOff val="40000"/>
              </a:srgbClr>
            </a:solidFill>
          </c:spPr>
          <c:invertIfNegative val="0"/>
          <c:errBars>
            <c:errBarType val="both"/>
            <c:errValType val="cust"/>
            <c:noEndCap val="0"/>
            <c:plus>
              <c:numRef>
                <c:f>Literacy!$E$44:$E$60</c:f>
                <c:numCache>
                  <c:formatCode>General</c:formatCode>
                  <c:ptCount val="17"/>
                  <c:pt idx="0">
                    <c:v>1.1684735999999999E-2</c:v>
                  </c:pt>
                  <c:pt idx="1">
                    <c:v>8.3999720000000003E-3</c:v>
                  </c:pt>
                  <c:pt idx="2">
                    <c:v>9.4530799999999991E-3</c:v>
                  </c:pt>
                  <c:pt idx="3">
                    <c:v>9.97346E-3</c:v>
                  </c:pt>
                  <c:pt idx="4">
                    <c:v>3.9517520000000002E-3</c:v>
                  </c:pt>
                  <c:pt idx="5">
                    <c:v>1.0864476E-2</c:v>
                  </c:pt>
                  <c:pt idx="6">
                    <c:v>8.6181199999999999E-3</c:v>
                  </c:pt>
                  <c:pt idx="7">
                    <c:v>9.2347360000000003E-3</c:v>
                  </c:pt>
                  <c:pt idx="8">
                    <c:v>6.1518519999999993E-3</c:v>
                  </c:pt>
                  <c:pt idx="9">
                    <c:v>9.31098E-3</c:v>
                  </c:pt>
                  <c:pt idx="10">
                    <c:v>7.6604640000000005E-3</c:v>
                  </c:pt>
                  <c:pt idx="11">
                    <c:v>9.9352399999999997E-3</c:v>
                  </c:pt>
                  <c:pt idx="12">
                    <c:v>1.2700211999999999E-2</c:v>
                  </c:pt>
                  <c:pt idx="13">
                    <c:v>9.4309320000000012E-3</c:v>
                  </c:pt>
                  <c:pt idx="14">
                    <c:v>1.1717468E-2</c:v>
                  </c:pt>
                  <c:pt idx="15">
                    <c:v>1.0170439999999999E-2</c:v>
                  </c:pt>
                  <c:pt idx="16">
                    <c:v>1.2218836E-2</c:v>
                  </c:pt>
                </c:numCache>
              </c:numRef>
            </c:plus>
            <c:minus>
              <c:numRef>
                <c:f>Literacy!$E$44:$E$60</c:f>
                <c:numCache>
                  <c:formatCode>General</c:formatCode>
                  <c:ptCount val="17"/>
                  <c:pt idx="0">
                    <c:v>1.1684735999999999E-2</c:v>
                  </c:pt>
                  <c:pt idx="1">
                    <c:v>8.3999720000000003E-3</c:v>
                  </c:pt>
                  <c:pt idx="2">
                    <c:v>9.4530799999999991E-3</c:v>
                  </c:pt>
                  <c:pt idx="3">
                    <c:v>9.97346E-3</c:v>
                  </c:pt>
                  <c:pt idx="4">
                    <c:v>3.9517520000000002E-3</c:v>
                  </c:pt>
                  <c:pt idx="5">
                    <c:v>1.0864476E-2</c:v>
                  </c:pt>
                  <c:pt idx="6">
                    <c:v>8.6181199999999999E-3</c:v>
                  </c:pt>
                  <c:pt idx="7">
                    <c:v>9.2347360000000003E-3</c:v>
                  </c:pt>
                  <c:pt idx="8">
                    <c:v>6.1518519999999993E-3</c:v>
                  </c:pt>
                  <c:pt idx="9">
                    <c:v>9.31098E-3</c:v>
                  </c:pt>
                  <c:pt idx="10">
                    <c:v>7.6604640000000005E-3</c:v>
                  </c:pt>
                  <c:pt idx="11">
                    <c:v>9.9352399999999997E-3</c:v>
                  </c:pt>
                  <c:pt idx="12">
                    <c:v>1.2700211999999999E-2</c:v>
                  </c:pt>
                  <c:pt idx="13">
                    <c:v>9.4309320000000012E-3</c:v>
                  </c:pt>
                  <c:pt idx="14">
                    <c:v>1.1717468E-2</c:v>
                  </c:pt>
                  <c:pt idx="15">
                    <c:v>1.0170439999999999E-2</c:v>
                  </c:pt>
                  <c:pt idx="16">
                    <c:v>1.2218836E-2</c:v>
                  </c:pt>
                </c:numCache>
              </c:numRef>
            </c:minus>
          </c:errBars>
          <c:cat>
            <c:strRef>
              <c:f>Literacy!$A$44:$A$60</c:f>
              <c:strCache>
                <c:ptCount val="17"/>
                <c:pt idx="0">
                  <c:v>SK</c:v>
                </c:pt>
                <c:pt idx="1">
                  <c:v>DK</c:v>
                </c:pt>
                <c:pt idx="2">
                  <c:v>EE</c:v>
                </c:pt>
                <c:pt idx="3">
                  <c:v>UK (EN/NI)</c:v>
                </c:pt>
                <c:pt idx="4">
                  <c:v>IT</c:v>
                </c:pt>
                <c:pt idx="5">
                  <c:v>IE</c:v>
                </c:pt>
                <c:pt idx="6">
                  <c:v>AT</c:v>
                </c:pt>
                <c:pt idx="7">
                  <c:v>DE</c:v>
                </c:pt>
                <c:pt idx="8">
                  <c:v>ES</c:v>
                </c:pt>
                <c:pt idx="9">
                  <c:v>EU-16</c:v>
                </c:pt>
                <c:pt idx="10">
                  <c:v>NL</c:v>
                </c:pt>
                <c:pt idx="11">
                  <c:v>FI</c:v>
                </c:pt>
                <c:pt idx="12">
                  <c:v>BE (FL)</c:v>
                </c:pt>
                <c:pt idx="13">
                  <c:v>SE</c:v>
                </c:pt>
                <c:pt idx="14">
                  <c:v>CZ</c:v>
                </c:pt>
                <c:pt idx="15">
                  <c:v>FR</c:v>
                </c:pt>
                <c:pt idx="16">
                  <c:v>PL</c:v>
                </c:pt>
              </c:strCache>
            </c:strRef>
          </c:cat>
          <c:val>
            <c:numRef>
              <c:f>Literacy!$D$44:$D$60</c:f>
              <c:numCache>
                <c:formatCode>General</c:formatCode>
                <c:ptCount val="17"/>
                <c:pt idx="0">
                  <c:v>0.1292333</c:v>
                </c:pt>
                <c:pt idx="1">
                  <c:v>0.1091</c:v>
                </c:pt>
                <c:pt idx="2">
                  <c:v>0.1010697</c:v>
                </c:pt>
                <c:pt idx="3">
                  <c:v>0.1004094</c:v>
                </c:pt>
                <c:pt idx="4">
                  <c:v>9.2944600000000002E-2</c:v>
                </c:pt>
                <c:pt idx="5">
                  <c:v>9.1783900000000002E-2</c:v>
                </c:pt>
                <c:pt idx="6">
                  <c:v>8.9695999999999998E-2</c:v>
                </c:pt>
                <c:pt idx="7">
                  <c:v>8.9689099999999994E-2</c:v>
                </c:pt>
                <c:pt idx="8">
                  <c:v>8.9268799999999995E-2</c:v>
                </c:pt>
                <c:pt idx="9">
                  <c:v>8.5761799999999999E-2</c:v>
                </c:pt>
                <c:pt idx="10">
                  <c:v>8.2240099999999997E-2</c:v>
                </c:pt>
                <c:pt idx="11">
                  <c:v>8.1549999999999997E-2</c:v>
                </c:pt>
                <c:pt idx="12">
                  <c:v>7.62848E-2</c:v>
                </c:pt>
                <c:pt idx="13">
                  <c:v>7.4912000000000006E-2</c:v>
                </c:pt>
                <c:pt idx="14">
                  <c:v>7.4536500000000006E-2</c:v>
                </c:pt>
                <c:pt idx="15">
                  <c:v>7.1502700000000002E-2</c:v>
                </c:pt>
                <c:pt idx="16">
                  <c:v>6.6417699999999996E-2</c:v>
                </c:pt>
              </c:numCache>
            </c:numRef>
          </c:val>
          <c:extLst>
            <c:ext xmlns:c16="http://schemas.microsoft.com/office/drawing/2014/chart" uri="{C3380CC4-5D6E-409C-BE32-E72D297353CC}">
              <c16:uniqueId val="{00000001-6021-4546-BEC3-9B247692D2DE}"/>
            </c:ext>
          </c:extLst>
        </c:ser>
        <c:dLbls>
          <c:showLegendKey val="0"/>
          <c:showVal val="0"/>
          <c:showCatName val="0"/>
          <c:showSerName val="0"/>
          <c:showPercent val="0"/>
          <c:showBubbleSize val="0"/>
        </c:dLbls>
        <c:gapWidth val="100"/>
        <c:axId val="359116688"/>
        <c:axId val="359117080"/>
      </c:barChart>
      <c:catAx>
        <c:axId val="359116688"/>
        <c:scaling>
          <c:orientation val="minMax"/>
        </c:scaling>
        <c:delete val="0"/>
        <c:axPos val="b"/>
        <c:numFmt formatCode="General" sourceLinked="0"/>
        <c:majorTickMark val="in"/>
        <c:minorTickMark val="none"/>
        <c:tickLblPos val="nextTo"/>
        <c:spPr>
          <a:ln>
            <a:solidFill>
              <a:sysClr val="windowText" lastClr="000000"/>
            </a:solidFill>
          </a:ln>
        </c:spPr>
        <c:crossAx val="359117080"/>
        <c:crosses val="autoZero"/>
        <c:auto val="1"/>
        <c:lblAlgn val="ctr"/>
        <c:lblOffset val="100"/>
        <c:noMultiLvlLbl val="0"/>
      </c:catAx>
      <c:valAx>
        <c:axId val="359117080"/>
        <c:scaling>
          <c:orientation val="minMax"/>
        </c:scaling>
        <c:delete val="0"/>
        <c:axPos val="l"/>
        <c:majorGridlines>
          <c:spPr>
            <a:ln>
              <a:solidFill>
                <a:sysClr val="window" lastClr="FFFFFF">
                  <a:lumMod val="85000"/>
                </a:sysClr>
              </a:solidFill>
              <a:prstDash val="dash"/>
            </a:ln>
          </c:spPr>
        </c:majorGridlines>
        <c:numFmt formatCode="#,##0.00" sourceLinked="0"/>
        <c:majorTickMark val="in"/>
        <c:minorTickMark val="none"/>
        <c:tickLblPos val="nextTo"/>
        <c:spPr>
          <a:ln>
            <a:solidFill>
              <a:sysClr val="windowText" lastClr="000000"/>
            </a:solidFill>
          </a:ln>
        </c:spPr>
        <c:crossAx val="359116688"/>
        <c:crosses val="autoZero"/>
        <c:crossBetween val="between"/>
      </c:valAx>
    </c:plotArea>
    <c:legend>
      <c:legendPos val="t"/>
      <c:layout>
        <c:manualLayout>
          <c:xMode val="edge"/>
          <c:yMode val="edge"/>
          <c:x val="0.19452446351182848"/>
          <c:y val="5.1480051480051477E-2"/>
          <c:w val="0.668816227264866"/>
          <c:h val="8.5076045099161474E-2"/>
        </c:manualLayout>
      </c:layout>
      <c:overlay val="1"/>
    </c:legend>
    <c:plotVisOnly val="1"/>
    <c:dispBlanksAs val="gap"/>
    <c:showDLblsOverMax val="0"/>
  </c:chart>
  <c:spPr>
    <a:ln>
      <a:noFill/>
    </a:ln>
  </c:spPr>
  <c:externalData r:id="rId2">
    <c:autoUpdate val="0"/>
  </c:externalData>
  <c:userShapes r:id="rId3"/>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Sheet10!$D$1</c:f>
              <c:strCache>
                <c:ptCount val="1"/>
                <c:pt idx="0">
                  <c:v>Reading/Literacy</c:v>
                </c:pt>
              </c:strCache>
            </c:strRef>
          </c:tx>
          <c:spPr>
            <a:solidFill>
              <a:schemeClr val="tx2"/>
            </a:solidFill>
          </c:spPr>
          <c:invertIfNegative val="0"/>
          <c:cat>
            <c:strRef>
              <c:f>Sheet10!$A$2:$A$21</c:f>
              <c:strCache>
                <c:ptCount val="20"/>
                <c:pt idx="0">
                  <c:v>DE</c:v>
                </c:pt>
                <c:pt idx="1">
                  <c:v>NO</c:v>
                </c:pt>
                <c:pt idx="2">
                  <c:v>SE</c:v>
                </c:pt>
                <c:pt idx="3">
                  <c:v>CZ</c:v>
                </c:pt>
                <c:pt idx="4">
                  <c:v>DK</c:v>
                </c:pt>
                <c:pt idx="5">
                  <c:v>JP</c:v>
                </c:pt>
                <c:pt idx="6">
                  <c:v>AT</c:v>
                </c:pt>
                <c:pt idx="7">
                  <c:v>ES</c:v>
                </c:pt>
                <c:pt idx="8">
                  <c:v>FI</c:v>
                </c:pt>
                <c:pt idx="9">
                  <c:v>IT</c:v>
                </c:pt>
                <c:pt idx="10">
                  <c:v>KR</c:v>
                </c:pt>
                <c:pt idx="11">
                  <c:v>NL</c:v>
                </c:pt>
                <c:pt idx="12">
                  <c:v>PL</c:v>
                </c:pt>
                <c:pt idx="13">
                  <c:v>US</c:v>
                </c:pt>
                <c:pt idx="14">
                  <c:v>BE</c:v>
                </c:pt>
                <c:pt idx="15">
                  <c:v>CA</c:v>
                </c:pt>
                <c:pt idx="16">
                  <c:v>FR</c:v>
                </c:pt>
                <c:pt idx="17">
                  <c:v>EN</c:v>
                </c:pt>
                <c:pt idx="18">
                  <c:v>NI</c:v>
                </c:pt>
                <c:pt idx="19">
                  <c:v>IE</c:v>
                </c:pt>
              </c:strCache>
            </c:strRef>
          </c:cat>
          <c:val>
            <c:numRef>
              <c:f>Sheet10!$D$2:$D$21</c:f>
              <c:numCache>
                <c:formatCode>General</c:formatCode>
                <c:ptCount val="20"/>
                <c:pt idx="0">
                  <c:v>2</c:v>
                </c:pt>
                <c:pt idx="1">
                  <c:v>2</c:v>
                </c:pt>
                <c:pt idx="2">
                  <c:v>2</c:v>
                </c:pt>
                <c:pt idx="3">
                  <c:v>1</c:v>
                </c:pt>
                <c:pt idx="4">
                  <c:v>1</c:v>
                </c:pt>
                <c:pt idx="5">
                  <c:v>1</c:v>
                </c:pt>
                <c:pt idx="6">
                  <c:v>0</c:v>
                </c:pt>
                <c:pt idx="7">
                  <c:v>0</c:v>
                </c:pt>
                <c:pt idx="8">
                  <c:v>0</c:v>
                </c:pt>
                <c:pt idx="9">
                  <c:v>0</c:v>
                </c:pt>
                <c:pt idx="10">
                  <c:v>0</c:v>
                </c:pt>
                <c:pt idx="11">
                  <c:v>0</c:v>
                </c:pt>
                <c:pt idx="12">
                  <c:v>0</c:v>
                </c:pt>
                <c:pt idx="13">
                  <c:v>0</c:v>
                </c:pt>
                <c:pt idx="14">
                  <c:v>-1</c:v>
                </c:pt>
                <c:pt idx="15">
                  <c:v>-1</c:v>
                </c:pt>
                <c:pt idx="16">
                  <c:v>-1</c:v>
                </c:pt>
                <c:pt idx="17">
                  <c:v>-2</c:v>
                </c:pt>
                <c:pt idx="18">
                  <c:v>-2</c:v>
                </c:pt>
                <c:pt idx="19">
                  <c:v>-3</c:v>
                </c:pt>
              </c:numCache>
            </c:numRef>
          </c:val>
          <c:extLst>
            <c:ext xmlns:c16="http://schemas.microsoft.com/office/drawing/2014/chart" uri="{C3380CC4-5D6E-409C-BE32-E72D297353CC}">
              <c16:uniqueId val="{00000000-D8A9-4EDA-ACB9-FD0AFFFD5DBF}"/>
            </c:ext>
          </c:extLst>
        </c:ser>
        <c:ser>
          <c:idx val="1"/>
          <c:order val="1"/>
          <c:tx>
            <c:strRef>
              <c:f>Sheet10!$G$1</c:f>
              <c:strCache>
                <c:ptCount val="1"/>
                <c:pt idx="0">
                  <c:v>Maths/Numeracy</c:v>
                </c:pt>
              </c:strCache>
            </c:strRef>
          </c:tx>
          <c:spPr>
            <a:solidFill>
              <a:srgbClr val="C00000"/>
            </a:solidFill>
          </c:spPr>
          <c:invertIfNegative val="0"/>
          <c:cat>
            <c:strRef>
              <c:f>Sheet10!$A$2:$A$21</c:f>
              <c:strCache>
                <c:ptCount val="20"/>
                <c:pt idx="0">
                  <c:v>DE</c:v>
                </c:pt>
                <c:pt idx="1">
                  <c:v>NO</c:v>
                </c:pt>
                <c:pt idx="2">
                  <c:v>SE</c:v>
                </c:pt>
                <c:pt idx="3">
                  <c:v>CZ</c:v>
                </c:pt>
                <c:pt idx="4">
                  <c:v>DK</c:v>
                </c:pt>
                <c:pt idx="5">
                  <c:v>JP</c:v>
                </c:pt>
                <c:pt idx="6">
                  <c:v>AT</c:v>
                </c:pt>
                <c:pt idx="7">
                  <c:v>ES</c:v>
                </c:pt>
                <c:pt idx="8">
                  <c:v>FI</c:v>
                </c:pt>
                <c:pt idx="9">
                  <c:v>IT</c:v>
                </c:pt>
                <c:pt idx="10">
                  <c:v>KR</c:v>
                </c:pt>
                <c:pt idx="11">
                  <c:v>NL</c:v>
                </c:pt>
                <c:pt idx="12">
                  <c:v>PL</c:v>
                </c:pt>
                <c:pt idx="13">
                  <c:v>US</c:v>
                </c:pt>
                <c:pt idx="14">
                  <c:v>BE</c:v>
                </c:pt>
                <c:pt idx="15">
                  <c:v>CA</c:v>
                </c:pt>
                <c:pt idx="16">
                  <c:v>FR</c:v>
                </c:pt>
                <c:pt idx="17">
                  <c:v>EN</c:v>
                </c:pt>
                <c:pt idx="18">
                  <c:v>NI</c:v>
                </c:pt>
                <c:pt idx="19">
                  <c:v>IE</c:v>
                </c:pt>
              </c:strCache>
            </c:strRef>
          </c:cat>
          <c:val>
            <c:numRef>
              <c:f>Sheet10!$G$2:$G$21</c:f>
              <c:numCache>
                <c:formatCode>General</c:formatCode>
                <c:ptCount val="20"/>
                <c:pt idx="0">
                  <c:v>2</c:v>
                </c:pt>
                <c:pt idx="1">
                  <c:v>2</c:v>
                </c:pt>
                <c:pt idx="2">
                  <c:v>2</c:v>
                </c:pt>
                <c:pt idx="3">
                  <c:v>1</c:v>
                </c:pt>
                <c:pt idx="4">
                  <c:v>1</c:v>
                </c:pt>
                <c:pt idx="5">
                  <c:v>0</c:v>
                </c:pt>
                <c:pt idx="6">
                  <c:v>1</c:v>
                </c:pt>
                <c:pt idx="7">
                  <c:v>0</c:v>
                </c:pt>
                <c:pt idx="8">
                  <c:v>1</c:v>
                </c:pt>
                <c:pt idx="9">
                  <c:v>1</c:v>
                </c:pt>
                <c:pt idx="10">
                  <c:v>-2</c:v>
                </c:pt>
                <c:pt idx="11">
                  <c:v>-1</c:v>
                </c:pt>
                <c:pt idx="12">
                  <c:v>1</c:v>
                </c:pt>
                <c:pt idx="13">
                  <c:v>-1</c:v>
                </c:pt>
                <c:pt idx="14">
                  <c:v>0</c:v>
                </c:pt>
                <c:pt idx="15">
                  <c:v>-1</c:v>
                </c:pt>
                <c:pt idx="16">
                  <c:v>-1</c:v>
                </c:pt>
                <c:pt idx="17">
                  <c:v>-2</c:v>
                </c:pt>
                <c:pt idx="18">
                  <c:v>-3</c:v>
                </c:pt>
                <c:pt idx="19">
                  <c:v>-1</c:v>
                </c:pt>
              </c:numCache>
            </c:numRef>
          </c:val>
          <c:extLst>
            <c:ext xmlns:c16="http://schemas.microsoft.com/office/drawing/2014/chart" uri="{C3380CC4-5D6E-409C-BE32-E72D297353CC}">
              <c16:uniqueId val="{00000001-D8A9-4EDA-ACB9-FD0AFFFD5DBF}"/>
            </c:ext>
          </c:extLst>
        </c:ser>
        <c:dLbls>
          <c:showLegendKey val="0"/>
          <c:showVal val="0"/>
          <c:showCatName val="0"/>
          <c:showSerName val="0"/>
          <c:showPercent val="0"/>
          <c:showBubbleSize val="0"/>
        </c:dLbls>
        <c:gapWidth val="150"/>
        <c:axId val="444397472"/>
        <c:axId val="444397864"/>
      </c:barChart>
      <c:catAx>
        <c:axId val="444397472"/>
        <c:scaling>
          <c:orientation val="minMax"/>
        </c:scaling>
        <c:delete val="0"/>
        <c:axPos val="b"/>
        <c:numFmt formatCode="General" sourceLinked="0"/>
        <c:majorTickMark val="in"/>
        <c:minorTickMark val="none"/>
        <c:tickLblPos val="low"/>
        <c:spPr>
          <a:ln>
            <a:solidFill>
              <a:schemeClr val="tx1"/>
            </a:solidFill>
          </a:ln>
        </c:spPr>
        <c:crossAx val="444397864"/>
        <c:crosses val="autoZero"/>
        <c:auto val="1"/>
        <c:lblAlgn val="ctr"/>
        <c:lblOffset val="100"/>
        <c:noMultiLvlLbl val="0"/>
      </c:catAx>
      <c:valAx>
        <c:axId val="444397864"/>
        <c:scaling>
          <c:orientation val="minMax"/>
        </c:scaling>
        <c:delete val="0"/>
        <c:axPos val="l"/>
        <c:majorGridlines/>
        <c:numFmt formatCode="General" sourceLinked="1"/>
        <c:majorTickMark val="in"/>
        <c:minorTickMark val="none"/>
        <c:tickLblPos val="nextTo"/>
        <c:spPr>
          <a:ln>
            <a:solidFill>
              <a:schemeClr val="tx1"/>
            </a:solidFill>
          </a:ln>
        </c:spPr>
        <c:crossAx val="444397472"/>
        <c:crosses val="autoZero"/>
        <c:crossBetween val="between"/>
      </c:valAx>
    </c:plotArea>
    <c:legend>
      <c:legendPos val="t"/>
      <c:overlay val="0"/>
    </c:legend>
    <c:plotVisOnly val="1"/>
    <c:dispBlanksAs val="gap"/>
    <c:showDLblsOverMax val="0"/>
  </c:chart>
  <c:spPr>
    <a:ln>
      <a:noFill/>
    </a:ln>
  </c:sp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7070913718866716E-2"/>
          <c:y val="9.143767085799985E-2"/>
          <c:w val="0.82623577641918622"/>
          <c:h val="0.78031581764995162"/>
        </c:manualLayout>
      </c:layout>
      <c:scatterChart>
        <c:scatterStyle val="lineMarker"/>
        <c:varyColors val="0"/>
        <c:ser>
          <c:idx val="0"/>
          <c:order val="0"/>
          <c:tx>
            <c:strRef>
              <c:f>Sheet10!$F$1</c:f>
              <c:strCache>
                <c:ptCount val="1"/>
                <c:pt idx="0">
                  <c:v>Numeracy age 27 (quint)</c:v>
                </c:pt>
              </c:strCache>
            </c:strRef>
          </c:tx>
          <c:spPr>
            <a:ln w="19050">
              <a:noFill/>
            </a:ln>
          </c:spPr>
          <c:dPt>
            <c:idx val="1"/>
            <c:marker>
              <c:symbol val="diamond"/>
              <c:size val="5"/>
              <c:spPr>
                <a:solidFill>
                  <a:srgbClr val="92D050"/>
                </a:solidFill>
                <a:ln>
                  <a:solidFill>
                    <a:srgbClr val="92D050"/>
                  </a:solidFill>
                </a:ln>
              </c:spPr>
            </c:marker>
            <c:bubble3D val="0"/>
            <c:extLst>
              <c:ext xmlns:c16="http://schemas.microsoft.com/office/drawing/2014/chart" uri="{C3380CC4-5D6E-409C-BE32-E72D297353CC}">
                <c16:uniqueId val="{00000000-DCE2-42B3-B87D-62091B17CE29}"/>
              </c:ext>
            </c:extLst>
          </c:dPt>
          <c:dPt>
            <c:idx val="2"/>
            <c:marker>
              <c:spPr>
                <a:solidFill>
                  <a:srgbClr val="92D050"/>
                </a:solidFill>
                <a:ln>
                  <a:solidFill>
                    <a:srgbClr val="92D050"/>
                  </a:solidFill>
                </a:ln>
              </c:spPr>
            </c:marker>
            <c:bubble3D val="0"/>
            <c:extLst>
              <c:ext xmlns:c16="http://schemas.microsoft.com/office/drawing/2014/chart" uri="{C3380CC4-5D6E-409C-BE32-E72D297353CC}">
                <c16:uniqueId val="{00000001-DCE2-42B3-B87D-62091B17CE29}"/>
              </c:ext>
            </c:extLst>
          </c:dPt>
          <c:dPt>
            <c:idx val="3"/>
            <c:marker>
              <c:spPr>
                <a:solidFill>
                  <a:srgbClr val="92D050"/>
                </a:solidFill>
                <a:ln>
                  <a:solidFill>
                    <a:srgbClr val="92D050"/>
                  </a:solidFill>
                </a:ln>
              </c:spPr>
            </c:marker>
            <c:bubble3D val="0"/>
            <c:extLst>
              <c:ext xmlns:c16="http://schemas.microsoft.com/office/drawing/2014/chart" uri="{C3380CC4-5D6E-409C-BE32-E72D297353CC}">
                <c16:uniqueId val="{00000002-DCE2-42B3-B87D-62091B17CE29}"/>
              </c:ext>
            </c:extLst>
          </c:dPt>
          <c:dPt>
            <c:idx val="8"/>
            <c:marker>
              <c:spPr>
                <a:solidFill>
                  <a:srgbClr val="92D050"/>
                </a:solidFill>
                <a:ln>
                  <a:solidFill>
                    <a:srgbClr val="92D050"/>
                  </a:solidFill>
                </a:ln>
              </c:spPr>
            </c:marker>
            <c:bubble3D val="0"/>
            <c:extLst>
              <c:ext xmlns:c16="http://schemas.microsoft.com/office/drawing/2014/chart" uri="{C3380CC4-5D6E-409C-BE32-E72D297353CC}">
                <c16:uniqueId val="{00000003-DCE2-42B3-B87D-62091B17CE29}"/>
              </c:ext>
            </c:extLst>
          </c:dPt>
          <c:dPt>
            <c:idx val="13"/>
            <c:marker>
              <c:spPr>
                <a:solidFill>
                  <a:srgbClr val="C00000"/>
                </a:solidFill>
                <a:ln>
                  <a:solidFill>
                    <a:srgbClr val="C00000"/>
                  </a:solidFill>
                </a:ln>
              </c:spPr>
            </c:marker>
            <c:bubble3D val="0"/>
            <c:extLst>
              <c:ext xmlns:c16="http://schemas.microsoft.com/office/drawing/2014/chart" uri="{C3380CC4-5D6E-409C-BE32-E72D297353CC}">
                <c16:uniqueId val="{00000004-DCE2-42B3-B87D-62091B17CE29}"/>
              </c:ext>
            </c:extLst>
          </c:dPt>
          <c:dPt>
            <c:idx val="15"/>
            <c:marker>
              <c:spPr>
                <a:solidFill>
                  <a:srgbClr val="C00000"/>
                </a:solidFill>
                <a:ln>
                  <a:solidFill>
                    <a:srgbClr val="C00000"/>
                  </a:solidFill>
                </a:ln>
              </c:spPr>
            </c:marker>
            <c:bubble3D val="0"/>
            <c:extLst>
              <c:ext xmlns:c16="http://schemas.microsoft.com/office/drawing/2014/chart" uri="{C3380CC4-5D6E-409C-BE32-E72D297353CC}">
                <c16:uniqueId val="{00000005-DCE2-42B3-B87D-62091B17CE29}"/>
              </c:ext>
            </c:extLst>
          </c:dPt>
          <c:dPt>
            <c:idx val="17"/>
            <c:marker>
              <c:symbol val="diamond"/>
              <c:size val="5"/>
              <c:spPr>
                <a:solidFill>
                  <a:srgbClr val="C00000"/>
                </a:solidFill>
                <a:ln>
                  <a:solidFill>
                    <a:srgbClr val="C00000"/>
                  </a:solidFill>
                </a:ln>
              </c:spPr>
            </c:marker>
            <c:bubble3D val="0"/>
            <c:extLst>
              <c:ext xmlns:c16="http://schemas.microsoft.com/office/drawing/2014/chart" uri="{C3380CC4-5D6E-409C-BE32-E72D297353CC}">
                <c16:uniqueId val="{00000006-DCE2-42B3-B87D-62091B17CE29}"/>
              </c:ext>
            </c:extLst>
          </c:dPt>
          <c:dPt>
            <c:idx val="18"/>
            <c:marker>
              <c:spPr>
                <a:solidFill>
                  <a:srgbClr val="C00000"/>
                </a:solidFill>
                <a:ln>
                  <a:solidFill>
                    <a:srgbClr val="C00000"/>
                  </a:solidFill>
                </a:ln>
              </c:spPr>
            </c:marker>
            <c:bubble3D val="0"/>
            <c:extLst>
              <c:ext xmlns:c16="http://schemas.microsoft.com/office/drawing/2014/chart" uri="{C3380CC4-5D6E-409C-BE32-E72D297353CC}">
                <c16:uniqueId val="{00000007-DCE2-42B3-B87D-62091B17CE29}"/>
              </c:ext>
            </c:extLst>
          </c:dPt>
          <c:dLbls>
            <c:dLbl>
              <c:idx val="0"/>
              <c:tx>
                <c:rich>
                  <a:bodyPr/>
                  <a:lstStyle/>
                  <a:p>
                    <a:r>
                      <a:rPr lang="en-US"/>
                      <a:t>DE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DCE2-42B3-B87D-62091B17CE29}"/>
                </c:ext>
              </c:extLst>
            </c:dLbl>
            <c:dLbl>
              <c:idx val="1"/>
              <c:tx>
                <c:rich>
                  <a:bodyPr/>
                  <a:lstStyle/>
                  <a:p>
                    <a:r>
                      <a:rPr lang="en-US"/>
                      <a:t>NO</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DCE2-42B3-B87D-62091B17CE29}"/>
                </c:ext>
              </c:extLst>
            </c:dLbl>
            <c:dLbl>
              <c:idx val="2"/>
              <c:tx>
                <c:rich>
                  <a:bodyPr/>
                  <a:lstStyle/>
                  <a:p>
                    <a:r>
                      <a:rPr lang="en-US"/>
                      <a:t>SE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DCE2-42B3-B87D-62091B17CE29}"/>
                </c:ext>
              </c:extLst>
            </c:dLbl>
            <c:dLbl>
              <c:idx val="3"/>
              <c:layout>
                <c:manualLayout>
                  <c:x val="1.9861867719707244E-3"/>
                  <c:y val="-4.550759773295519E-6"/>
                </c:manualLayout>
              </c:layout>
              <c:tx>
                <c:rich>
                  <a:bodyPr/>
                  <a:lstStyle/>
                  <a:p>
                    <a:r>
                      <a:rPr lang="en-US"/>
                      <a:t>DK</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DCE2-42B3-B87D-62091B17CE29}"/>
                </c:ext>
              </c:extLst>
            </c:dLbl>
            <c:dLbl>
              <c:idx val="4"/>
              <c:layout>
                <c:manualLayout>
                  <c:x val="8.0563947633434038E-3"/>
                  <c:y val="2.4378180591871815E-2"/>
                </c:manualLayout>
              </c:layout>
              <c:tx>
                <c:rich>
                  <a:bodyPr/>
                  <a:lstStyle/>
                  <a:p>
                    <a:r>
                      <a:rPr lang="en-US"/>
                      <a:t>CZ</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DCE2-42B3-B87D-62091B17CE29}"/>
                </c:ext>
              </c:extLst>
            </c:dLbl>
            <c:dLbl>
              <c:idx val="5"/>
              <c:layout>
                <c:manualLayout>
                  <c:x val="2.014098690835851E-2"/>
                  <c:y val="1.5209118189698181E-2"/>
                </c:manualLayout>
              </c:layout>
              <c:tx>
                <c:rich>
                  <a:bodyPr/>
                  <a:lstStyle/>
                  <a:p>
                    <a:r>
                      <a:rPr lang="en-US"/>
                      <a:t>JP</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DCE2-42B3-B87D-62091B17CE29}"/>
                </c:ext>
              </c:extLst>
            </c:dLbl>
            <c:dLbl>
              <c:idx val="6"/>
              <c:layout>
                <c:manualLayout>
                  <c:x val="1.4098690835850957E-2"/>
                  <c:y val="-3.3460060017336E-2"/>
                </c:manualLayout>
              </c:layout>
              <c:tx>
                <c:rich>
                  <a:bodyPr/>
                  <a:lstStyle/>
                  <a:p>
                    <a:r>
                      <a:rPr lang="en-US"/>
                      <a:t>AT</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DCE2-42B3-B87D-62091B17CE29}"/>
                </c:ext>
              </c:extLst>
            </c:dLbl>
            <c:dLbl>
              <c:idx val="7"/>
              <c:layout>
                <c:manualLayout>
                  <c:x val="-2.2299499036218813E-5"/>
                  <c:y val="-6.0813275025690658E-2"/>
                </c:manualLayout>
              </c:layout>
              <c:tx>
                <c:rich>
                  <a:bodyPr/>
                  <a:lstStyle/>
                  <a:p>
                    <a:r>
                      <a:rPr lang="en-US"/>
                      <a:t>IT</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DCE2-42B3-B87D-62091B17CE29}"/>
                </c:ext>
              </c:extLst>
            </c:dLbl>
            <c:dLbl>
              <c:idx val="8"/>
              <c:layout>
                <c:manualLayout>
                  <c:x val="-2.2202662733623553E-5"/>
                  <c:y val="-3.5857591876845901E-3"/>
                </c:manualLayout>
              </c:layout>
              <c:tx>
                <c:rich>
                  <a:bodyPr/>
                  <a:lstStyle/>
                  <a:p>
                    <a:r>
                      <a:rPr lang="en-US"/>
                      <a:t>FI</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DCE2-42B3-B87D-62091B17CE29}"/>
                </c:ext>
              </c:extLst>
            </c:dLbl>
            <c:dLbl>
              <c:idx val="9"/>
              <c:layout>
                <c:manualLayout>
                  <c:x val="4.0281973816717019E-3"/>
                  <c:y val="-9.0778076930354452E-3"/>
                </c:manualLayout>
              </c:layout>
              <c:tx>
                <c:rich>
                  <a:bodyPr/>
                  <a:lstStyle/>
                  <a:p>
                    <a:r>
                      <a:rPr lang="en-US"/>
                      <a:t>PL</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DCE2-42B3-B87D-62091B17CE29}"/>
                </c:ext>
              </c:extLst>
            </c:dLbl>
            <c:dLbl>
              <c:idx val="10"/>
              <c:tx>
                <c:rich>
                  <a:bodyPr/>
                  <a:lstStyle/>
                  <a:p>
                    <a:r>
                      <a:rPr lang="en-US"/>
                      <a:t>KR</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DCE2-42B3-B87D-62091B17CE29}"/>
                </c:ext>
              </c:extLst>
            </c:dLbl>
            <c:dLbl>
              <c:idx val="11"/>
              <c:layout>
                <c:manualLayout>
                  <c:x val="-2.0420106097009776E-3"/>
                  <c:y val="-7.5686320440072839E-5"/>
                </c:manualLayout>
              </c:layout>
              <c:tx>
                <c:rich>
                  <a:bodyPr/>
                  <a:lstStyle/>
                  <a:p>
                    <a:r>
                      <a:rPr lang="en-US"/>
                      <a:t>NL</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DCE2-42B3-B87D-62091B17CE29}"/>
                </c:ext>
              </c:extLst>
            </c:dLbl>
            <c:dLbl>
              <c:idx val="12"/>
              <c:delete val="1"/>
              <c:extLst>
                <c:ext xmlns:c15="http://schemas.microsoft.com/office/drawing/2012/chart" uri="{CE6537A1-D6FC-4f65-9D91-7224C49458BB}"/>
                <c:ext xmlns:c16="http://schemas.microsoft.com/office/drawing/2014/chart" uri="{C3380CC4-5D6E-409C-BE32-E72D297353CC}">
                  <c16:uniqueId val="{00000010-DCE2-42B3-B87D-62091B17CE29}"/>
                </c:ext>
              </c:extLst>
            </c:dLbl>
            <c:dLbl>
              <c:idx val="13"/>
              <c:layout>
                <c:manualLayout>
                  <c:x val="1.812688821752266E-2"/>
                  <c:y val="-2.7376412741456729E-2"/>
                </c:manualLayout>
              </c:layout>
              <c:tx>
                <c:rich>
                  <a:bodyPr/>
                  <a:lstStyle/>
                  <a:p>
                    <a:r>
                      <a:rPr lang="en-US"/>
                      <a:t>US</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DCE2-42B3-B87D-62091B17CE29}"/>
                </c:ext>
              </c:extLst>
            </c:dLbl>
            <c:dLbl>
              <c:idx val="14"/>
              <c:layout>
                <c:manualLayout>
                  <c:x val="1.0053841457129037E-2"/>
                  <c:y val="-4.5676215358239403E-2"/>
                </c:manualLayout>
              </c:layout>
              <c:tx>
                <c:rich>
                  <a:bodyPr/>
                  <a:lstStyle/>
                  <a:p>
                    <a:r>
                      <a:rPr lang="en-US"/>
                      <a:t>BE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DCE2-42B3-B87D-62091B17CE29}"/>
                </c:ext>
              </c:extLst>
            </c:dLbl>
            <c:dLbl>
              <c:idx val="15"/>
              <c:layout>
                <c:manualLayout>
                  <c:x val="2.014098690835851E-3"/>
                  <c:y val="-3.0521227258476207E-3"/>
                </c:manualLayout>
              </c:layout>
              <c:tx>
                <c:rich>
                  <a:bodyPr/>
                  <a:lstStyle/>
                  <a:p>
                    <a:r>
                      <a:rPr lang="en-US"/>
                      <a:t>CA</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DCE2-42B3-B87D-62091B17CE29}"/>
                </c:ext>
              </c:extLst>
            </c:dLbl>
            <c:dLbl>
              <c:idx val="16"/>
              <c:layout>
                <c:manualLayout>
                  <c:x val="2.014098690835851E-3"/>
                  <c:y val="3.0406678551607794E-3"/>
                </c:manualLayout>
              </c:layout>
              <c:tx>
                <c:rich>
                  <a:bodyPr/>
                  <a:lstStyle/>
                  <a:p>
                    <a:r>
                      <a:rPr lang="en-US"/>
                      <a:t>FR</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2-DCE2-42B3-B87D-62091B17CE29}"/>
                </c:ext>
              </c:extLst>
            </c:dLbl>
            <c:dLbl>
              <c:idx val="17"/>
              <c:tx>
                <c:rich>
                  <a:bodyPr/>
                  <a:lstStyle/>
                  <a:p>
                    <a:r>
                      <a:rPr lang="en-US"/>
                      <a:t>EN</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DCE2-42B3-B87D-62091B17CE29}"/>
                </c:ext>
              </c:extLst>
            </c:dLbl>
            <c:dLbl>
              <c:idx val="18"/>
              <c:layout>
                <c:manualLayout>
                  <c:x val="-1.114890850124097E-4"/>
                  <c:y val="-1.9666177765583184E-3"/>
                </c:manualLayout>
              </c:layout>
              <c:tx>
                <c:rich>
                  <a:bodyPr/>
                  <a:lstStyle/>
                  <a:p>
                    <a:r>
                      <a:rPr lang="en-US"/>
                      <a:t>NI</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DCE2-42B3-B87D-62091B17CE29}"/>
                </c:ext>
              </c:extLst>
            </c:dLbl>
            <c:dLbl>
              <c:idx val="19"/>
              <c:layout>
                <c:manualLayout>
                  <c:x val="1.0070493454179255E-2"/>
                  <c:y val="2.7378807878179513E-2"/>
                </c:manualLayout>
              </c:layout>
              <c:tx>
                <c:rich>
                  <a:bodyPr/>
                  <a:lstStyle/>
                  <a:p>
                    <a:r>
                      <a:rPr lang="en-US"/>
                      <a:t>IE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3-DCE2-42B3-B87D-62091B17CE29}"/>
                </c:ext>
              </c:extLst>
            </c:dLbl>
            <c:dLbl>
              <c:idx val="20"/>
              <c:tx>
                <c:rich>
                  <a:bodyPr/>
                  <a:lstStyle/>
                  <a:p>
                    <a:r>
                      <a:rPr lang="en-US"/>
                      <a:t>US</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4-DCE2-42B3-B87D-62091B17CE2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Sheet10!$E$2:$E$21</c:f>
              <c:numCache>
                <c:formatCode>General</c:formatCode>
                <c:ptCount val="20"/>
                <c:pt idx="0">
                  <c:v>1</c:v>
                </c:pt>
                <c:pt idx="1">
                  <c:v>2</c:v>
                </c:pt>
                <c:pt idx="2">
                  <c:v>3</c:v>
                </c:pt>
                <c:pt idx="3">
                  <c:v>2</c:v>
                </c:pt>
                <c:pt idx="4">
                  <c:v>3</c:v>
                </c:pt>
                <c:pt idx="5">
                  <c:v>5</c:v>
                </c:pt>
                <c:pt idx="6">
                  <c:v>3</c:v>
                </c:pt>
                <c:pt idx="7">
                  <c:v>1</c:v>
                </c:pt>
                <c:pt idx="8">
                  <c:v>4</c:v>
                </c:pt>
                <c:pt idx="9">
                  <c:v>1</c:v>
                </c:pt>
                <c:pt idx="10">
                  <c:v>5</c:v>
                </c:pt>
                <c:pt idx="11">
                  <c:v>5</c:v>
                </c:pt>
                <c:pt idx="12">
                  <c:v>1</c:v>
                </c:pt>
                <c:pt idx="13">
                  <c:v>2</c:v>
                </c:pt>
                <c:pt idx="14">
                  <c:v>5</c:v>
                </c:pt>
                <c:pt idx="15">
                  <c:v>4</c:v>
                </c:pt>
                <c:pt idx="16">
                  <c:v>3</c:v>
                </c:pt>
                <c:pt idx="17">
                  <c:v>4</c:v>
                </c:pt>
                <c:pt idx="18">
                  <c:v>4</c:v>
                </c:pt>
                <c:pt idx="19">
                  <c:v>2</c:v>
                </c:pt>
              </c:numCache>
            </c:numRef>
          </c:xVal>
          <c:yVal>
            <c:numRef>
              <c:f>Sheet10!$F$2:$F$21</c:f>
              <c:numCache>
                <c:formatCode>General</c:formatCode>
                <c:ptCount val="20"/>
                <c:pt idx="0">
                  <c:v>3</c:v>
                </c:pt>
                <c:pt idx="1">
                  <c:v>4</c:v>
                </c:pt>
                <c:pt idx="2">
                  <c:v>5</c:v>
                </c:pt>
                <c:pt idx="3">
                  <c:v>3</c:v>
                </c:pt>
                <c:pt idx="4">
                  <c:v>4</c:v>
                </c:pt>
                <c:pt idx="5">
                  <c:v>5</c:v>
                </c:pt>
                <c:pt idx="6">
                  <c:v>4</c:v>
                </c:pt>
                <c:pt idx="7">
                  <c:v>1</c:v>
                </c:pt>
                <c:pt idx="8">
                  <c:v>5</c:v>
                </c:pt>
                <c:pt idx="9">
                  <c:v>2</c:v>
                </c:pt>
                <c:pt idx="10">
                  <c:v>3</c:v>
                </c:pt>
                <c:pt idx="11">
                  <c:v>4</c:v>
                </c:pt>
                <c:pt idx="12">
                  <c:v>2</c:v>
                </c:pt>
                <c:pt idx="13">
                  <c:v>1</c:v>
                </c:pt>
                <c:pt idx="14">
                  <c:v>5</c:v>
                </c:pt>
                <c:pt idx="15">
                  <c:v>3</c:v>
                </c:pt>
                <c:pt idx="16">
                  <c:v>2</c:v>
                </c:pt>
                <c:pt idx="17">
                  <c:v>2</c:v>
                </c:pt>
                <c:pt idx="18">
                  <c:v>1</c:v>
                </c:pt>
                <c:pt idx="19">
                  <c:v>1</c:v>
                </c:pt>
              </c:numCache>
            </c:numRef>
          </c:yVal>
          <c:smooth val="0"/>
          <c:extLst>
            <c:ext xmlns:c16="http://schemas.microsoft.com/office/drawing/2014/chart" uri="{C3380CC4-5D6E-409C-BE32-E72D297353CC}">
              <c16:uniqueId val="{00000015-DCE2-42B3-B87D-62091B17CE29}"/>
            </c:ext>
          </c:extLst>
        </c:ser>
        <c:dLbls>
          <c:showLegendKey val="0"/>
          <c:showVal val="0"/>
          <c:showCatName val="0"/>
          <c:showSerName val="0"/>
          <c:showPercent val="0"/>
          <c:showBubbleSize val="0"/>
        </c:dLbls>
        <c:axId val="444398648"/>
        <c:axId val="444399040"/>
      </c:scatterChart>
      <c:valAx>
        <c:axId val="444398648"/>
        <c:scaling>
          <c:orientation val="minMax"/>
          <c:max val="5"/>
        </c:scaling>
        <c:delete val="0"/>
        <c:axPos val="b"/>
        <c:majorGridlines>
          <c:spPr>
            <a:ln>
              <a:solidFill>
                <a:schemeClr val="bg1">
                  <a:lumMod val="85000"/>
                </a:schemeClr>
              </a:solidFill>
              <a:prstDash val="dash"/>
            </a:ln>
          </c:spPr>
        </c:majorGridlines>
        <c:title>
          <c:tx>
            <c:rich>
              <a:bodyPr/>
              <a:lstStyle/>
              <a:p>
                <a:pPr>
                  <a:defRPr/>
                </a:pPr>
                <a:r>
                  <a:rPr lang="en-GB" b="0">
                    <a:latin typeface="+mn-lt"/>
                  </a:rPr>
                  <a:t>Maths age 15 (</a:t>
                </a:r>
                <a:r>
                  <a:rPr lang="en-GB" b="0" baseline="0">
                    <a:latin typeface="+mn-lt"/>
                  </a:rPr>
                  <a:t>Quintile)</a:t>
                </a:r>
                <a:endParaRPr lang="en-GB" b="0">
                  <a:latin typeface="+mn-lt"/>
                </a:endParaRPr>
              </a:p>
            </c:rich>
          </c:tx>
          <c:overlay val="0"/>
        </c:title>
        <c:numFmt formatCode="General" sourceLinked="1"/>
        <c:majorTickMark val="in"/>
        <c:minorTickMark val="none"/>
        <c:tickLblPos val="nextTo"/>
        <c:crossAx val="444399040"/>
        <c:crosses val="autoZero"/>
        <c:crossBetween val="midCat"/>
        <c:majorUnit val="1"/>
      </c:valAx>
      <c:valAx>
        <c:axId val="444399040"/>
        <c:scaling>
          <c:orientation val="minMax"/>
          <c:max val="5"/>
        </c:scaling>
        <c:delete val="0"/>
        <c:axPos val="l"/>
        <c:majorGridlines>
          <c:spPr>
            <a:ln>
              <a:solidFill>
                <a:schemeClr val="bg1">
                  <a:lumMod val="85000"/>
                </a:schemeClr>
              </a:solidFill>
              <a:prstDash val="dash"/>
            </a:ln>
          </c:spPr>
        </c:majorGridlines>
        <c:title>
          <c:tx>
            <c:rich>
              <a:bodyPr/>
              <a:lstStyle/>
              <a:p>
                <a:pPr>
                  <a:defRPr b="0"/>
                </a:pPr>
                <a:r>
                  <a:rPr lang="en-US" b="0"/>
                  <a:t>Numeracy age 27 (quintile) </a:t>
                </a:r>
              </a:p>
            </c:rich>
          </c:tx>
          <c:overlay val="0"/>
        </c:title>
        <c:numFmt formatCode="General" sourceLinked="1"/>
        <c:majorTickMark val="in"/>
        <c:minorTickMark val="none"/>
        <c:tickLblPos val="nextTo"/>
        <c:spPr>
          <a:ln>
            <a:solidFill>
              <a:schemeClr val="tx1">
                <a:lumMod val="50000"/>
                <a:lumOff val="50000"/>
              </a:schemeClr>
            </a:solidFill>
          </a:ln>
        </c:spPr>
        <c:crossAx val="444398648"/>
        <c:crosses val="autoZero"/>
        <c:crossBetween val="midCat"/>
        <c:majorUnit val="1"/>
      </c:valAx>
    </c:plotArea>
    <c:plotVisOnly val="1"/>
    <c:dispBlanksAs val="gap"/>
    <c:showDLblsOverMax val="0"/>
  </c:chart>
  <c:spPr>
    <a:ln>
      <a:noFill/>
    </a:ln>
  </c:spPr>
  <c:externalData r:id="rId1">
    <c:autoUpdate val="0"/>
  </c:externalData>
  <c:userShapes r:id="rId2"/>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Sheet9!$G$24</c:f>
              <c:strCache>
                <c:ptCount val="1"/>
                <c:pt idx="0">
                  <c:v>reading/literacy</c:v>
                </c:pt>
              </c:strCache>
            </c:strRef>
          </c:tx>
          <c:spPr>
            <a:solidFill>
              <a:schemeClr val="tx2"/>
            </a:solidFill>
          </c:spPr>
          <c:invertIfNegative val="0"/>
          <c:cat>
            <c:strRef>
              <c:f>Sheet9!$A$25:$A$29</c:f>
              <c:strCache>
                <c:ptCount val="5"/>
                <c:pt idx="0">
                  <c:v>Dual</c:v>
                </c:pt>
                <c:pt idx="1">
                  <c:v>Comprehensive
(Nordic)</c:v>
                </c:pt>
                <c:pt idx="2">
                  <c:v>Comprehensive
(North America)</c:v>
                </c:pt>
                <c:pt idx="3">
                  <c:v>Differentiated </c:v>
                </c:pt>
                <c:pt idx="4">
                  <c:v>Mixed</c:v>
                </c:pt>
              </c:strCache>
            </c:strRef>
          </c:cat>
          <c:val>
            <c:numRef>
              <c:f>Sheet9!$G$25:$G$29</c:f>
              <c:numCache>
                <c:formatCode>General</c:formatCode>
                <c:ptCount val="5"/>
                <c:pt idx="0">
                  <c:v>1</c:v>
                </c:pt>
                <c:pt idx="1">
                  <c:v>2</c:v>
                </c:pt>
                <c:pt idx="2">
                  <c:v>-0.5</c:v>
                </c:pt>
                <c:pt idx="3">
                  <c:v>9.9999999999999645E-2</c:v>
                </c:pt>
                <c:pt idx="4">
                  <c:v>-1.75</c:v>
                </c:pt>
              </c:numCache>
            </c:numRef>
          </c:val>
          <c:extLst>
            <c:ext xmlns:c16="http://schemas.microsoft.com/office/drawing/2014/chart" uri="{C3380CC4-5D6E-409C-BE32-E72D297353CC}">
              <c16:uniqueId val="{00000000-5765-4FB6-A7E5-E5EEF3800C27}"/>
            </c:ext>
          </c:extLst>
        </c:ser>
        <c:ser>
          <c:idx val="1"/>
          <c:order val="1"/>
          <c:tx>
            <c:strRef>
              <c:f>Sheet9!$H$24</c:f>
              <c:strCache>
                <c:ptCount val="1"/>
                <c:pt idx="0">
                  <c:v>maths/numeracy</c:v>
                </c:pt>
              </c:strCache>
            </c:strRef>
          </c:tx>
          <c:spPr>
            <a:solidFill>
              <a:srgbClr val="C00000"/>
            </a:solidFill>
          </c:spPr>
          <c:invertIfNegative val="0"/>
          <c:cat>
            <c:strRef>
              <c:f>Sheet9!$A$25:$A$29</c:f>
              <c:strCache>
                <c:ptCount val="5"/>
                <c:pt idx="0">
                  <c:v>Dual</c:v>
                </c:pt>
                <c:pt idx="1">
                  <c:v>Comprehensive
(Nordic)</c:v>
                </c:pt>
                <c:pt idx="2">
                  <c:v>Comprehensive
(North America)</c:v>
                </c:pt>
                <c:pt idx="3">
                  <c:v>Differentiated </c:v>
                </c:pt>
                <c:pt idx="4">
                  <c:v>Mixed</c:v>
                </c:pt>
              </c:strCache>
            </c:strRef>
          </c:cat>
          <c:val>
            <c:numRef>
              <c:f>Sheet9!$H$25:$H$29</c:f>
              <c:numCache>
                <c:formatCode>General</c:formatCode>
                <c:ptCount val="5"/>
                <c:pt idx="0">
                  <c:v>1.5</c:v>
                </c:pt>
                <c:pt idx="1">
                  <c:v>2</c:v>
                </c:pt>
                <c:pt idx="2">
                  <c:v>-1</c:v>
                </c:pt>
                <c:pt idx="3">
                  <c:v>0.10000000000000009</c:v>
                </c:pt>
                <c:pt idx="4">
                  <c:v>-1.5</c:v>
                </c:pt>
              </c:numCache>
            </c:numRef>
          </c:val>
          <c:extLst>
            <c:ext xmlns:c16="http://schemas.microsoft.com/office/drawing/2014/chart" uri="{C3380CC4-5D6E-409C-BE32-E72D297353CC}">
              <c16:uniqueId val="{00000001-5765-4FB6-A7E5-E5EEF3800C27}"/>
            </c:ext>
          </c:extLst>
        </c:ser>
        <c:dLbls>
          <c:showLegendKey val="0"/>
          <c:showVal val="0"/>
          <c:showCatName val="0"/>
          <c:showSerName val="0"/>
          <c:showPercent val="0"/>
          <c:showBubbleSize val="0"/>
        </c:dLbls>
        <c:gapWidth val="150"/>
        <c:axId val="444399824"/>
        <c:axId val="444400216"/>
      </c:barChart>
      <c:catAx>
        <c:axId val="444399824"/>
        <c:scaling>
          <c:orientation val="minMax"/>
        </c:scaling>
        <c:delete val="0"/>
        <c:axPos val="b"/>
        <c:numFmt formatCode="General" sourceLinked="0"/>
        <c:majorTickMark val="in"/>
        <c:minorTickMark val="none"/>
        <c:tickLblPos val="low"/>
        <c:spPr>
          <a:ln>
            <a:solidFill>
              <a:schemeClr val="tx1"/>
            </a:solidFill>
          </a:ln>
        </c:spPr>
        <c:crossAx val="444400216"/>
        <c:crosses val="autoZero"/>
        <c:auto val="0"/>
        <c:lblAlgn val="ctr"/>
        <c:lblOffset val="100"/>
        <c:noMultiLvlLbl val="0"/>
      </c:catAx>
      <c:valAx>
        <c:axId val="444400216"/>
        <c:scaling>
          <c:orientation val="minMax"/>
        </c:scaling>
        <c:delete val="0"/>
        <c:axPos val="l"/>
        <c:majorGridlines>
          <c:spPr>
            <a:ln>
              <a:solidFill>
                <a:schemeClr val="bg1">
                  <a:lumMod val="85000"/>
                </a:schemeClr>
              </a:solidFill>
              <a:prstDash val="dash"/>
            </a:ln>
          </c:spPr>
        </c:majorGridlines>
        <c:numFmt formatCode="General" sourceLinked="1"/>
        <c:majorTickMark val="in"/>
        <c:minorTickMark val="none"/>
        <c:tickLblPos val="nextTo"/>
        <c:spPr>
          <a:ln>
            <a:solidFill>
              <a:schemeClr val="tx1"/>
            </a:solidFill>
          </a:ln>
        </c:spPr>
        <c:crossAx val="444399824"/>
        <c:crosses val="autoZero"/>
        <c:crossBetween val="between"/>
      </c:valAx>
    </c:plotArea>
    <c:legend>
      <c:legendPos val="tr"/>
      <c:layout>
        <c:manualLayout>
          <c:xMode val="edge"/>
          <c:yMode val="edge"/>
          <c:x val="0.53432020997375329"/>
          <c:y val="2.7777777777777776E-2"/>
          <c:w val="0.44901312335958005"/>
          <c:h val="0.16743438320209975"/>
        </c:manualLayout>
      </c:layout>
      <c:overlay val="1"/>
    </c:legend>
    <c:plotVisOnly val="1"/>
    <c:dispBlanksAs val="gap"/>
    <c:showDLblsOverMax val="0"/>
  </c:chart>
  <c:spPr>
    <a:ln>
      <a:noFill/>
    </a:ln>
  </c:sp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dLbls>
            <c:dLbl>
              <c:idx val="0"/>
              <c:layout>
                <c:manualLayout>
                  <c:x val="-2.8037383177570093E-2"/>
                  <c:y val="-7.847533632286996E-2"/>
                </c:manualLayout>
              </c:layout>
              <c:tx>
                <c:rich>
                  <a:bodyPr/>
                  <a:lstStyle/>
                  <a:p>
                    <a:r>
                      <a:rPr lang="en-US"/>
                      <a:t>AT</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141F-45C4-BBF4-6116C5967553}"/>
                </c:ext>
              </c:extLst>
            </c:dLbl>
            <c:dLbl>
              <c:idx val="1"/>
              <c:tx>
                <c:rich>
                  <a:bodyPr/>
                  <a:lstStyle/>
                  <a:p>
                    <a:r>
                      <a:rPr lang="en-GB"/>
                      <a:t>CA</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141F-45C4-BBF4-6116C5967553}"/>
                </c:ext>
              </c:extLst>
            </c:dLbl>
            <c:dLbl>
              <c:idx val="2"/>
              <c:tx>
                <c:rich>
                  <a:bodyPr/>
                  <a:lstStyle/>
                  <a:p>
                    <a:r>
                      <a:rPr lang="en-US"/>
                      <a:t>CZ</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141F-45C4-BBF4-6116C5967553}"/>
                </c:ext>
              </c:extLst>
            </c:dLbl>
            <c:dLbl>
              <c:idx val="3"/>
              <c:tx>
                <c:rich>
                  <a:bodyPr/>
                  <a:lstStyle/>
                  <a:p>
                    <a:r>
                      <a:rPr lang="en-US"/>
                      <a:t>DK</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141F-45C4-BBF4-6116C5967553}"/>
                </c:ext>
              </c:extLst>
            </c:dLbl>
            <c:dLbl>
              <c:idx val="4"/>
              <c:layout>
                <c:manualLayout>
                  <c:x val="2.3364485981308409E-3"/>
                  <c:y val="1.8510998905405883E-3"/>
                </c:manualLayout>
              </c:layout>
              <c:tx>
                <c:rich>
                  <a:bodyPr/>
                  <a:lstStyle/>
                  <a:p>
                    <a:r>
                      <a:rPr lang="en-US"/>
                      <a:t>FI</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141F-45C4-BBF4-6116C5967553}"/>
                </c:ext>
              </c:extLst>
            </c:dLbl>
            <c:dLbl>
              <c:idx val="5"/>
              <c:tx>
                <c:rich>
                  <a:bodyPr/>
                  <a:lstStyle/>
                  <a:p>
                    <a:r>
                      <a:rPr lang="en-US"/>
                      <a:t>FR</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141F-45C4-BBF4-6116C5967553}"/>
                </c:ext>
              </c:extLst>
            </c:dLbl>
            <c:dLbl>
              <c:idx val="6"/>
              <c:tx>
                <c:rich>
                  <a:bodyPr/>
                  <a:lstStyle/>
                  <a:p>
                    <a:r>
                      <a:rPr lang="en-US"/>
                      <a:t>DE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141F-45C4-BBF4-6116C5967553}"/>
                </c:ext>
              </c:extLst>
            </c:dLbl>
            <c:dLbl>
              <c:idx val="7"/>
              <c:tx>
                <c:rich>
                  <a:bodyPr/>
                  <a:lstStyle/>
                  <a:p>
                    <a:r>
                      <a:rPr lang="en-US"/>
                      <a:t>IE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141F-45C4-BBF4-6116C5967553}"/>
                </c:ext>
              </c:extLst>
            </c:dLbl>
            <c:dLbl>
              <c:idx val="8"/>
              <c:tx>
                <c:rich>
                  <a:bodyPr/>
                  <a:lstStyle/>
                  <a:p>
                    <a:r>
                      <a:rPr lang="en-GB"/>
                      <a:t>IT</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141F-45C4-BBF4-6116C5967553}"/>
                </c:ext>
              </c:extLst>
            </c:dLbl>
            <c:dLbl>
              <c:idx val="9"/>
              <c:layout>
                <c:manualLayout>
                  <c:x val="9.3456104201928031E-3"/>
                  <c:y val="-4.8579970104633816E-2"/>
                </c:manualLayout>
              </c:layout>
              <c:tx>
                <c:rich>
                  <a:bodyPr/>
                  <a:lstStyle/>
                  <a:p>
                    <a:r>
                      <a:rPr lang="en-US"/>
                      <a:t>JP</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141F-45C4-BBF4-6116C5967553}"/>
                </c:ext>
              </c:extLst>
            </c:dLbl>
            <c:dLbl>
              <c:idx val="10"/>
              <c:layout>
                <c:manualLayout>
                  <c:x val="-3.7383177570093455E-2"/>
                  <c:y val="-5.2316890881913304E-2"/>
                </c:manualLayout>
              </c:layout>
              <c:tx>
                <c:rich>
                  <a:bodyPr/>
                  <a:lstStyle/>
                  <a:p>
                    <a:r>
                      <a:rPr lang="en-US"/>
                      <a:t>KR</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141F-45C4-BBF4-6116C5967553}"/>
                </c:ext>
              </c:extLst>
            </c:dLbl>
            <c:dLbl>
              <c:idx val="11"/>
              <c:tx>
                <c:rich>
                  <a:bodyPr/>
                  <a:lstStyle/>
                  <a:p>
                    <a:r>
                      <a:rPr lang="en-US"/>
                      <a:t>NL</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141F-45C4-BBF4-6116C5967553}"/>
                </c:ext>
              </c:extLst>
            </c:dLbl>
            <c:dLbl>
              <c:idx val="12"/>
              <c:tx>
                <c:rich>
                  <a:bodyPr/>
                  <a:lstStyle/>
                  <a:p>
                    <a:r>
                      <a:rPr lang="en-US"/>
                      <a:t>NO</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141F-45C4-BBF4-6116C5967553}"/>
                </c:ext>
              </c:extLst>
            </c:dLbl>
            <c:dLbl>
              <c:idx val="13"/>
              <c:layout>
                <c:manualLayout>
                  <c:x val="-7.0093457943925233E-3"/>
                  <c:y val="-3.3632286995515695E-2"/>
                </c:manualLayout>
              </c:layout>
              <c:tx>
                <c:rich>
                  <a:bodyPr/>
                  <a:lstStyle/>
                  <a:p>
                    <a:r>
                      <a:rPr lang="en-US"/>
                      <a:t>PL</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141F-45C4-BBF4-6116C5967553}"/>
                </c:ext>
              </c:extLst>
            </c:dLbl>
            <c:dLbl>
              <c:idx val="14"/>
              <c:layout>
                <c:manualLayout>
                  <c:x val="-7.0093457943925233E-3"/>
                  <c:y val="-2.2421524663677129E-2"/>
                </c:manualLayout>
              </c:layout>
              <c:tx>
                <c:rich>
                  <a:bodyPr/>
                  <a:lstStyle/>
                  <a:p>
                    <a:r>
                      <a:rPr lang="en-US"/>
                      <a:t>ES</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141F-45C4-BBF4-6116C5967553}"/>
                </c:ext>
              </c:extLst>
            </c:dLbl>
            <c:dLbl>
              <c:idx val="15"/>
              <c:tx>
                <c:rich>
                  <a:bodyPr/>
                  <a:lstStyle/>
                  <a:p>
                    <a:r>
                      <a:rPr lang="en-US"/>
                      <a:t>SE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141F-45C4-BBF4-6116C5967553}"/>
                </c:ext>
              </c:extLst>
            </c:dLbl>
            <c:dLbl>
              <c:idx val="16"/>
              <c:tx>
                <c:rich>
                  <a:bodyPr/>
                  <a:lstStyle/>
                  <a:p>
                    <a:r>
                      <a:rPr lang="en-GB"/>
                      <a:t>US</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141F-45C4-BBF4-6116C5967553}"/>
                </c:ext>
              </c:extLst>
            </c:dLbl>
            <c:dLbl>
              <c:idx val="17"/>
              <c:layout>
                <c:manualLayout>
                  <c:x val="9.3457943925233638E-3"/>
                  <c:y val="1.3096583218577431E-2"/>
                </c:manualLayout>
              </c:layout>
              <c:tx>
                <c:rich>
                  <a:bodyPr/>
                  <a:lstStyle/>
                  <a:p>
                    <a:r>
                      <a:rPr lang="en-US"/>
                      <a:t>EN</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141F-45C4-BBF4-6116C5967553}"/>
                </c:ext>
              </c:extLst>
            </c:dLbl>
            <c:dLbl>
              <c:idx val="18"/>
              <c:tx>
                <c:rich>
                  <a:bodyPr/>
                  <a:lstStyle/>
                  <a:p>
                    <a:r>
                      <a:rPr lang="en-US"/>
                      <a:t>NI</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2-141F-45C4-BBF4-6116C5967553}"/>
                </c:ext>
              </c:extLst>
            </c:dLbl>
            <c:dLbl>
              <c:idx val="19"/>
              <c:tx>
                <c:rich>
                  <a:bodyPr/>
                  <a:lstStyle/>
                  <a:p>
                    <a:r>
                      <a:rPr lang="en-GB"/>
                      <a:t>BE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3-141F-45C4-BBF4-6116C596755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5875" cap="rnd">
                <a:solidFill>
                  <a:srgbClr val="C00000"/>
                </a:solidFill>
                <a:prstDash val="sysDot"/>
              </a:ln>
              <a:effectLst/>
            </c:spPr>
            <c:trendlineType val="linear"/>
            <c:dispRSqr val="0"/>
            <c:dispEq val="0"/>
          </c:trendline>
          <c:xVal>
            <c:numRef>
              <c:f>Sheet5!$B$2:$B$21</c:f>
              <c:numCache>
                <c:formatCode>General</c:formatCode>
                <c:ptCount val="20"/>
                <c:pt idx="0">
                  <c:v>0.2001</c:v>
                </c:pt>
                <c:pt idx="2">
                  <c:v>8.9200000000000002E-2</c:v>
                </c:pt>
                <c:pt idx="3">
                  <c:v>0.26690000000000003</c:v>
                </c:pt>
                <c:pt idx="4">
                  <c:v>0.2024</c:v>
                </c:pt>
                <c:pt idx="5">
                  <c:v>9.1999999999999998E-2</c:v>
                </c:pt>
                <c:pt idx="6">
                  <c:v>0.36280000000000001</c:v>
                </c:pt>
                <c:pt idx="7">
                  <c:v>0.2056</c:v>
                </c:pt>
                <c:pt idx="9">
                  <c:v>0.32700000000000001</c:v>
                </c:pt>
                <c:pt idx="10">
                  <c:v>0.17369999999999999</c:v>
                </c:pt>
                <c:pt idx="11">
                  <c:v>0.2487</c:v>
                </c:pt>
                <c:pt idx="12">
                  <c:v>0.40360000000000001</c:v>
                </c:pt>
                <c:pt idx="13">
                  <c:v>7.3800000000000004E-2</c:v>
                </c:pt>
                <c:pt idx="14">
                  <c:v>0.18149999999999999</c:v>
                </c:pt>
                <c:pt idx="15">
                  <c:v>0.45710000000000001</c:v>
                </c:pt>
                <c:pt idx="17">
                  <c:v>0.17929999999999999</c:v>
                </c:pt>
                <c:pt idx="18">
                  <c:v>0.13569999999999999</c:v>
                </c:pt>
              </c:numCache>
            </c:numRef>
          </c:xVal>
          <c:yVal>
            <c:numRef>
              <c:f>Sheet5!$C$2:$C$21</c:f>
              <c:numCache>
                <c:formatCode>General</c:formatCode>
                <c:ptCount val="20"/>
                <c:pt idx="0">
                  <c:v>1</c:v>
                </c:pt>
                <c:pt idx="1">
                  <c:v>-1</c:v>
                </c:pt>
                <c:pt idx="2">
                  <c:v>1</c:v>
                </c:pt>
                <c:pt idx="3">
                  <c:v>1</c:v>
                </c:pt>
                <c:pt idx="4">
                  <c:v>1</c:v>
                </c:pt>
                <c:pt idx="5">
                  <c:v>-1</c:v>
                </c:pt>
                <c:pt idx="6">
                  <c:v>2</c:v>
                </c:pt>
                <c:pt idx="7">
                  <c:v>-1</c:v>
                </c:pt>
                <c:pt idx="8">
                  <c:v>1</c:v>
                </c:pt>
                <c:pt idx="9">
                  <c:v>0</c:v>
                </c:pt>
                <c:pt idx="10">
                  <c:v>-2</c:v>
                </c:pt>
                <c:pt idx="11">
                  <c:v>-1</c:v>
                </c:pt>
                <c:pt idx="12">
                  <c:v>2</c:v>
                </c:pt>
                <c:pt idx="13">
                  <c:v>1</c:v>
                </c:pt>
                <c:pt idx="14">
                  <c:v>0</c:v>
                </c:pt>
                <c:pt idx="15">
                  <c:v>2</c:v>
                </c:pt>
                <c:pt idx="16">
                  <c:v>-1</c:v>
                </c:pt>
                <c:pt idx="17">
                  <c:v>-2</c:v>
                </c:pt>
                <c:pt idx="18">
                  <c:v>-3</c:v>
                </c:pt>
                <c:pt idx="19">
                  <c:v>0</c:v>
                </c:pt>
              </c:numCache>
            </c:numRef>
          </c:yVal>
          <c:smooth val="0"/>
          <c:extLst>
            <c:ext xmlns:c16="http://schemas.microsoft.com/office/drawing/2014/chart" uri="{C3380CC4-5D6E-409C-BE32-E72D297353CC}">
              <c16:uniqueId val="{00000015-141F-45C4-BBF4-6116C5967553}"/>
            </c:ext>
          </c:extLst>
        </c:ser>
        <c:dLbls>
          <c:showLegendKey val="0"/>
          <c:showVal val="0"/>
          <c:showCatName val="0"/>
          <c:showSerName val="0"/>
          <c:showPercent val="0"/>
          <c:showBubbleSize val="0"/>
        </c:dLbls>
        <c:axId val="444401000"/>
        <c:axId val="444401392"/>
      </c:scatterChart>
      <c:valAx>
        <c:axId val="444401000"/>
        <c:scaling>
          <c:orientation val="minMax"/>
        </c:scaling>
        <c:delete val="0"/>
        <c:axPos val="b"/>
        <c:majorGridlines>
          <c:spPr>
            <a:ln>
              <a:solidFill>
                <a:schemeClr val="bg1">
                  <a:lumMod val="85000"/>
                </a:schemeClr>
              </a:solidFill>
              <a:prstDash val="dash"/>
            </a:ln>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solidFill>
                      <a:schemeClr val="tx1"/>
                    </a:solidFill>
                  </a:rPr>
                  <a:t>% of students </a:t>
                </a:r>
                <a:r>
                  <a:rPr lang="en-GB" baseline="0">
                    <a:solidFill>
                      <a:schemeClr val="tx1"/>
                    </a:solidFill>
                  </a:rPr>
                  <a:t>with graduate parents who </a:t>
                </a:r>
                <a:r>
                  <a:rPr lang="en-GB">
                    <a:solidFill>
                      <a:schemeClr val="tx1"/>
                    </a:solidFill>
                  </a:rPr>
                  <a:t>gain VET qualifications </a:t>
                </a:r>
              </a:p>
            </c:rich>
          </c:tx>
          <c:overlay val="0"/>
          <c:spPr>
            <a:noFill/>
            <a:ln>
              <a:noFill/>
            </a:ln>
            <a:effectLst/>
          </c:spPr>
        </c:title>
        <c:numFmt formatCode="General" sourceLinked="1"/>
        <c:majorTickMark val="in"/>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4401392"/>
        <c:crosses val="autoZero"/>
        <c:crossBetween val="midCat"/>
      </c:valAx>
      <c:valAx>
        <c:axId val="444401392"/>
        <c:scaling>
          <c:orientation val="minMax"/>
        </c:scaling>
        <c:delete val="0"/>
        <c:axPos val="l"/>
        <c:majorGridlines>
          <c:spPr>
            <a:ln>
              <a:solidFill>
                <a:schemeClr val="bg1">
                  <a:lumMod val="85000"/>
                </a:schemeClr>
              </a:solidFill>
              <a:prstDash val="dash"/>
            </a:ln>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solidFill>
                      <a:schemeClr val="tx1"/>
                    </a:solidFill>
                  </a:rPr>
                  <a:t>PISA</a:t>
                </a:r>
                <a:r>
                  <a:rPr lang="en-GB" baseline="0">
                    <a:solidFill>
                      <a:schemeClr val="tx1"/>
                    </a:solidFill>
                  </a:rPr>
                  <a:t> PIAAC change in rank ordering - Numeracy</a:t>
                </a:r>
                <a:endParaRPr lang="en-GB">
                  <a:solidFill>
                    <a:schemeClr val="tx1"/>
                  </a:solidFill>
                </a:endParaRPr>
              </a:p>
            </c:rich>
          </c:tx>
          <c:overlay val="0"/>
          <c:spPr>
            <a:noFill/>
            <a:ln>
              <a:noFill/>
            </a:ln>
            <a:effectLst/>
          </c:sp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4401000"/>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userShapes r:id="rId2"/>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dLbls>
            <c:dLbl>
              <c:idx val="0"/>
              <c:tx>
                <c:rich>
                  <a:bodyPr/>
                  <a:lstStyle/>
                  <a:p>
                    <a:r>
                      <a:rPr lang="en-US"/>
                      <a:t>AT</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959A-4EBB-9FC2-4852FDA2E4EC}"/>
                </c:ext>
              </c:extLst>
            </c:dLbl>
            <c:dLbl>
              <c:idx val="1"/>
              <c:layout>
                <c:manualLayout>
                  <c:x val="-1.962404571830418E-2"/>
                  <c:y val="-4.2253521126760563E-2"/>
                </c:manualLayout>
              </c:layout>
              <c:tx>
                <c:rich>
                  <a:bodyPr/>
                  <a:lstStyle/>
                  <a:p>
                    <a:r>
                      <a:rPr lang="en-US"/>
                      <a:t>CA</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959A-4EBB-9FC2-4852FDA2E4EC}"/>
                </c:ext>
              </c:extLst>
            </c:dLbl>
            <c:dLbl>
              <c:idx val="2"/>
              <c:tx>
                <c:rich>
                  <a:bodyPr/>
                  <a:lstStyle/>
                  <a:p>
                    <a:r>
                      <a:rPr lang="en-US"/>
                      <a:t>CZ</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959A-4EBB-9FC2-4852FDA2E4EC}"/>
                </c:ext>
              </c:extLst>
            </c:dLbl>
            <c:dLbl>
              <c:idx val="3"/>
              <c:layout>
                <c:manualLayout>
                  <c:x val="-8.7217217914965957E-3"/>
                  <c:y val="-4.9295774647887355E-2"/>
                </c:manualLayout>
              </c:layout>
              <c:tx>
                <c:rich>
                  <a:bodyPr/>
                  <a:lstStyle/>
                  <a:p>
                    <a:r>
                      <a:rPr lang="en-US"/>
                      <a:t>DK</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959A-4EBB-9FC2-4852FDA2E4EC}"/>
                </c:ext>
              </c:extLst>
            </c:dLbl>
            <c:dLbl>
              <c:idx val="4"/>
              <c:tx>
                <c:rich>
                  <a:bodyPr/>
                  <a:lstStyle/>
                  <a:p>
                    <a:r>
                      <a:rPr lang="en-US"/>
                      <a:t>FI</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959A-4EBB-9FC2-4852FDA2E4EC}"/>
                </c:ext>
              </c:extLst>
            </c:dLbl>
            <c:dLbl>
              <c:idx val="5"/>
              <c:layout>
                <c:manualLayout>
                  <c:x val="-1.962387403086726E-2"/>
                  <c:y val="-4.5774647887323945E-2"/>
                </c:manualLayout>
              </c:layout>
              <c:tx>
                <c:rich>
                  <a:bodyPr/>
                  <a:lstStyle/>
                  <a:p>
                    <a:r>
                      <a:rPr lang="en-US"/>
                      <a:t>FR</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959A-4EBB-9FC2-4852FDA2E4EC}"/>
                </c:ext>
              </c:extLst>
            </c:dLbl>
            <c:dLbl>
              <c:idx val="6"/>
              <c:layout>
                <c:manualLayout>
                  <c:x val="-6.5412913436224468E-3"/>
                  <c:y val="0"/>
                </c:manualLayout>
              </c:layout>
              <c:tx>
                <c:rich>
                  <a:bodyPr/>
                  <a:lstStyle/>
                  <a:p>
                    <a:r>
                      <a:rPr lang="en-US"/>
                      <a:t>DE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959A-4EBB-9FC2-4852FDA2E4EC}"/>
                </c:ext>
              </c:extLst>
            </c:dLbl>
            <c:dLbl>
              <c:idx val="7"/>
              <c:layout>
                <c:manualLayout>
                  <c:x val="5.2367758610210764E-2"/>
                  <c:y val="7.9902129311300876E-2"/>
                </c:manualLayout>
              </c:layout>
              <c:tx>
                <c:rich>
                  <a:bodyPr/>
                  <a:lstStyle/>
                  <a:p>
                    <a:r>
                      <a:rPr lang="en-US"/>
                      <a:t>IE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959A-4EBB-9FC2-4852FDA2E4EC}"/>
                </c:ext>
              </c:extLst>
            </c:dLbl>
            <c:dLbl>
              <c:idx val="8"/>
              <c:tx>
                <c:rich>
                  <a:bodyPr/>
                  <a:lstStyle/>
                  <a:p>
                    <a:r>
                      <a:rPr lang="en-US"/>
                      <a:t>IT</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959A-4EBB-9FC2-4852FDA2E4EC}"/>
                </c:ext>
              </c:extLst>
            </c:dLbl>
            <c:dLbl>
              <c:idx val="9"/>
              <c:tx>
                <c:rich>
                  <a:bodyPr/>
                  <a:lstStyle/>
                  <a:p>
                    <a:r>
                      <a:rPr lang="en-GB"/>
                      <a:t>JP</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959A-4EBB-9FC2-4852FDA2E4EC}"/>
                </c:ext>
              </c:extLst>
            </c:dLbl>
            <c:dLbl>
              <c:idx val="10"/>
              <c:layout>
                <c:manualLayout>
                  <c:x val="2.6165165374489829E-2"/>
                  <c:y val="3.5211267605633804E-3"/>
                </c:manualLayout>
              </c:layout>
              <c:tx>
                <c:rich>
                  <a:bodyPr/>
                  <a:lstStyle/>
                  <a:p>
                    <a:r>
                      <a:rPr lang="en-US"/>
                      <a:t>KR</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959A-4EBB-9FC2-4852FDA2E4EC}"/>
                </c:ext>
              </c:extLst>
            </c:dLbl>
            <c:dLbl>
              <c:idx val="11"/>
              <c:layout>
                <c:manualLayout>
                  <c:x val="1.7443443582993191E-2"/>
                  <c:y val="7.0422535211267607E-3"/>
                </c:manualLayout>
              </c:layout>
              <c:tx>
                <c:rich>
                  <a:bodyPr/>
                  <a:lstStyle/>
                  <a:p>
                    <a:r>
                      <a:rPr lang="en-US"/>
                      <a:t>NL</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959A-4EBB-9FC2-4852FDA2E4EC}"/>
                </c:ext>
              </c:extLst>
            </c:dLbl>
            <c:dLbl>
              <c:idx val="12"/>
              <c:layout>
                <c:manualLayout>
                  <c:x val="2.1804304478741491E-2"/>
                  <c:y val="0"/>
                </c:manualLayout>
              </c:layout>
              <c:tx>
                <c:rich>
                  <a:bodyPr/>
                  <a:lstStyle/>
                  <a:p>
                    <a:r>
                      <a:rPr lang="en-US"/>
                      <a:t>NO</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959A-4EBB-9FC2-4852FDA2E4EC}"/>
                </c:ext>
              </c:extLst>
            </c:dLbl>
            <c:dLbl>
              <c:idx val="13"/>
              <c:layout>
                <c:manualLayout>
                  <c:x val="-1.0902152239370745E-2"/>
                  <c:y val="-2.7725407563491185E-7"/>
                </c:manualLayout>
              </c:layout>
              <c:tx>
                <c:rich>
                  <a:bodyPr/>
                  <a:lstStyle/>
                  <a:p>
                    <a:r>
                      <a:rPr lang="en-US"/>
                      <a:t>PL</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959A-4EBB-9FC2-4852FDA2E4EC}"/>
                </c:ext>
              </c:extLst>
            </c:dLbl>
            <c:dLbl>
              <c:idx val="14"/>
              <c:layout>
                <c:manualLayout>
                  <c:x val="0"/>
                  <c:y val="-1.7605633802816902E-2"/>
                </c:manualLayout>
              </c:layout>
              <c:tx>
                <c:rich>
                  <a:bodyPr/>
                  <a:lstStyle/>
                  <a:p>
                    <a:r>
                      <a:rPr lang="en-US"/>
                      <a:t>ES</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959A-4EBB-9FC2-4852FDA2E4EC}"/>
                </c:ext>
              </c:extLst>
            </c:dLbl>
            <c:dLbl>
              <c:idx val="15"/>
              <c:layout>
                <c:manualLayout>
                  <c:x val="-3.4903025785049391E-2"/>
                  <c:y val="-5.8775368747920595E-2"/>
                </c:manualLayout>
              </c:layout>
              <c:tx>
                <c:rich>
                  <a:bodyPr/>
                  <a:lstStyle/>
                  <a:p>
                    <a:r>
                      <a:rPr lang="en-US"/>
                      <a:t>SE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959A-4EBB-9FC2-4852FDA2E4EC}"/>
                </c:ext>
              </c:extLst>
            </c:dLbl>
            <c:dLbl>
              <c:idx val="16"/>
              <c:layout>
                <c:manualLayout>
                  <c:x val="-8.0349720441346594E-5"/>
                  <c:y val="-2.0716424531439966E-3"/>
                </c:manualLayout>
              </c:layout>
              <c:tx>
                <c:rich>
                  <a:bodyPr/>
                  <a:lstStyle/>
                  <a:p>
                    <a:r>
                      <a:rPr lang="en-US"/>
                      <a:t>US</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959A-4EBB-9FC2-4852FDA2E4EC}"/>
                </c:ext>
              </c:extLst>
            </c:dLbl>
            <c:dLbl>
              <c:idx val="17"/>
              <c:layout>
                <c:manualLayout>
                  <c:x val="-2.2607801683154957E-3"/>
                  <c:y val="6.9094765443052014E-2"/>
                </c:manualLayout>
              </c:layout>
              <c:tx>
                <c:rich>
                  <a:bodyPr/>
                  <a:lstStyle/>
                  <a:p>
                    <a:r>
                      <a:rPr lang="en-US"/>
                      <a:t>EN</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959A-4EBB-9FC2-4852FDA2E4EC}"/>
                </c:ext>
              </c:extLst>
            </c:dLbl>
            <c:dLbl>
              <c:idx val="18"/>
              <c:tx>
                <c:rich>
                  <a:bodyPr/>
                  <a:lstStyle/>
                  <a:p>
                    <a:r>
                      <a:rPr lang="en-GB"/>
                      <a:t>N IE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2-959A-4EBB-9FC2-4852FDA2E4EC}"/>
                </c:ext>
              </c:extLst>
            </c:dLbl>
            <c:dLbl>
              <c:idx val="19"/>
              <c:layout>
                <c:manualLayout>
                  <c:x val="-4.360860895748218E-3"/>
                  <c:y val="-1.7605633802816902E-2"/>
                </c:manualLayout>
              </c:layout>
              <c:tx>
                <c:rich>
                  <a:bodyPr/>
                  <a:lstStyle/>
                  <a:p>
                    <a:r>
                      <a:rPr lang="en-US"/>
                      <a:t>BE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3-959A-4EBB-9FC2-4852FDA2E4E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5875" cap="rnd">
                <a:solidFill>
                  <a:srgbClr val="C00000"/>
                </a:solidFill>
                <a:prstDash val="sysDot"/>
              </a:ln>
              <a:effectLst/>
            </c:spPr>
            <c:trendlineType val="linear"/>
            <c:dispRSqr val="0"/>
            <c:dispEq val="0"/>
          </c:trendline>
          <c:xVal>
            <c:numRef>
              <c:f>Sheet2!$B$2:$B$21</c:f>
              <c:numCache>
                <c:formatCode>General</c:formatCode>
                <c:ptCount val="20"/>
                <c:pt idx="0">
                  <c:v>0.60854260000000004</c:v>
                </c:pt>
                <c:pt idx="1">
                  <c:v>0.4801996</c:v>
                </c:pt>
                <c:pt idx="2">
                  <c:v>0.87511499999999998</c:v>
                </c:pt>
                <c:pt idx="3">
                  <c:v>0.82980940000000003</c:v>
                </c:pt>
                <c:pt idx="4">
                  <c:v>0.91159760000000001</c:v>
                </c:pt>
                <c:pt idx="5">
                  <c:v>0.71513879999999996</c:v>
                </c:pt>
                <c:pt idx="6">
                  <c:v>0.86316219999999999</c:v>
                </c:pt>
                <c:pt idx="7">
                  <c:v>0.48246610000000001</c:v>
                </c:pt>
                <c:pt idx="8">
                  <c:v>0.70399999999999996</c:v>
                </c:pt>
                <c:pt idx="10">
                  <c:v>0.51134789999999997</c:v>
                </c:pt>
                <c:pt idx="11">
                  <c:v>0.71005300000000005</c:v>
                </c:pt>
                <c:pt idx="12">
                  <c:v>0.89078820000000003</c:v>
                </c:pt>
                <c:pt idx="13">
                  <c:v>0.84945360000000003</c:v>
                </c:pt>
                <c:pt idx="14">
                  <c:v>0.59301369999999998</c:v>
                </c:pt>
                <c:pt idx="15">
                  <c:v>0.90458919999999998</c:v>
                </c:pt>
                <c:pt idx="16">
                  <c:v>0.49069780000000002</c:v>
                </c:pt>
                <c:pt idx="17">
                  <c:v>0.51215330000000003</c:v>
                </c:pt>
                <c:pt idx="19">
                  <c:v>0.72078569999999997</c:v>
                </c:pt>
              </c:numCache>
            </c:numRef>
          </c:xVal>
          <c:yVal>
            <c:numRef>
              <c:f>Sheet2!$C$2:$C$21</c:f>
              <c:numCache>
                <c:formatCode>General</c:formatCode>
                <c:ptCount val="20"/>
                <c:pt idx="0">
                  <c:v>1</c:v>
                </c:pt>
                <c:pt idx="1">
                  <c:v>-1</c:v>
                </c:pt>
                <c:pt idx="2">
                  <c:v>1</c:v>
                </c:pt>
                <c:pt idx="3">
                  <c:v>1</c:v>
                </c:pt>
                <c:pt idx="4">
                  <c:v>1</c:v>
                </c:pt>
                <c:pt idx="5">
                  <c:v>-1</c:v>
                </c:pt>
                <c:pt idx="6">
                  <c:v>2</c:v>
                </c:pt>
                <c:pt idx="7">
                  <c:v>-1</c:v>
                </c:pt>
                <c:pt idx="8">
                  <c:v>1</c:v>
                </c:pt>
                <c:pt idx="9">
                  <c:v>0</c:v>
                </c:pt>
                <c:pt idx="10">
                  <c:v>-2</c:v>
                </c:pt>
                <c:pt idx="11">
                  <c:v>-1</c:v>
                </c:pt>
                <c:pt idx="12">
                  <c:v>2</c:v>
                </c:pt>
                <c:pt idx="13">
                  <c:v>1</c:v>
                </c:pt>
                <c:pt idx="14">
                  <c:v>0</c:v>
                </c:pt>
                <c:pt idx="15">
                  <c:v>2</c:v>
                </c:pt>
                <c:pt idx="16">
                  <c:v>-1</c:v>
                </c:pt>
                <c:pt idx="17">
                  <c:v>-2</c:v>
                </c:pt>
                <c:pt idx="18">
                  <c:v>-3</c:v>
                </c:pt>
                <c:pt idx="19">
                  <c:v>0</c:v>
                </c:pt>
              </c:numCache>
            </c:numRef>
          </c:yVal>
          <c:smooth val="0"/>
          <c:extLst>
            <c:ext xmlns:c16="http://schemas.microsoft.com/office/drawing/2014/chart" uri="{C3380CC4-5D6E-409C-BE32-E72D297353CC}">
              <c16:uniqueId val="{00000015-959A-4EBB-9FC2-4852FDA2E4EC}"/>
            </c:ext>
          </c:extLst>
        </c:ser>
        <c:dLbls>
          <c:showLegendKey val="0"/>
          <c:showVal val="0"/>
          <c:showCatName val="0"/>
          <c:showSerName val="0"/>
          <c:showPercent val="0"/>
          <c:showBubbleSize val="0"/>
        </c:dLbls>
        <c:axId val="444402176"/>
        <c:axId val="444402568"/>
      </c:scatterChart>
      <c:valAx>
        <c:axId val="444402176"/>
        <c:scaling>
          <c:orientation val="minMax"/>
          <c:min val="0.4"/>
        </c:scaling>
        <c:delete val="0"/>
        <c:axPos val="b"/>
        <c:majorGridlines>
          <c:spPr>
            <a:ln>
              <a:solidFill>
                <a:schemeClr val="bg1">
                  <a:lumMod val="85000"/>
                </a:schemeClr>
              </a:solidFill>
              <a:prstDash val="dash"/>
            </a:ln>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a:solidFill>
                      <a:schemeClr val="tx1"/>
                    </a:solidFill>
                  </a:rPr>
                  <a:t>% of young</a:t>
                </a:r>
                <a:r>
                  <a:rPr lang="en-GB" sz="1000" baseline="0">
                    <a:solidFill>
                      <a:schemeClr val="tx1"/>
                    </a:solidFill>
                  </a:rPr>
                  <a:t> people </a:t>
                </a:r>
                <a:r>
                  <a:rPr lang="en-GB" sz="1000">
                    <a:solidFill>
                      <a:schemeClr val="tx1"/>
                    </a:solidFill>
                  </a:rPr>
                  <a:t>enroled</a:t>
                </a:r>
                <a:r>
                  <a:rPr lang="en-GB" sz="1000" baseline="0">
                    <a:solidFill>
                      <a:schemeClr val="tx1"/>
                    </a:solidFill>
                  </a:rPr>
                  <a:t> in education at age </a:t>
                </a:r>
                <a:r>
                  <a:rPr lang="en-GB" sz="1000">
                    <a:solidFill>
                      <a:schemeClr val="tx1"/>
                    </a:solidFill>
                  </a:rPr>
                  <a:t>17-18 </a:t>
                </a:r>
              </a:p>
            </c:rich>
          </c:tx>
          <c:overlay val="0"/>
          <c:spPr>
            <a:noFill/>
            <a:ln>
              <a:noFill/>
            </a:ln>
            <a:effectLst/>
          </c:spPr>
        </c:title>
        <c:numFmt formatCode="General" sourceLinked="1"/>
        <c:majorTickMark val="in"/>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4402568"/>
        <c:crosses val="autoZero"/>
        <c:crossBetween val="midCat"/>
      </c:valAx>
      <c:valAx>
        <c:axId val="444402568"/>
        <c:scaling>
          <c:orientation val="minMax"/>
          <c:min val="-3"/>
        </c:scaling>
        <c:delete val="0"/>
        <c:axPos val="l"/>
        <c:majorGridlines>
          <c:spPr>
            <a:ln>
              <a:solidFill>
                <a:schemeClr val="bg1">
                  <a:lumMod val="85000"/>
                </a:schemeClr>
              </a:solidFill>
              <a:prstDash val="dash"/>
            </a:ln>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a:solidFill>
                      <a:schemeClr val="tx1"/>
                    </a:solidFill>
                  </a:rPr>
                  <a:t>PISA PIAAC change in rank ordering - Numercy</a:t>
                </a:r>
              </a:p>
            </c:rich>
          </c:tx>
          <c:overlay val="0"/>
          <c:spPr>
            <a:noFill/>
            <a:ln>
              <a:noFill/>
            </a:ln>
            <a:effectLst/>
          </c:sp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4402176"/>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userShapes r:id="rId2"/>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dLbls>
            <c:dLbl>
              <c:idx val="0"/>
              <c:layout>
                <c:manualLayout>
                  <c:x val="-6.5375302663438273E-2"/>
                  <c:y val="3.4802784222737818E-2"/>
                </c:manualLayout>
              </c:layout>
              <c:tx>
                <c:rich>
                  <a:bodyPr/>
                  <a:lstStyle/>
                  <a:p>
                    <a:r>
                      <a:rPr lang="en-US"/>
                      <a:t>AT</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C3D9-4AA9-B991-4347D7674EBF}"/>
                </c:ext>
              </c:extLst>
            </c:dLbl>
            <c:dLbl>
              <c:idx val="1"/>
              <c:tx>
                <c:rich>
                  <a:bodyPr/>
                  <a:lstStyle/>
                  <a:p>
                    <a:r>
                      <a:rPr lang="en-GB"/>
                      <a:t>CA</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C3D9-4AA9-B991-4347D7674EBF}"/>
                </c:ext>
              </c:extLst>
            </c:dLbl>
            <c:dLbl>
              <c:idx val="2"/>
              <c:layout>
                <c:manualLayout>
                  <c:x val="-4.8426150121065378E-3"/>
                  <c:y val="3.8669760247486465E-3"/>
                </c:manualLayout>
              </c:layout>
              <c:tx>
                <c:rich>
                  <a:bodyPr/>
                  <a:lstStyle/>
                  <a:p>
                    <a:r>
                      <a:rPr lang="en-US"/>
                      <a:t>CZ</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C3D9-4AA9-B991-4347D7674EBF}"/>
                </c:ext>
              </c:extLst>
            </c:dLbl>
            <c:dLbl>
              <c:idx val="3"/>
              <c:layout>
                <c:manualLayout>
                  <c:x val="-3.1476997578692496E-2"/>
                  <c:y val="-5.1778199998782054E-2"/>
                </c:manualLayout>
              </c:layout>
              <c:tx>
                <c:rich>
                  <a:bodyPr/>
                  <a:lstStyle/>
                  <a:p>
                    <a:r>
                      <a:rPr lang="en-US"/>
                      <a:t>DK</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C3D9-4AA9-B991-4347D7674EBF}"/>
                </c:ext>
              </c:extLst>
            </c:dLbl>
            <c:dLbl>
              <c:idx val="4"/>
              <c:layout>
                <c:manualLayout>
                  <c:x val="-7.2639225181598066E-3"/>
                  <c:y val="-5.6497128694180047E-2"/>
                </c:manualLayout>
              </c:layout>
              <c:tx>
                <c:rich>
                  <a:bodyPr/>
                  <a:lstStyle/>
                  <a:p>
                    <a:r>
                      <a:rPr lang="en-US"/>
                      <a:t>FI</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C3D9-4AA9-B991-4347D7674EBF}"/>
                </c:ext>
              </c:extLst>
            </c:dLbl>
            <c:dLbl>
              <c:idx val="5"/>
              <c:tx>
                <c:rich>
                  <a:bodyPr/>
                  <a:lstStyle/>
                  <a:p>
                    <a:r>
                      <a:rPr lang="en-US"/>
                      <a:t>FR</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C3D9-4AA9-B991-4347D7674EBF}"/>
                </c:ext>
              </c:extLst>
            </c:dLbl>
            <c:dLbl>
              <c:idx val="6"/>
              <c:layout>
                <c:manualLayout>
                  <c:x val="-2.4213075060532687E-2"/>
                  <c:y val="-5.9015839377386414E-2"/>
                </c:manualLayout>
              </c:layout>
              <c:tx>
                <c:rich>
                  <a:bodyPr/>
                  <a:lstStyle/>
                  <a:p>
                    <a:r>
                      <a:rPr lang="en-US"/>
                      <a:t>DE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C3D9-4AA9-B991-4347D7674EBF}"/>
                </c:ext>
              </c:extLst>
            </c:dLbl>
            <c:dLbl>
              <c:idx val="7"/>
              <c:tx>
                <c:rich>
                  <a:bodyPr/>
                  <a:lstStyle/>
                  <a:p>
                    <a:r>
                      <a:rPr lang="en-US"/>
                      <a:t>IE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C3D9-4AA9-B991-4347D7674EBF}"/>
                </c:ext>
              </c:extLst>
            </c:dLbl>
            <c:dLbl>
              <c:idx val="8"/>
              <c:tx>
                <c:rich>
                  <a:bodyPr/>
                  <a:lstStyle/>
                  <a:p>
                    <a:r>
                      <a:rPr lang="en-GB"/>
                      <a:t>IT</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C3D9-4AA9-B991-4347D7674EBF}"/>
                </c:ext>
              </c:extLst>
            </c:dLbl>
            <c:dLbl>
              <c:idx val="9"/>
              <c:layout>
                <c:manualLayout>
                  <c:x val="7.2639225181598066E-3"/>
                  <c:y val="-5.4137664346481054E-2"/>
                </c:manualLayout>
              </c:layout>
              <c:tx>
                <c:rich>
                  <a:bodyPr/>
                  <a:lstStyle/>
                  <a:p>
                    <a:r>
                      <a:rPr lang="en-US"/>
                      <a:t>JP</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C3D9-4AA9-B991-4347D7674EBF}"/>
                </c:ext>
              </c:extLst>
            </c:dLbl>
            <c:dLbl>
              <c:idx val="10"/>
              <c:tx>
                <c:rich>
                  <a:bodyPr/>
                  <a:lstStyle/>
                  <a:p>
                    <a:r>
                      <a:rPr lang="en-US"/>
                      <a:t>KR</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C3D9-4AA9-B991-4347D7674EBF}"/>
                </c:ext>
              </c:extLst>
            </c:dLbl>
            <c:dLbl>
              <c:idx val="11"/>
              <c:tx>
                <c:rich>
                  <a:bodyPr/>
                  <a:lstStyle/>
                  <a:p>
                    <a:r>
                      <a:rPr lang="en-US"/>
                      <a:t>NL</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C3D9-4AA9-B991-4347D7674EBF}"/>
                </c:ext>
              </c:extLst>
            </c:dLbl>
            <c:dLbl>
              <c:idx val="12"/>
              <c:layout>
                <c:manualLayout>
                  <c:x val="-7.2639225181598058E-2"/>
                  <c:y val="-4.5055446955441475E-2"/>
                </c:manualLayout>
              </c:layout>
              <c:tx>
                <c:rich>
                  <a:bodyPr/>
                  <a:lstStyle/>
                  <a:p>
                    <a:r>
                      <a:rPr lang="en-US"/>
                      <a:t>NO</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C3D9-4AA9-B991-4347D7674EBF}"/>
                </c:ext>
              </c:extLst>
            </c:dLbl>
            <c:dLbl>
              <c:idx val="13"/>
              <c:tx>
                <c:rich>
                  <a:bodyPr/>
                  <a:lstStyle/>
                  <a:p>
                    <a:r>
                      <a:rPr lang="en-US"/>
                      <a:t>PL</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C3D9-4AA9-B991-4347D7674EBF}"/>
                </c:ext>
              </c:extLst>
            </c:dLbl>
            <c:dLbl>
              <c:idx val="14"/>
              <c:layout>
                <c:manualLayout>
                  <c:x val="-7.2639225181598066E-3"/>
                  <c:y val="1.5467904098994586E-2"/>
                </c:manualLayout>
              </c:layout>
              <c:tx>
                <c:rich>
                  <a:bodyPr/>
                  <a:lstStyle/>
                  <a:p>
                    <a:r>
                      <a:rPr lang="en-US"/>
                      <a:t>ES</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C3D9-4AA9-B991-4347D7674EBF}"/>
                </c:ext>
              </c:extLst>
            </c:dLbl>
            <c:dLbl>
              <c:idx val="15"/>
              <c:layout>
                <c:manualLayout>
                  <c:x val="0"/>
                  <c:y val="1.5075116770496496E-3"/>
                </c:manualLayout>
              </c:layout>
              <c:tx>
                <c:rich>
                  <a:bodyPr/>
                  <a:lstStyle/>
                  <a:p>
                    <a:r>
                      <a:rPr lang="en-US"/>
                      <a:t>SE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C3D9-4AA9-B991-4347D7674EBF}"/>
                </c:ext>
              </c:extLst>
            </c:dLbl>
            <c:dLbl>
              <c:idx val="16"/>
              <c:tx>
                <c:rich>
                  <a:bodyPr/>
                  <a:lstStyle/>
                  <a:p>
                    <a:r>
                      <a:rPr lang="en-US"/>
                      <a:t>US</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C3D9-4AA9-B991-4347D7674EBF}"/>
                </c:ext>
              </c:extLst>
            </c:dLbl>
            <c:dLbl>
              <c:idx val="17"/>
              <c:tx>
                <c:rich>
                  <a:bodyPr/>
                  <a:lstStyle/>
                  <a:p>
                    <a:r>
                      <a:rPr lang="en-US"/>
                      <a:t>EN</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C3D9-4AA9-B991-4347D7674EBF}"/>
                </c:ext>
              </c:extLst>
            </c:dLbl>
            <c:dLbl>
              <c:idx val="18"/>
              <c:tx>
                <c:rich>
                  <a:bodyPr/>
                  <a:lstStyle/>
                  <a:p>
                    <a:r>
                      <a:rPr lang="en-US"/>
                      <a:t>NI</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2-C3D9-4AA9-B991-4347D7674EBF}"/>
                </c:ext>
              </c:extLst>
            </c:dLbl>
            <c:dLbl>
              <c:idx val="19"/>
              <c:layout>
                <c:manualLayout>
                  <c:x val="-1.6949152542372881E-2"/>
                  <c:y val="5.6328747769637845E-2"/>
                </c:manualLayout>
              </c:layout>
              <c:tx>
                <c:rich>
                  <a:bodyPr/>
                  <a:lstStyle/>
                  <a:p>
                    <a:r>
                      <a:rPr lang="en-US"/>
                      <a:t>BE</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3-C3D9-4AA9-B991-4347D7674EB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5875" cap="rnd">
                <a:solidFill>
                  <a:srgbClr val="C00000"/>
                </a:solidFill>
                <a:prstDash val="dash"/>
              </a:ln>
              <a:effectLst/>
            </c:spPr>
            <c:trendlineType val="linear"/>
            <c:dispRSqr val="0"/>
            <c:dispEq val="0"/>
          </c:trendline>
          <c:xVal>
            <c:numRef>
              <c:f>Sheet7!$B$2:$B$21</c:f>
              <c:numCache>
                <c:formatCode>General</c:formatCode>
                <c:ptCount val="20"/>
                <c:pt idx="0">
                  <c:v>2.1300810000000001</c:v>
                </c:pt>
                <c:pt idx="2">
                  <c:v>2.7507709999999999</c:v>
                </c:pt>
                <c:pt idx="3">
                  <c:v>2.2926929999999999</c:v>
                </c:pt>
                <c:pt idx="4">
                  <c:v>2.546608</c:v>
                </c:pt>
                <c:pt idx="5">
                  <c:v>5.1439450000000004</c:v>
                </c:pt>
                <c:pt idx="6">
                  <c:v>2.128984</c:v>
                </c:pt>
                <c:pt idx="7">
                  <c:v>4.3341320000000003</c:v>
                </c:pt>
                <c:pt idx="9">
                  <c:v>3.2014040000000001</c:v>
                </c:pt>
                <c:pt idx="10">
                  <c:v>3.2746279999999999</c:v>
                </c:pt>
                <c:pt idx="11">
                  <c:v>2.0123449999999998</c:v>
                </c:pt>
                <c:pt idx="12">
                  <c:v>1.995792</c:v>
                </c:pt>
                <c:pt idx="13">
                  <c:v>5.2033829999999996</c:v>
                </c:pt>
                <c:pt idx="14">
                  <c:v>5.294098</c:v>
                </c:pt>
                <c:pt idx="15">
                  <c:v>2.2925070000000001</c:v>
                </c:pt>
                <c:pt idx="16">
                  <c:v>2.7014610000000001</c:v>
                </c:pt>
                <c:pt idx="17">
                  <c:v>4.8543750000000001</c:v>
                </c:pt>
                <c:pt idx="18">
                  <c:v>8.5289929999999998</c:v>
                </c:pt>
                <c:pt idx="19">
                  <c:v>3.0642999999999998</c:v>
                </c:pt>
              </c:numCache>
            </c:numRef>
          </c:xVal>
          <c:yVal>
            <c:numRef>
              <c:f>Sheet7!$C$2:$C$21</c:f>
              <c:numCache>
                <c:formatCode>General</c:formatCode>
                <c:ptCount val="20"/>
                <c:pt idx="0">
                  <c:v>1</c:v>
                </c:pt>
                <c:pt idx="1">
                  <c:v>-1</c:v>
                </c:pt>
                <c:pt idx="2">
                  <c:v>1</c:v>
                </c:pt>
                <c:pt idx="3">
                  <c:v>1</c:v>
                </c:pt>
                <c:pt idx="4">
                  <c:v>1</c:v>
                </c:pt>
                <c:pt idx="5">
                  <c:v>-1</c:v>
                </c:pt>
                <c:pt idx="6">
                  <c:v>2</c:v>
                </c:pt>
                <c:pt idx="7">
                  <c:v>-1</c:v>
                </c:pt>
                <c:pt idx="8">
                  <c:v>1</c:v>
                </c:pt>
                <c:pt idx="9">
                  <c:v>0</c:v>
                </c:pt>
                <c:pt idx="10">
                  <c:v>-2</c:v>
                </c:pt>
                <c:pt idx="11">
                  <c:v>-1</c:v>
                </c:pt>
                <c:pt idx="12">
                  <c:v>2</c:v>
                </c:pt>
                <c:pt idx="13">
                  <c:v>1</c:v>
                </c:pt>
                <c:pt idx="14">
                  <c:v>0</c:v>
                </c:pt>
                <c:pt idx="15">
                  <c:v>2</c:v>
                </c:pt>
                <c:pt idx="16">
                  <c:v>-1</c:v>
                </c:pt>
                <c:pt idx="17">
                  <c:v>-2</c:v>
                </c:pt>
                <c:pt idx="18">
                  <c:v>-3</c:v>
                </c:pt>
                <c:pt idx="19">
                  <c:v>0</c:v>
                </c:pt>
              </c:numCache>
            </c:numRef>
          </c:yVal>
          <c:smooth val="0"/>
          <c:extLst>
            <c:ext xmlns:c16="http://schemas.microsoft.com/office/drawing/2014/chart" uri="{C3380CC4-5D6E-409C-BE32-E72D297353CC}">
              <c16:uniqueId val="{00000015-C3D9-4AA9-B991-4347D7674EBF}"/>
            </c:ext>
          </c:extLst>
        </c:ser>
        <c:dLbls>
          <c:showLegendKey val="0"/>
          <c:showVal val="0"/>
          <c:showCatName val="0"/>
          <c:showSerName val="0"/>
          <c:showPercent val="0"/>
          <c:showBubbleSize val="0"/>
        </c:dLbls>
        <c:axId val="444402960"/>
        <c:axId val="444403352"/>
      </c:scatterChart>
      <c:valAx>
        <c:axId val="444402960"/>
        <c:scaling>
          <c:orientation val="minMax"/>
          <c:min val="1"/>
        </c:scaling>
        <c:delete val="0"/>
        <c:axPos val="b"/>
        <c:majorGridlines>
          <c:spPr>
            <a:ln>
              <a:solidFill>
                <a:schemeClr val="bg1">
                  <a:lumMod val="85000"/>
                </a:schemeClr>
              </a:solidFill>
              <a:prstDash val="dash"/>
            </a:ln>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a:solidFill>
                      <a:schemeClr val="tx1"/>
                    </a:solidFill>
                  </a:rPr>
                  <a:t>ISCED 3 social gradient</a:t>
                </a:r>
              </a:p>
            </c:rich>
          </c:tx>
          <c:layout>
            <c:manualLayout>
              <c:xMode val="edge"/>
              <c:yMode val="edge"/>
              <c:x val="0.40539246153552838"/>
              <c:y val="0.89866574102831109"/>
            </c:manualLayout>
          </c:layout>
          <c:overlay val="0"/>
          <c:spPr>
            <a:noFill/>
            <a:ln>
              <a:noFill/>
            </a:ln>
            <a:effectLst/>
          </c:spPr>
        </c:title>
        <c:numFmt formatCode="General" sourceLinked="1"/>
        <c:majorTickMark val="in"/>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4403352"/>
        <c:crosses val="autoZero"/>
        <c:crossBetween val="midCat"/>
      </c:valAx>
      <c:valAx>
        <c:axId val="444403352"/>
        <c:scaling>
          <c:orientation val="minMax"/>
        </c:scaling>
        <c:delete val="0"/>
        <c:axPos val="l"/>
        <c:majorGridlines>
          <c:spPr>
            <a:ln>
              <a:solidFill>
                <a:schemeClr val="bg1">
                  <a:lumMod val="85000"/>
                </a:schemeClr>
              </a:solidFill>
              <a:prstDash val="dash"/>
            </a:ln>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a:solidFill>
                      <a:schemeClr val="tx1"/>
                    </a:solidFill>
                  </a:rPr>
                  <a:t>PISA</a:t>
                </a:r>
                <a:r>
                  <a:rPr lang="en-GB" sz="1000" baseline="0">
                    <a:solidFill>
                      <a:schemeClr val="tx1"/>
                    </a:solidFill>
                  </a:rPr>
                  <a:t> PIAAC change in rank ordering - Numeracy</a:t>
                </a:r>
                <a:endParaRPr lang="en-GB" sz="1000">
                  <a:solidFill>
                    <a:schemeClr val="tx1"/>
                  </a:solidFill>
                </a:endParaRPr>
              </a:p>
            </c:rich>
          </c:tx>
          <c:overlay val="0"/>
          <c:spPr>
            <a:noFill/>
            <a:ln>
              <a:noFill/>
            </a:ln>
            <a:effectLst/>
          </c:sp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4402960"/>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789859304758736"/>
          <c:y val="0.18177251566181965"/>
          <c:w val="0.7465225201564365"/>
          <c:h val="0.74848573672816443"/>
        </c:manualLayout>
      </c:layout>
      <c:barChart>
        <c:barDir val="bar"/>
        <c:grouping val="stacked"/>
        <c:varyColors val="0"/>
        <c:ser>
          <c:idx val="0"/>
          <c:order val="0"/>
          <c:tx>
            <c:strRef>
              <c:f>Numeracy!$K$7</c:f>
              <c:strCache>
                <c:ptCount val="1"/>
                <c:pt idx="0">
                  <c:v>5th percentile</c:v>
                </c:pt>
              </c:strCache>
            </c:strRef>
          </c:tx>
          <c:spPr>
            <a:noFill/>
            <a:ln w="25400">
              <a:noFill/>
            </a:ln>
          </c:spPr>
          <c:invertIfNegative val="0"/>
          <c:cat>
            <c:strRef>
              <c:f>Numeracy!$J$9:$J$25</c:f>
              <c:strCache>
                <c:ptCount val="17"/>
                <c:pt idx="0">
                  <c:v>Spain</c:v>
                </c:pt>
                <c:pt idx="1">
                  <c:v>Italy</c:v>
                </c:pt>
                <c:pt idx="2">
                  <c:v>Ireland</c:v>
                </c:pt>
                <c:pt idx="3">
                  <c:v>United Kingdom (EN/NI)</c:v>
                </c:pt>
                <c:pt idx="4">
                  <c:v>France</c:v>
                </c:pt>
                <c:pt idx="5">
                  <c:v>Poland</c:v>
                </c:pt>
                <c:pt idx="6">
                  <c:v>EU-16 average</c:v>
                </c:pt>
                <c:pt idx="7">
                  <c:v>Slovak Republic</c:v>
                </c:pt>
                <c:pt idx="8">
                  <c:v>Germany</c:v>
                </c:pt>
                <c:pt idx="9">
                  <c:v>Austria</c:v>
                </c:pt>
                <c:pt idx="10">
                  <c:v>Estonia</c:v>
                </c:pt>
                <c:pt idx="11">
                  <c:v>Denmark</c:v>
                </c:pt>
                <c:pt idx="12">
                  <c:v>Czech Republic</c:v>
                </c:pt>
                <c:pt idx="13">
                  <c:v>Sweden</c:v>
                </c:pt>
                <c:pt idx="14">
                  <c:v>Netherlands</c:v>
                </c:pt>
                <c:pt idx="15">
                  <c:v>Belgium (FL)</c:v>
                </c:pt>
                <c:pt idx="16">
                  <c:v>Finland</c:v>
                </c:pt>
              </c:strCache>
            </c:strRef>
          </c:cat>
          <c:val>
            <c:numRef>
              <c:f>Numeracy!$K$9:$K$25</c:f>
              <c:numCache>
                <c:formatCode>0.00</c:formatCode>
                <c:ptCount val="17"/>
                <c:pt idx="0">
                  <c:v>173.56843000000001</c:v>
                </c:pt>
                <c:pt idx="1">
                  <c:v>174.75846999999999</c:v>
                </c:pt>
                <c:pt idx="2">
                  <c:v>179.32642999999999</c:v>
                </c:pt>
                <c:pt idx="3">
                  <c:v>166.21153000000001</c:v>
                </c:pt>
                <c:pt idx="4">
                  <c:v>176.71673000000001</c:v>
                </c:pt>
                <c:pt idx="5">
                  <c:v>185.16566</c:v>
                </c:pt>
                <c:pt idx="6">
                  <c:v>190.76060000000001</c:v>
                </c:pt>
                <c:pt idx="7">
                  <c:v>187.15138999999999</c:v>
                </c:pt>
                <c:pt idx="8">
                  <c:v>193.26372000000001</c:v>
                </c:pt>
                <c:pt idx="9">
                  <c:v>195.04218</c:v>
                </c:pt>
                <c:pt idx="10">
                  <c:v>205.05610999999999</c:v>
                </c:pt>
                <c:pt idx="11">
                  <c:v>187.16007999999999</c:v>
                </c:pt>
                <c:pt idx="12">
                  <c:v>213.91917000000001</c:v>
                </c:pt>
                <c:pt idx="13">
                  <c:v>184.68526</c:v>
                </c:pt>
                <c:pt idx="14">
                  <c:v>206.34324000000001</c:v>
                </c:pt>
                <c:pt idx="15">
                  <c:v>207.83074999999999</c:v>
                </c:pt>
                <c:pt idx="16">
                  <c:v>215.97041999999999</c:v>
                </c:pt>
              </c:numCache>
            </c:numRef>
          </c:val>
          <c:extLst>
            <c:ext xmlns:c16="http://schemas.microsoft.com/office/drawing/2014/chart" uri="{C3380CC4-5D6E-409C-BE32-E72D297353CC}">
              <c16:uniqueId val="{00000000-9240-4F36-B101-113EF927A0A6}"/>
            </c:ext>
          </c:extLst>
        </c:ser>
        <c:ser>
          <c:idx val="1"/>
          <c:order val="1"/>
          <c:tx>
            <c:strRef>
              <c:f>Numeracy!$L$7</c:f>
              <c:strCache>
                <c:ptCount val="1"/>
                <c:pt idx="0">
                  <c:v>25th percentile</c:v>
                </c:pt>
              </c:strCache>
            </c:strRef>
          </c:tx>
          <c:spPr>
            <a:solidFill>
              <a:schemeClr val="accent6">
                <a:lumMod val="60000"/>
                <a:lumOff val="40000"/>
              </a:schemeClr>
            </a:solidFill>
            <a:ln w="6350">
              <a:noFill/>
            </a:ln>
          </c:spPr>
          <c:invertIfNegative val="0"/>
          <c:cat>
            <c:strRef>
              <c:f>Numeracy!$J$9:$J$25</c:f>
              <c:strCache>
                <c:ptCount val="17"/>
                <c:pt idx="0">
                  <c:v>Spain</c:v>
                </c:pt>
                <c:pt idx="1">
                  <c:v>Italy</c:v>
                </c:pt>
                <c:pt idx="2">
                  <c:v>Ireland</c:v>
                </c:pt>
                <c:pt idx="3">
                  <c:v>United Kingdom (EN/NI)</c:v>
                </c:pt>
                <c:pt idx="4">
                  <c:v>France</c:v>
                </c:pt>
                <c:pt idx="5">
                  <c:v>Poland</c:v>
                </c:pt>
                <c:pt idx="6">
                  <c:v>EU-16 average</c:v>
                </c:pt>
                <c:pt idx="7">
                  <c:v>Slovak Republic</c:v>
                </c:pt>
                <c:pt idx="8">
                  <c:v>Germany</c:v>
                </c:pt>
                <c:pt idx="9">
                  <c:v>Austria</c:v>
                </c:pt>
                <c:pt idx="10">
                  <c:v>Estonia</c:v>
                </c:pt>
                <c:pt idx="11">
                  <c:v>Denmark</c:v>
                </c:pt>
                <c:pt idx="12">
                  <c:v>Czech Republic</c:v>
                </c:pt>
                <c:pt idx="13">
                  <c:v>Sweden</c:v>
                </c:pt>
                <c:pt idx="14">
                  <c:v>Netherlands</c:v>
                </c:pt>
                <c:pt idx="15">
                  <c:v>Belgium (FL)</c:v>
                </c:pt>
                <c:pt idx="16">
                  <c:v>Finland</c:v>
                </c:pt>
              </c:strCache>
            </c:strRef>
          </c:cat>
          <c:val>
            <c:numRef>
              <c:f>Numeracy!$L$9:$L$25</c:f>
              <c:numCache>
                <c:formatCode>0.00</c:formatCode>
                <c:ptCount val="17"/>
                <c:pt idx="0">
                  <c:v>57.167079999999999</c:v>
                </c:pt>
                <c:pt idx="1">
                  <c:v>50.425520000000006</c:v>
                </c:pt>
                <c:pt idx="2">
                  <c:v>56.945240000000013</c:v>
                </c:pt>
                <c:pt idx="3">
                  <c:v>64.101669999999984</c:v>
                </c:pt>
                <c:pt idx="4">
                  <c:v>60.445819999999998</c:v>
                </c:pt>
                <c:pt idx="5">
                  <c:v>55.39088000000001</c:v>
                </c:pt>
                <c:pt idx="6">
                  <c:v>58.742379999999997</c:v>
                </c:pt>
                <c:pt idx="7">
                  <c:v>64.068110000000019</c:v>
                </c:pt>
                <c:pt idx="8">
                  <c:v>58.278570000000002</c:v>
                </c:pt>
                <c:pt idx="9">
                  <c:v>59.04722000000001</c:v>
                </c:pt>
                <c:pt idx="10">
                  <c:v>50.737680000000012</c:v>
                </c:pt>
                <c:pt idx="11">
                  <c:v>69.481940000000009</c:v>
                </c:pt>
                <c:pt idx="12">
                  <c:v>46.531639999999982</c:v>
                </c:pt>
                <c:pt idx="13">
                  <c:v>75.821099999999973</c:v>
                </c:pt>
                <c:pt idx="14">
                  <c:v>56.728679999999969</c:v>
                </c:pt>
                <c:pt idx="15">
                  <c:v>58.558430000000016</c:v>
                </c:pt>
                <c:pt idx="16">
                  <c:v>56.148529999999994</c:v>
                </c:pt>
              </c:numCache>
            </c:numRef>
          </c:val>
          <c:extLst>
            <c:ext xmlns:c16="http://schemas.microsoft.com/office/drawing/2014/chart" uri="{C3380CC4-5D6E-409C-BE32-E72D297353CC}">
              <c16:uniqueId val="{00000001-9240-4F36-B101-113EF927A0A6}"/>
            </c:ext>
          </c:extLst>
        </c:ser>
        <c:ser>
          <c:idx val="2"/>
          <c:order val="2"/>
          <c:tx>
            <c:strRef>
              <c:f>Numeracy!$M$7</c:f>
              <c:strCache>
                <c:ptCount val="1"/>
                <c:pt idx="0">
                  <c:v>Low</c:v>
                </c:pt>
              </c:strCache>
            </c:strRef>
          </c:tx>
          <c:spPr>
            <a:solidFill>
              <a:schemeClr val="accent1"/>
            </a:solidFill>
            <a:ln w="6350">
              <a:noFill/>
            </a:ln>
          </c:spPr>
          <c:invertIfNegative val="0"/>
          <c:cat>
            <c:strRef>
              <c:f>Numeracy!$J$9:$J$25</c:f>
              <c:strCache>
                <c:ptCount val="17"/>
                <c:pt idx="0">
                  <c:v>Spain</c:v>
                </c:pt>
                <c:pt idx="1">
                  <c:v>Italy</c:v>
                </c:pt>
                <c:pt idx="2">
                  <c:v>Ireland</c:v>
                </c:pt>
                <c:pt idx="3">
                  <c:v>United Kingdom (EN/NI)</c:v>
                </c:pt>
                <c:pt idx="4">
                  <c:v>France</c:v>
                </c:pt>
                <c:pt idx="5">
                  <c:v>Poland</c:v>
                </c:pt>
                <c:pt idx="6">
                  <c:v>EU-16 average</c:v>
                </c:pt>
                <c:pt idx="7">
                  <c:v>Slovak Republic</c:v>
                </c:pt>
                <c:pt idx="8">
                  <c:v>Germany</c:v>
                </c:pt>
                <c:pt idx="9">
                  <c:v>Austria</c:v>
                </c:pt>
                <c:pt idx="10">
                  <c:v>Estonia</c:v>
                </c:pt>
                <c:pt idx="11">
                  <c:v>Denmark</c:v>
                </c:pt>
                <c:pt idx="12">
                  <c:v>Czech Republic</c:v>
                </c:pt>
                <c:pt idx="13">
                  <c:v>Sweden</c:v>
                </c:pt>
                <c:pt idx="14">
                  <c:v>Netherlands</c:v>
                </c:pt>
                <c:pt idx="15">
                  <c:v>Belgium (FL)</c:v>
                </c:pt>
                <c:pt idx="16">
                  <c:v>Finland</c:v>
                </c:pt>
              </c:strCache>
            </c:strRef>
          </c:cat>
          <c:val>
            <c:numRef>
              <c:f>Numeracy!$M$9:$M$25</c:f>
              <c:numCache>
                <c:formatCode>0.00</c:formatCode>
                <c:ptCount val="17"/>
                <c:pt idx="0">
                  <c:v>24.850561599999963</c:v>
                </c:pt>
                <c:pt idx="1">
                  <c:v>28.676423200000016</c:v>
                </c:pt>
                <c:pt idx="2">
                  <c:v>25.42946120000002</c:v>
                </c:pt>
                <c:pt idx="3">
                  <c:v>30.197571600000003</c:v>
                </c:pt>
                <c:pt idx="4">
                  <c:v>29.292089199999964</c:v>
                </c:pt>
                <c:pt idx="5">
                  <c:v>27.938286000000033</c:v>
                </c:pt>
                <c:pt idx="6">
                  <c:v>28.234239599999995</c:v>
                </c:pt>
                <c:pt idx="7">
                  <c:v>25.127488399999976</c:v>
                </c:pt>
                <c:pt idx="8">
                  <c:v>26.972719599999976</c:v>
                </c:pt>
                <c:pt idx="9">
                  <c:v>25.675289999999961</c:v>
                </c:pt>
                <c:pt idx="10">
                  <c:v>25.221207599999957</c:v>
                </c:pt>
                <c:pt idx="11">
                  <c:v>25.246449999999982</c:v>
                </c:pt>
                <c:pt idx="12">
                  <c:v>24.298938400000054</c:v>
                </c:pt>
                <c:pt idx="13">
                  <c:v>24.308520800000053</c:v>
                </c:pt>
                <c:pt idx="14">
                  <c:v>25.873088800000062</c:v>
                </c:pt>
                <c:pt idx="15">
                  <c:v>24.167239600000016</c:v>
                </c:pt>
                <c:pt idx="16">
                  <c:v>23.966208400000028</c:v>
                </c:pt>
              </c:numCache>
            </c:numRef>
          </c:val>
          <c:extLst>
            <c:ext xmlns:c16="http://schemas.microsoft.com/office/drawing/2014/chart" uri="{C3380CC4-5D6E-409C-BE32-E72D297353CC}">
              <c16:uniqueId val="{00000002-9240-4F36-B101-113EF927A0A6}"/>
            </c:ext>
          </c:extLst>
        </c:ser>
        <c:ser>
          <c:idx val="3"/>
          <c:order val="3"/>
          <c:tx>
            <c:strRef>
              <c:f>Numeracy!$N$7</c:f>
              <c:strCache>
                <c:ptCount val="1"/>
                <c:pt idx="0">
                  <c:v>2*1.96*S.E.</c:v>
                </c:pt>
              </c:strCache>
            </c:strRef>
          </c:tx>
          <c:spPr>
            <a:solidFill>
              <a:schemeClr val="tx2">
                <a:lumMod val="75000"/>
              </a:schemeClr>
            </a:solidFill>
            <a:ln w="6350">
              <a:noFill/>
              <a:prstDash val="solid"/>
            </a:ln>
          </c:spPr>
          <c:invertIfNegative val="0"/>
          <c:cat>
            <c:strRef>
              <c:f>Numeracy!$J$9:$J$25</c:f>
              <c:strCache>
                <c:ptCount val="17"/>
                <c:pt idx="0">
                  <c:v>Spain</c:v>
                </c:pt>
                <c:pt idx="1">
                  <c:v>Italy</c:v>
                </c:pt>
                <c:pt idx="2">
                  <c:v>Ireland</c:v>
                </c:pt>
                <c:pt idx="3">
                  <c:v>United Kingdom (EN/NI)</c:v>
                </c:pt>
                <c:pt idx="4">
                  <c:v>France</c:v>
                </c:pt>
                <c:pt idx="5">
                  <c:v>Poland</c:v>
                </c:pt>
                <c:pt idx="6">
                  <c:v>EU-16 average</c:v>
                </c:pt>
                <c:pt idx="7">
                  <c:v>Slovak Republic</c:v>
                </c:pt>
                <c:pt idx="8">
                  <c:v>Germany</c:v>
                </c:pt>
                <c:pt idx="9">
                  <c:v>Austria</c:v>
                </c:pt>
                <c:pt idx="10">
                  <c:v>Estonia</c:v>
                </c:pt>
                <c:pt idx="11">
                  <c:v>Denmark</c:v>
                </c:pt>
                <c:pt idx="12">
                  <c:v>Czech Republic</c:v>
                </c:pt>
                <c:pt idx="13">
                  <c:v>Sweden</c:v>
                </c:pt>
                <c:pt idx="14">
                  <c:v>Netherlands</c:v>
                </c:pt>
                <c:pt idx="15">
                  <c:v>Belgium (FL)</c:v>
                </c:pt>
                <c:pt idx="16">
                  <c:v>Finland</c:v>
                </c:pt>
              </c:strCache>
            </c:strRef>
          </c:cat>
          <c:val>
            <c:numRef>
              <c:f>Numeracy!$N$9:$N$25</c:f>
              <c:numCache>
                <c:formatCode>0.00</c:formatCode>
                <c:ptCount val="17"/>
                <c:pt idx="0">
                  <c:v>4.2788367999999997</c:v>
                </c:pt>
                <c:pt idx="1">
                  <c:v>8.0314136000000005</c:v>
                </c:pt>
                <c:pt idx="2">
                  <c:v>6.1623576</c:v>
                </c:pt>
                <c:pt idx="3">
                  <c:v>8.5741768</c:v>
                </c:pt>
                <c:pt idx="4">
                  <c:v>4.9028615999999996</c:v>
                </c:pt>
                <c:pt idx="5">
                  <c:v>4.3978479999999998</c:v>
                </c:pt>
                <c:pt idx="6">
                  <c:v>1.4729008000000001</c:v>
                </c:pt>
                <c:pt idx="7">
                  <c:v>5.4241431999999996</c:v>
                </c:pt>
                <c:pt idx="8">
                  <c:v>5.6633807999999997</c:v>
                </c:pt>
                <c:pt idx="9">
                  <c:v>5.5419</c:v>
                </c:pt>
                <c:pt idx="10">
                  <c:v>4.8654647999999998</c:v>
                </c:pt>
                <c:pt idx="11">
                  <c:v>6.1220599999999994</c:v>
                </c:pt>
                <c:pt idx="12">
                  <c:v>5.5554632000000002</c:v>
                </c:pt>
                <c:pt idx="13">
                  <c:v>5.9447584000000004</c:v>
                </c:pt>
                <c:pt idx="14">
                  <c:v>5.1546823999999996</c:v>
                </c:pt>
                <c:pt idx="15">
                  <c:v>5.8280208</c:v>
                </c:pt>
                <c:pt idx="16">
                  <c:v>6.1317032000000005</c:v>
                </c:pt>
              </c:numCache>
            </c:numRef>
          </c:val>
          <c:extLst>
            <c:ext xmlns:c16="http://schemas.microsoft.com/office/drawing/2014/chart" uri="{C3380CC4-5D6E-409C-BE32-E72D297353CC}">
              <c16:uniqueId val="{00000003-9240-4F36-B101-113EF927A0A6}"/>
            </c:ext>
          </c:extLst>
        </c:ser>
        <c:ser>
          <c:idx val="4"/>
          <c:order val="4"/>
          <c:tx>
            <c:strRef>
              <c:f>Numeracy!$O$7</c:f>
              <c:strCache>
                <c:ptCount val="1"/>
                <c:pt idx="0">
                  <c:v>Mean</c:v>
                </c:pt>
              </c:strCache>
            </c:strRef>
          </c:tx>
          <c:spPr>
            <a:solidFill>
              <a:schemeClr val="accent1"/>
            </a:solidFill>
            <a:ln w="6350">
              <a:noFill/>
              <a:prstDash val="solid"/>
            </a:ln>
          </c:spPr>
          <c:invertIfNegative val="0"/>
          <c:cat>
            <c:strRef>
              <c:f>Numeracy!$J$9:$J$25</c:f>
              <c:strCache>
                <c:ptCount val="17"/>
                <c:pt idx="0">
                  <c:v>Spain</c:v>
                </c:pt>
                <c:pt idx="1">
                  <c:v>Italy</c:v>
                </c:pt>
                <c:pt idx="2">
                  <c:v>Ireland</c:v>
                </c:pt>
                <c:pt idx="3">
                  <c:v>United Kingdom (EN/NI)</c:v>
                </c:pt>
                <c:pt idx="4">
                  <c:v>France</c:v>
                </c:pt>
                <c:pt idx="5">
                  <c:v>Poland</c:v>
                </c:pt>
                <c:pt idx="6">
                  <c:v>EU-16 average</c:v>
                </c:pt>
                <c:pt idx="7">
                  <c:v>Slovak Republic</c:v>
                </c:pt>
                <c:pt idx="8">
                  <c:v>Germany</c:v>
                </c:pt>
                <c:pt idx="9">
                  <c:v>Austria</c:v>
                </c:pt>
                <c:pt idx="10">
                  <c:v>Estonia</c:v>
                </c:pt>
                <c:pt idx="11">
                  <c:v>Denmark</c:v>
                </c:pt>
                <c:pt idx="12">
                  <c:v>Czech Republic</c:v>
                </c:pt>
                <c:pt idx="13">
                  <c:v>Sweden</c:v>
                </c:pt>
                <c:pt idx="14">
                  <c:v>Netherlands</c:v>
                </c:pt>
                <c:pt idx="15">
                  <c:v>Belgium (FL)</c:v>
                </c:pt>
                <c:pt idx="16">
                  <c:v>Finland</c:v>
                </c:pt>
              </c:strCache>
            </c:strRef>
          </c:cat>
          <c:val>
            <c:numRef>
              <c:f>Numeracy!$O$9:$O$25</c:f>
              <c:numCache>
                <c:formatCode>0.00</c:formatCode>
                <c:ptCount val="17"/>
                <c:pt idx="0">
                  <c:v>29.592811599999997</c:v>
                </c:pt>
                <c:pt idx="1">
                  <c:v>32.032243199999925</c:v>
                </c:pt>
                <c:pt idx="2">
                  <c:v>30.648731199999965</c:v>
                </c:pt>
                <c:pt idx="3">
                  <c:v>34.546411599999999</c:v>
                </c:pt>
                <c:pt idx="4">
                  <c:v>34.842389200000007</c:v>
                </c:pt>
                <c:pt idx="5">
                  <c:v>30.773235999999912</c:v>
                </c:pt>
                <c:pt idx="6">
                  <c:v>32.905159599999955</c:v>
                </c:pt>
                <c:pt idx="7">
                  <c:v>30.410618400000004</c:v>
                </c:pt>
                <c:pt idx="8">
                  <c:v>31.999389599999972</c:v>
                </c:pt>
                <c:pt idx="9">
                  <c:v>30.252060000000029</c:v>
                </c:pt>
                <c:pt idx="10">
                  <c:v>27.943067600000049</c:v>
                </c:pt>
                <c:pt idx="11">
                  <c:v>32.084310000000016</c:v>
                </c:pt>
                <c:pt idx="12">
                  <c:v>25.895838399999967</c:v>
                </c:pt>
                <c:pt idx="13">
                  <c:v>33.518490799999938</c:v>
                </c:pt>
                <c:pt idx="14">
                  <c:v>29.413988799999984</c:v>
                </c:pt>
                <c:pt idx="15">
                  <c:v>28.370559599999979</c:v>
                </c:pt>
                <c:pt idx="16">
                  <c:v>29.652008400000003</c:v>
                </c:pt>
              </c:numCache>
            </c:numRef>
          </c:val>
          <c:extLst>
            <c:ext xmlns:c16="http://schemas.microsoft.com/office/drawing/2014/chart" uri="{C3380CC4-5D6E-409C-BE32-E72D297353CC}">
              <c16:uniqueId val="{00000004-9240-4F36-B101-113EF927A0A6}"/>
            </c:ext>
          </c:extLst>
        </c:ser>
        <c:ser>
          <c:idx val="5"/>
          <c:order val="5"/>
          <c:tx>
            <c:strRef>
              <c:f>Numeracy!$P$7</c:f>
              <c:strCache>
                <c:ptCount val="1"/>
                <c:pt idx="0">
                  <c:v>75th percentile</c:v>
                </c:pt>
              </c:strCache>
            </c:strRef>
          </c:tx>
          <c:spPr>
            <a:solidFill>
              <a:schemeClr val="accent3">
                <a:lumMod val="40000"/>
                <a:lumOff val="60000"/>
              </a:schemeClr>
            </a:solidFill>
            <a:ln w="6350">
              <a:noFill/>
              <a:prstDash val="solid"/>
            </a:ln>
          </c:spPr>
          <c:invertIfNegative val="0"/>
          <c:cat>
            <c:strRef>
              <c:f>Numeracy!$J$9:$J$25</c:f>
              <c:strCache>
                <c:ptCount val="17"/>
                <c:pt idx="0">
                  <c:v>Spain</c:v>
                </c:pt>
                <c:pt idx="1">
                  <c:v>Italy</c:v>
                </c:pt>
                <c:pt idx="2">
                  <c:v>Ireland</c:v>
                </c:pt>
                <c:pt idx="3">
                  <c:v>United Kingdom (EN/NI)</c:v>
                </c:pt>
                <c:pt idx="4">
                  <c:v>France</c:v>
                </c:pt>
                <c:pt idx="5">
                  <c:v>Poland</c:v>
                </c:pt>
                <c:pt idx="6">
                  <c:v>EU-16 average</c:v>
                </c:pt>
                <c:pt idx="7">
                  <c:v>Slovak Republic</c:v>
                </c:pt>
                <c:pt idx="8">
                  <c:v>Germany</c:v>
                </c:pt>
                <c:pt idx="9">
                  <c:v>Austria</c:v>
                </c:pt>
                <c:pt idx="10">
                  <c:v>Estonia</c:v>
                </c:pt>
                <c:pt idx="11">
                  <c:v>Denmark</c:v>
                </c:pt>
                <c:pt idx="12">
                  <c:v>Czech Republic</c:v>
                </c:pt>
                <c:pt idx="13">
                  <c:v>Sweden</c:v>
                </c:pt>
                <c:pt idx="14">
                  <c:v>Netherlands</c:v>
                </c:pt>
                <c:pt idx="15">
                  <c:v>Belgium (FL)</c:v>
                </c:pt>
                <c:pt idx="16">
                  <c:v>Finland</c:v>
                </c:pt>
              </c:strCache>
            </c:strRef>
          </c:cat>
          <c:val>
            <c:numRef>
              <c:f>Numeracy!$P$9:$P$25</c:f>
              <c:numCache>
                <c:formatCode>0.00</c:formatCode>
                <c:ptCount val="17"/>
                <c:pt idx="0">
                  <c:v>38.986889999999988</c:v>
                </c:pt>
                <c:pt idx="1">
                  <c:v>38.365350000000035</c:v>
                </c:pt>
                <c:pt idx="2">
                  <c:v>41.312499999999972</c:v>
                </c:pt>
                <c:pt idx="3">
                  <c:v>44.055690000000027</c:v>
                </c:pt>
                <c:pt idx="4">
                  <c:v>38.220230000000015</c:v>
                </c:pt>
                <c:pt idx="5">
                  <c:v>42.652890000000099</c:v>
                </c:pt>
                <c:pt idx="6">
                  <c:v>39.619960000000077</c:v>
                </c:pt>
                <c:pt idx="7">
                  <c:v>37.742100000000079</c:v>
                </c:pt>
                <c:pt idx="8">
                  <c:v>37.874890000000022</c:v>
                </c:pt>
                <c:pt idx="9">
                  <c:v>40.053189999999972</c:v>
                </c:pt>
                <c:pt idx="10">
                  <c:v>38.801949999999977</c:v>
                </c:pt>
                <c:pt idx="11">
                  <c:v>40.938330000000008</c:v>
                </c:pt>
                <c:pt idx="12">
                  <c:v>38.509479999999996</c:v>
                </c:pt>
                <c:pt idx="13">
                  <c:v>40.46123</c:v>
                </c:pt>
                <c:pt idx="14">
                  <c:v>38.657369999999958</c:v>
                </c:pt>
                <c:pt idx="15">
                  <c:v>38.267650000000003</c:v>
                </c:pt>
                <c:pt idx="16">
                  <c:v>39.019619999999975</c:v>
                </c:pt>
              </c:numCache>
            </c:numRef>
          </c:val>
          <c:extLst>
            <c:ext xmlns:c16="http://schemas.microsoft.com/office/drawing/2014/chart" uri="{C3380CC4-5D6E-409C-BE32-E72D297353CC}">
              <c16:uniqueId val="{00000005-9240-4F36-B101-113EF927A0A6}"/>
            </c:ext>
          </c:extLst>
        </c:ser>
        <c:dLbls>
          <c:showLegendKey val="0"/>
          <c:showVal val="0"/>
          <c:showCatName val="0"/>
          <c:showSerName val="0"/>
          <c:showPercent val="0"/>
          <c:showBubbleSize val="0"/>
        </c:dLbls>
        <c:gapWidth val="150"/>
        <c:overlap val="100"/>
        <c:axId val="355909192"/>
        <c:axId val="355909584"/>
      </c:barChart>
      <c:catAx>
        <c:axId val="355909192"/>
        <c:scaling>
          <c:orientation val="minMax"/>
        </c:scaling>
        <c:delete val="0"/>
        <c:axPos val="l"/>
        <c:majorGridlines>
          <c:spPr>
            <a:ln>
              <a:prstDash val="dash"/>
            </a:ln>
          </c:spPr>
        </c:majorGridlines>
        <c:numFmt formatCode="General" sourceLinked="1"/>
        <c:majorTickMark val="none"/>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355909584"/>
        <c:crosses val="autoZero"/>
        <c:auto val="1"/>
        <c:lblAlgn val="ctr"/>
        <c:lblOffset val="100"/>
        <c:tickLblSkip val="1"/>
        <c:tickMarkSkip val="1"/>
        <c:noMultiLvlLbl val="0"/>
      </c:catAx>
      <c:valAx>
        <c:axId val="355909584"/>
        <c:scaling>
          <c:orientation val="minMax"/>
          <c:max val="400"/>
          <c:min val="150"/>
        </c:scaling>
        <c:delete val="0"/>
        <c:axPos val="b"/>
        <c:majorGridlines>
          <c:spPr>
            <a:ln w="3175">
              <a:solidFill>
                <a:srgbClr val="C0C0C0"/>
              </a:solidFill>
              <a:prstDash val="dash"/>
            </a:ln>
          </c:spPr>
        </c:majorGridlines>
        <c:numFmt formatCode="0" sourceLinked="0"/>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355909192"/>
        <c:crosses val="autoZero"/>
        <c:crossBetween val="between"/>
        <c:majorUnit val="25"/>
      </c:valAx>
      <c:spPr>
        <a:noFill/>
        <a:ln w="3175">
          <a:solidFill>
            <a:srgbClr val="000000"/>
          </a:solidFill>
          <a:prstDash val="solid"/>
        </a:ln>
      </c:spPr>
    </c:plotArea>
    <c:plotVisOnly val="1"/>
    <c:dispBlanksAs val="gap"/>
    <c:showDLblsOverMax val="0"/>
  </c:chart>
  <c:spPr>
    <a:solidFill>
      <a:srgbClr val="FFFFFF"/>
    </a:solidFill>
    <a:ln w="9525">
      <a:noFill/>
    </a:ln>
  </c:spPr>
  <c:txPr>
    <a:bodyPr/>
    <a:lstStyle/>
    <a:p>
      <a:pPr>
        <a:defRPr sz="850" b="0" i="0" u="none" strike="noStrike" baseline="0">
          <a:solidFill>
            <a:srgbClr val="000000"/>
          </a:solidFill>
          <a:latin typeface="Arial"/>
          <a:ea typeface="Arial"/>
          <a:cs typeface="Arial"/>
        </a:defRPr>
      </a:pPr>
      <a:endParaRPr lang="en-US"/>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789859304758736"/>
          <c:y val="0.16076919586509997"/>
          <c:w val="0.7583193875186317"/>
          <c:h val="0.78882765786230147"/>
        </c:manualLayout>
      </c:layout>
      <c:barChart>
        <c:barDir val="bar"/>
        <c:grouping val="stacked"/>
        <c:varyColors val="0"/>
        <c:ser>
          <c:idx val="0"/>
          <c:order val="0"/>
          <c:tx>
            <c:strRef>
              <c:f>Literacy!$K$7</c:f>
              <c:strCache>
                <c:ptCount val="1"/>
                <c:pt idx="0">
                  <c:v>5th percentile</c:v>
                </c:pt>
              </c:strCache>
            </c:strRef>
          </c:tx>
          <c:spPr>
            <a:noFill/>
            <a:ln w="25400">
              <a:noFill/>
            </a:ln>
          </c:spPr>
          <c:invertIfNegative val="0"/>
          <c:cat>
            <c:strRef>
              <c:f>Literacy!$J$9:$J$25</c:f>
              <c:strCache>
                <c:ptCount val="17"/>
                <c:pt idx="0">
                  <c:v>Italy</c:v>
                </c:pt>
                <c:pt idx="1">
                  <c:v>Spain</c:v>
                </c:pt>
                <c:pt idx="2">
                  <c:v>Ireland</c:v>
                </c:pt>
                <c:pt idx="3">
                  <c:v>United Kingdom (EN/NI)</c:v>
                </c:pt>
                <c:pt idx="4">
                  <c:v>Slovak Republic</c:v>
                </c:pt>
                <c:pt idx="5">
                  <c:v>France</c:v>
                </c:pt>
                <c:pt idx="6">
                  <c:v>Poland</c:v>
                </c:pt>
                <c:pt idx="7">
                  <c:v>Austria</c:v>
                </c:pt>
                <c:pt idx="8">
                  <c:v>Denmark</c:v>
                </c:pt>
                <c:pt idx="9">
                  <c:v>Germany</c:v>
                </c:pt>
                <c:pt idx="10">
                  <c:v>EU-16 average</c:v>
                </c:pt>
                <c:pt idx="11">
                  <c:v>Czech Republic</c:v>
                </c:pt>
                <c:pt idx="12">
                  <c:v>Estonia</c:v>
                </c:pt>
                <c:pt idx="13">
                  <c:v>Sweden</c:v>
                </c:pt>
                <c:pt idx="14">
                  <c:v>Belgium (FL)</c:v>
                </c:pt>
                <c:pt idx="15">
                  <c:v>Netherlands</c:v>
                </c:pt>
                <c:pt idx="16">
                  <c:v>Finland</c:v>
                </c:pt>
              </c:strCache>
            </c:strRef>
          </c:cat>
          <c:val>
            <c:numRef>
              <c:f>Literacy!$K$9:$K$25</c:f>
              <c:numCache>
                <c:formatCode>0.00</c:formatCode>
                <c:ptCount val="17"/>
                <c:pt idx="0">
                  <c:v>181.01419999999999</c:v>
                </c:pt>
                <c:pt idx="1">
                  <c:v>184.81147000000001</c:v>
                </c:pt>
                <c:pt idx="2">
                  <c:v>197.46639999999999</c:v>
                </c:pt>
                <c:pt idx="3">
                  <c:v>187.86365000000001</c:v>
                </c:pt>
                <c:pt idx="4">
                  <c:v>201.65288000000001</c:v>
                </c:pt>
                <c:pt idx="5">
                  <c:v>196.24136999999999</c:v>
                </c:pt>
                <c:pt idx="6">
                  <c:v>198.26946000000001</c:v>
                </c:pt>
                <c:pt idx="7">
                  <c:v>202.48330000000001</c:v>
                </c:pt>
                <c:pt idx="8">
                  <c:v>189.97205</c:v>
                </c:pt>
                <c:pt idx="9">
                  <c:v>196.63417999999999</c:v>
                </c:pt>
                <c:pt idx="10">
                  <c:v>200.90527</c:v>
                </c:pt>
                <c:pt idx="11">
                  <c:v>216.95697000000001</c:v>
                </c:pt>
                <c:pt idx="12">
                  <c:v>211.32238000000001</c:v>
                </c:pt>
                <c:pt idx="13">
                  <c:v>196.96634</c:v>
                </c:pt>
                <c:pt idx="14">
                  <c:v>208.75206</c:v>
                </c:pt>
                <c:pt idx="15">
                  <c:v>214.49942999999999</c:v>
                </c:pt>
                <c:pt idx="16">
                  <c:v>229.57812000000001</c:v>
                </c:pt>
              </c:numCache>
            </c:numRef>
          </c:val>
          <c:extLst>
            <c:ext xmlns:c16="http://schemas.microsoft.com/office/drawing/2014/chart" uri="{C3380CC4-5D6E-409C-BE32-E72D297353CC}">
              <c16:uniqueId val="{00000000-2CA2-426C-A15A-1776C6E4F2C9}"/>
            </c:ext>
          </c:extLst>
        </c:ser>
        <c:ser>
          <c:idx val="1"/>
          <c:order val="1"/>
          <c:tx>
            <c:strRef>
              <c:f>Literacy!$L$7</c:f>
              <c:strCache>
                <c:ptCount val="1"/>
                <c:pt idx="0">
                  <c:v>25th percentile</c:v>
                </c:pt>
              </c:strCache>
            </c:strRef>
          </c:tx>
          <c:spPr>
            <a:solidFill>
              <a:schemeClr val="accent6">
                <a:lumMod val="60000"/>
                <a:lumOff val="40000"/>
              </a:schemeClr>
            </a:solidFill>
            <a:ln w="6350">
              <a:noFill/>
            </a:ln>
          </c:spPr>
          <c:invertIfNegative val="0"/>
          <c:cat>
            <c:strRef>
              <c:f>Literacy!$J$9:$J$25</c:f>
              <c:strCache>
                <c:ptCount val="17"/>
                <c:pt idx="0">
                  <c:v>Italy</c:v>
                </c:pt>
                <c:pt idx="1">
                  <c:v>Spain</c:v>
                </c:pt>
                <c:pt idx="2">
                  <c:v>Ireland</c:v>
                </c:pt>
                <c:pt idx="3">
                  <c:v>United Kingdom (EN/NI)</c:v>
                </c:pt>
                <c:pt idx="4">
                  <c:v>Slovak Republic</c:v>
                </c:pt>
                <c:pt idx="5">
                  <c:v>France</c:v>
                </c:pt>
                <c:pt idx="6">
                  <c:v>Poland</c:v>
                </c:pt>
                <c:pt idx="7">
                  <c:v>Austria</c:v>
                </c:pt>
                <c:pt idx="8">
                  <c:v>Denmark</c:v>
                </c:pt>
                <c:pt idx="9">
                  <c:v>Germany</c:v>
                </c:pt>
                <c:pt idx="10">
                  <c:v>EU-16 average</c:v>
                </c:pt>
                <c:pt idx="11">
                  <c:v>Czech Republic</c:v>
                </c:pt>
                <c:pt idx="12">
                  <c:v>Estonia</c:v>
                </c:pt>
                <c:pt idx="13">
                  <c:v>Sweden</c:v>
                </c:pt>
                <c:pt idx="14">
                  <c:v>Belgium (FL)</c:v>
                </c:pt>
                <c:pt idx="15">
                  <c:v>Netherlands</c:v>
                </c:pt>
                <c:pt idx="16">
                  <c:v>Finland</c:v>
                </c:pt>
              </c:strCache>
            </c:strRef>
          </c:cat>
          <c:val>
            <c:numRef>
              <c:f>Literacy!$L$9:$L$25</c:f>
              <c:numCache>
                <c:formatCode>0.00</c:formatCode>
                <c:ptCount val="17"/>
                <c:pt idx="0">
                  <c:v>48.192460000000011</c:v>
                </c:pt>
                <c:pt idx="1">
                  <c:v>51.871969999999976</c:v>
                </c:pt>
                <c:pt idx="2">
                  <c:v>51.69932</c:v>
                </c:pt>
                <c:pt idx="3">
                  <c:v>57.931849999999997</c:v>
                </c:pt>
                <c:pt idx="4">
                  <c:v>52.85096999999999</c:v>
                </c:pt>
                <c:pt idx="5">
                  <c:v>55.315870000000018</c:v>
                </c:pt>
                <c:pt idx="6">
                  <c:v>52.072289999999981</c:v>
                </c:pt>
                <c:pt idx="7">
                  <c:v>53.646809999999988</c:v>
                </c:pt>
                <c:pt idx="8">
                  <c:v>66.39991999999998</c:v>
                </c:pt>
                <c:pt idx="9">
                  <c:v>55.315280000000001</c:v>
                </c:pt>
                <c:pt idx="10">
                  <c:v>55.046590000000009</c:v>
                </c:pt>
                <c:pt idx="11">
                  <c:v>44.118310000000008</c:v>
                </c:pt>
                <c:pt idx="12">
                  <c:v>49.119079999999997</c:v>
                </c:pt>
                <c:pt idx="13">
                  <c:v>70.545579999999973</c:v>
                </c:pt>
                <c:pt idx="14">
                  <c:v>58.891659999999973</c:v>
                </c:pt>
                <c:pt idx="15">
                  <c:v>58.899320000000017</c:v>
                </c:pt>
                <c:pt idx="16">
                  <c:v>53.874849999999981</c:v>
                </c:pt>
              </c:numCache>
            </c:numRef>
          </c:val>
          <c:extLst>
            <c:ext xmlns:c16="http://schemas.microsoft.com/office/drawing/2014/chart" uri="{C3380CC4-5D6E-409C-BE32-E72D297353CC}">
              <c16:uniqueId val="{00000001-2CA2-426C-A15A-1776C6E4F2C9}"/>
            </c:ext>
          </c:extLst>
        </c:ser>
        <c:ser>
          <c:idx val="2"/>
          <c:order val="2"/>
          <c:tx>
            <c:strRef>
              <c:f>Literacy!$M$7</c:f>
              <c:strCache>
                <c:ptCount val="1"/>
                <c:pt idx="0">
                  <c:v>Low</c:v>
                </c:pt>
              </c:strCache>
            </c:strRef>
          </c:tx>
          <c:spPr>
            <a:solidFill>
              <a:schemeClr val="accent1"/>
            </a:solidFill>
            <a:ln w="6350">
              <a:noFill/>
            </a:ln>
          </c:spPr>
          <c:invertIfNegative val="0"/>
          <c:cat>
            <c:strRef>
              <c:f>Literacy!$J$9:$J$25</c:f>
              <c:strCache>
                <c:ptCount val="17"/>
                <c:pt idx="0">
                  <c:v>Italy</c:v>
                </c:pt>
                <c:pt idx="1">
                  <c:v>Spain</c:v>
                </c:pt>
                <c:pt idx="2">
                  <c:v>Ireland</c:v>
                </c:pt>
                <c:pt idx="3">
                  <c:v>United Kingdom (EN/NI)</c:v>
                </c:pt>
                <c:pt idx="4">
                  <c:v>Slovak Republic</c:v>
                </c:pt>
                <c:pt idx="5">
                  <c:v>France</c:v>
                </c:pt>
                <c:pt idx="6">
                  <c:v>Poland</c:v>
                </c:pt>
                <c:pt idx="7">
                  <c:v>Austria</c:v>
                </c:pt>
                <c:pt idx="8">
                  <c:v>Denmark</c:v>
                </c:pt>
                <c:pt idx="9">
                  <c:v>Germany</c:v>
                </c:pt>
                <c:pt idx="10">
                  <c:v>EU-16 average</c:v>
                </c:pt>
                <c:pt idx="11">
                  <c:v>Czech Republic</c:v>
                </c:pt>
                <c:pt idx="12">
                  <c:v>Estonia</c:v>
                </c:pt>
                <c:pt idx="13">
                  <c:v>Sweden</c:v>
                </c:pt>
                <c:pt idx="14">
                  <c:v>Belgium (FL)</c:v>
                </c:pt>
                <c:pt idx="15">
                  <c:v>Netherlands</c:v>
                </c:pt>
                <c:pt idx="16">
                  <c:v>Finland</c:v>
                </c:pt>
              </c:strCache>
            </c:strRef>
          </c:cat>
          <c:val>
            <c:numRef>
              <c:f>Literacy!$M$9:$M$25</c:f>
              <c:numCache>
                <c:formatCode>0.00</c:formatCode>
                <c:ptCount val="17"/>
                <c:pt idx="0">
                  <c:v>25.893926000000022</c:v>
                </c:pt>
                <c:pt idx="1">
                  <c:v>24.657476000000003</c:v>
                </c:pt>
                <c:pt idx="2">
                  <c:v>23.285729199999963</c:v>
                </c:pt>
                <c:pt idx="3">
                  <c:v>26.776379599999984</c:v>
                </c:pt>
                <c:pt idx="4">
                  <c:v>21.479082399999982</c:v>
                </c:pt>
                <c:pt idx="5">
                  <c:v>24.414819199999982</c:v>
                </c:pt>
                <c:pt idx="6">
                  <c:v>26.038827599999991</c:v>
                </c:pt>
                <c:pt idx="7">
                  <c:v>22.729668000000004</c:v>
                </c:pt>
                <c:pt idx="8">
                  <c:v>22.46568400000001</c:v>
                </c:pt>
                <c:pt idx="9">
                  <c:v>26.874667200000033</c:v>
                </c:pt>
                <c:pt idx="10">
                  <c:v>25.542016799999999</c:v>
                </c:pt>
                <c:pt idx="11">
                  <c:v>21.707049600000005</c:v>
                </c:pt>
                <c:pt idx="12">
                  <c:v>24.566936399999975</c:v>
                </c:pt>
                <c:pt idx="13">
                  <c:v>20.094811200000038</c:v>
                </c:pt>
                <c:pt idx="14">
                  <c:v>20.686858000000029</c:v>
                </c:pt>
                <c:pt idx="15">
                  <c:v>22.565459599999997</c:v>
                </c:pt>
                <c:pt idx="16">
                  <c:v>20.882536000000016</c:v>
                </c:pt>
              </c:numCache>
            </c:numRef>
          </c:val>
          <c:extLst>
            <c:ext xmlns:c16="http://schemas.microsoft.com/office/drawing/2014/chart" uri="{C3380CC4-5D6E-409C-BE32-E72D297353CC}">
              <c16:uniqueId val="{00000002-2CA2-426C-A15A-1776C6E4F2C9}"/>
            </c:ext>
          </c:extLst>
        </c:ser>
        <c:ser>
          <c:idx val="3"/>
          <c:order val="3"/>
          <c:tx>
            <c:strRef>
              <c:f>Literacy!$N$7</c:f>
              <c:strCache>
                <c:ptCount val="1"/>
                <c:pt idx="0">
                  <c:v>1.96*2*S.E.</c:v>
                </c:pt>
              </c:strCache>
            </c:strRef>
          </c:tx>
          <c:spPr>
            <a:solidFill>
              <a:schemeClr val="tx2">
                <a:lumMod val="75000"/>
              </a:schemeClr>
            </a:solidFill>
            <a:ln w="6350">
              <a:noFill/>
              <a:prstDash val="solid"/>
            </a:ln>
          </c:spPr>
          <c:invertIfNegative val="0"/>
          <c:cat>
            <c:strRef>
              <c:f>Literacy!$J$9:$J$25</c:f>
              <c:strCache>
                <c:ptCount val="17"/>
                <c:pt idx="0">
                  <c:v>Italy</c:v>
                </c:pt>
                <c:pt idx="1">
                  <c:v>Spain</c:v>
                </c:pt>
                <c:pt idx="2">
                  <c:v>Ireland</c:v>
                </c:pt>
                <c:pt idx="3">
                  <c:v>United Kingdom (EN/NI)</c:v>
                </c:pt>
                <c:pt idx="4">
                  <c:v>Slovak Republic</c:v>
                </c:pt>
                <c:pt idx="5">
                  <c:v>France</c:v>
                </c:pt>
                <c:pt idx="6">
                  <c:v>Poland</c:v>
                </c:pt>
                <c:pt idx="7">
                  <c:v>Austria</c:v>
                </c:pt>
                <c:pt idx="8">
                  <c:v>Denmark</c:v>
                </c:pt>
                <c:pt idx="9">
                  <c:v>Germany</c:v>
                </c:pt>
                <c:pt idx="10">
                  <c:v>EU-16 average</c:v>
                </c:pt>
                <c:pt idx="11">
                  <c:v>Czech Republic</c:v>
                </c:pt>
                <c:pt idx="12">
                  <c:v>Estonia</c:v>
                </c:pt>
                <c:pt idx="13">
                  <c:v>Sweden</c:v>
                </c:pt>
                <c:pt idx="14">
                  <c:v>Belgium (FL)</c:v>
                </c:pt>
                <c:pt idx="15">
                  <c:v>Netherlands</c:v>
                </c:pt>
                <c:pt idx="16">
                  <c:v>Finland</c:v>
                </c:pt>
              </c:strCache>
            </c:strRef>
          </c:cat>
          <c:val>
            <c:numRef>
              <c:f>Literacy!$N$9:$N$25</c:f>
              <c:numCache>
                <c:formatCode>0.00</c:formatCode>
                <c:ptCount val="17"/>
                <c:pt idx="0">
                  <c:v>7.8023679999999995</c:v>
                </c:pt>
                <c:pt idx="1">
                  <c:v>4.8888280000000002</c:v>
                </c:pt>
                <c:pt idx="2">
                  <c:v>5.4418616000000002</c:v>
                </c:pt>
                <c:pt idx="3">
                  <c:v>7.7596007999999994</c:v>
                </c:pt>
                <c:pt idx="4">
                  <c:v>4.6924751999999996</c:v>
                </c:pt>
                <c:pt idx="5">
                  <c:v>4.9440216000000001</c:v>
                </c:pt>
                <c:pt idx="6">
                  <c:v>4.2745248</c:v>
                </c:pt>
                <c:pt idx="7">
                  <c:v>4.3745240000000001</c:v>
                </c:pt>
                <c:pt idx="8">
                  <c:v>5.530532</c:v>
                </c:pt>
                <c:pt idx="9">
                  <c:v>5.6954856000000005</c:v>
                </c:pt>
                <c:pt idx="10">
                  <c:v>1.4275464</c:v>
                </c:pt>
                <c:pt idx="11">
                  <c:v>6.4709007999999999</c:v>
                </c:pt>
                <c:pt idx="12">
                  <c:v>4.8947472000000003</c:v>
                </c:pt>
                <c:pt idx="13">
                  <c:v>5.8389575999999996</c:v>
                </c:pt>
                <c:pt idx="14">
                  <c:v>5.6965440000000003</c:v>
                </c:pt>
                <c:pt idx="15">
                  <c:v>5.6075207999999996</c:v>
                </c:pt>
                <c:pt idx="16">
                  <c:v>6.0324879999999999</c:v>
                </c:pt>
              </c:numCache>
            </c:numRef>
          </c:val>
          <c:extLst>
            <c:ext xmlns:c16="http://schemas.microsoft.com/office/drawing/2014/chart" uri="{C3380CC4-5D6E-409C-BE32-E72D297353CC}">
              <c16:uniqueId val="{00000003-2CA2-426C-A15A-1776C6E4F2C9}"/>
            </c:ext>
          </c:extLst>
        </c:ser>
        <c:ser>
          <c:idx val="4"/>
          <c:order val="4"/>
          <c:tx>
            <c:strRef>
              <c:f>Literacy!$O$7</c:f>
              <c:strCache>
                <c:ptCount val="1"/>
                <c:pt idx="0">
                  <c:v>Mean</c:v>
                </c:pt>
              </c:strCache>
            </c:strRef>
          </c:tx>
          <c:spPr>
            <a:solidFill>
              <a:schemeClr val="accent1"/>
            </a:solidFill>
            <a:ln w="6350">
              <a:noFill/>
              <a:prstDash val="solid"/>
            </a:ln>
          </c:spPr>
          <c:invertIfNegative val="0"/>
          <c:cat>
            <c:strRef>
              <c:f>Literacy!$J$9:$J$25</c:f>
              <c:strCache>
                <c:ptCount val="17"/>
                <c:pt idx="0">
                  <c:v>Italy</c:v>
                </c:pt>
                <c:pt idx="1">
                  <c:v>Spain</c:v>
                </c:pt>
                <c:pt idx="2">
                  <c:v>Ireland</c:v>
                </c:pt>
                <c:pt idx="3">
                  <c:v>United Kingdom (EN/NI)</c:v>
                </c:pt>
                <c:pt idx="4">
                  <c:v>Slovak Republic</c:v>
                </c:pt>
                <c:pt idx="5">
                  <c:v>France</c:v>
                </c:pt>
                <c:pt idx="6">
                  <c:v>Poland</c:v>
                </c:pt>
                <c:pt idx="7">
                  <c:v>Austria</c:v>
                </c:pt>
                <c:pt idx="8">
                  <c:v>Denmark</c:v>
                </c:pt>
                <c:pt idx="9">
                  <c:v>Germany</c:v>
                </c:pt>
                <c:pt idx="10">
                  <c:v>EU-16 average</c:v>
                </c:pt>
                <c:pt idx="11">
                  <c:v>Czech Republic</c:v>
                </c:pt>
                <c:pt idx="12">
                  <c:v>Estonia</c:v>
                </c:pt>
                <c:pt idx="13">
                  <c:v>Sweden</c:v>
                </c:pt>
                <c:pt idx="14">
                  <c:v>Belgium (FL)</c:v>
                </c:pt>
                <c:pt idx="15">
                  <c:v>Netherlands</c:v>
                </c:pt>
                <c:pt idx="16">
                  <c:v>Finland</c:v>
                </c:pt>
              </c:strCache>
            </c:strRef>
          </c:cat>
          <c:val>
            <c:numRef>
              <c:f>Literacy!$O$9:$O$25</c:f>
              <c:numCache>
                <c:formatCode>0.00</c:formatCode>
                <c:ptCount val="17"/>
                <c:pt idx="0">
                  <c:v>30.258865999999955</c:v>
                </c:pt>
                <c:pt idx="1">
                  <c:v>29.113445999999971</c:v>
                </c:pt>
                <c:pt idx="2">
                  <c:v>27.035679200000015</c:v>
                </c:pt>
                <c:pt idx="3">
                  <c:v>31.291619600000033</c:v>
                </c:pt>
                <c:pt idx="4">
                  <c:v>25.837952399999995</c:v>
                </c:pt>
                <c:pt idx="5">
                  <c:v>29.627949200000003</c:v>
                </c:pt>
                <c:pt idx="6">
                  <c:v>28.845127600000005</c:v>
                </c:pt>
                <c:pt idx="7">
                  <c:v>27.268027999999966</c:v>
                </c:pt>
                <c:pt idx="8">
                  <c:v>30.386434000000001</c:v>
                </c:pt>
                <c:pt idx="9">
                  <c:v>30.506817199999983</c:v>
                </c:pt>
                <c:pt idx="10">
                  <c:v>30.342896799999988</c:v>
                </c:pt>
                <c:pt idx="11">
                  <c:v>24.096279599999985</c:v>
                </c:pt>
                <c:pt idx="12">
                  <c:v>26.553256399999992</c:v>
                </c:pt>
                <c:pt idx="13">
                  <c:v>29.566391200000012</c:v>
                </c:pt>
                <c:pt idx="14">
                  <c:v>27.504998000000018</c:v>
                </c:pt>
                <c:pt idx="15">
                  <c:v>27.59139960000002</c:v>
                </c:pt>
                <c:pt idx="16">
                  <c:v>26.44984599999998</c:v>
                </c:pt>
              </c:numCache>
            </c:numRef>
          </c:val>
          <c:extLst>
            <c:ext xmlns:c16="http://schemas.microsoft.com/office/drawing/2014/chart" uri="{C3380CC4-5D6E-409C-BE32-E72D297353CC}">
              <c16:uniqueId val="{00000004-2CA2-426C-A15A-1776C6E4F2C9}"/>
            </c:ext>
          </c:extLst>
        </c:ser>
        <c:ser>
          <c:idx val="5"/>
          <c:order val="5"/>
          <c:tx>
            <c:strRef>
              <c:f>Literacy!$P$7</c:f>
              <c:strCache>
                <c:ptCount val="1"/>
                <c:pt idx="0">
                  <c:v>75th percentile</c:v>
                </c:pt>
              </c:strCache>
            </c:strRef>
          </c:tx>
          <c:spPr>
            <a:solidFill>
              <a:schemeClr val="accent3">
                <a:lumMod val="60000"/>
                <a:lumOff val="40000"/>
              </a:schemeClr>
            </a:solidFill>
            <a:ln w="6350">
              <a:noFill/>
              <a:prstDash val="solid"/>
            </a:ln>
          </c:spPr>
          <c:invertIfNegative val="0"/>
          <c:cat>
            <c:strRef>
              <c:f>Literacy!$J$9:$J$25</c:f>
              <c:strCache>
                <c:ptCount val="17"/>
                <c:pt idx="0">
                  <c:v>Italy</c:v>
                </c:pt>
                <c:pt idx="1">
                  <c:v>Spain</c:v>
                </c:pt>
                <c:pt idx="2">
                  <c:v>Ireland</c:v>
                </c:pt>
                <c:pt idx="3">
                  <c:v>United Kingdom (EN/NI)</c:v>
                </c:pt>
                <c:pt idx="4">
                  <c:v>Slovak Republic</c:v>
                </c:pt>
                <c:pt idx="5">
                  <c:v>France</c:v>
                </c:pt>
                <c:pt idx="6">
                  <c:v>Poland</c:v>
                </c:pt>
                <c:pt idx="7">
                  <c:v>Austria</c:v>
                </c:pt>
                <c:pt idx="8">
                  <c:v>Denmark</c:v>
                </c:pt>
                <c:pt idx="9">
                  <c:v>Germany</c:v>
                </c:pt>
                <c:pt idx="10">
                  <c:v>EU-16 average</c:v>
                </c:pt>
                <c:pt idx="11">
                  <c:v>Czech Republic</c:v>
                </c:pt>
                <c:pt idx="12">
                  <c:v>Estonia</c:v>
                </c:pt>
                <c:pt idx="13">
                  <c:v>Sweden</c:v>
                </c:pt>
                <c:pt idx="14">
                  <c:v>Belgium (FL)</c:v>
                </c:pt>
                <c:pt idx="15">
                  <c:v>Netherlands</c:v>
                </c:pt>
                <c:pt idx="16">
                  <c:v>Finland</c:v>
                </c:pt>
              </c:strCache>
            </c:strRef>
          </c:cat>
          <c:val>
            <c:numRef>
              <c:f>Literacy!$P$9:$P$25</c:f>
              <c:numCache>
                <c:formatCode>0.00</c:formatCode>
                <c:ptCount val="17"/>
                <c:pt idx="0">
                  <c:v>33.838189999999997</c:v>
                </c:pt>
                <c:pt idx="1">
                  <c:v>35.807730000000021</c:v>
                </c:pt>
                <c:pt idx="2">
                  <c:v>37.015670000000085</c:v>
                </c:pt>
                <c:pt idx="3">
                  <c:v>38.603629999999953</c:v>
                </c:pt>
                <c:pt idx="4">
                  <c:v>31.453730000000007</c:v>
                </c:pt>
                <c:pt idx="5">
                  <c:v>33.34220000000002</c:v>
                </c:pt>
                <c:pt idx="6">
                  <c:v>39.935159999999996</c:v>
                </c:pt>
                <c:pt idx="7">
                  <c:v>34.991030000000023</c:v>
                </c:pt>
                <c:pt idx="8">
                  <c:v>33.404150000000016</c:v>
                </c:pt>
                <c:pt idx="9">
                  <c:v>34.731819999999971</c:v>
                </c:pt>
                <c:pt idx="10">
                  <c:v>35.317650000000015</c:v>
                </c:pt>
                <c:pt idx="11">
                  <c:v>32.904290000000003</c:v>
                </c:pt>
                <c:pt idx="12">
                  <c:v>37.340220000000045</c:v>
                </c:pt>
                <c:pt idx="13">
                  <c:v>36.92972999999995</c:v>
                </c:pt>
                <c:pt idx="14">
                  <c:v>31.114019999999982</c:v>
                </c:pt>
                <c:pt idx="15">
                  <c:v>37.749749999999949</c:v>
                </c:pt>
                <c:pt idx="16">
                  <c:v>35.921080000000018</c:v>
                </c:pt>
              </c:numCache>
            </c:numRef>
          </c:val>
          <c:extLst>
            <c:ext xmlns:c16="http://schemas.microsoft.com/office/drawing/2014/chart" uri="{C3380CC4-5D6E-409C-BE32-E72D297353CC}">
              <c16:uniqueId val="{00000005-2CA2-426C-A15A-1776C6E4F2C9}"/>
            </c:ext>
          </c:extLst>
        </c:ser>
        <c:dLbls>
          <c:showLegendKey val="0"/>
          <c:showVal val="0"/>
          <c:showCatName val="0"/>
          <c:showSerName val="0"/>
          <c:showPercent val="0"/>
          <c:showBubbleSize val="0"/>
        </c:dLbls>
        <c:gapWidth val="150"/>
        <c:overlap val="100"/>
        <c:axId val="355910368"/>
        <c:axId val="355910760"/>
      </c:barChart>
      <c:catAx>
        <c:axId val="355910368"/>
        <c:scaling>
          <c:orientation val="minMax"/>
        </c:scaling>
        <c:delete val="0"/>
        <c:axPos val="l"/>
        <c:majorGridlines>
          <c:spPr>
            <a:ln>
              <a:prstDash val="dash"/>
            </a:ln>
          </c:spPr>
        </c:majorGridlines>
        <c:numFmt formatCode="General" sourceLinked="1"/>
        <c:majorTickMark val="none"/>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355910760"/>
        <c:crosses val="autoZero"/>
        <c:auto val="1"/>
        <c:lblAlgn val="ctr"/>
        <c:lblOffset val="100"/>
        <c:tickLblSkip val="1"/>
        <c:tickMarkSkip val="1"/>
        <c:noMultiLvlLbl val="0"/>
      </c:catAx>
      <c:valAx>
        <c:axId val="355910760"/>
        <c:scaling>
          <c:orientation val="minMax"/>
          <c:max val="400"/>
          <c:min val="150"/>
        </c:scaling>
        <c:delete val="0"/>
        <c:axPos val="b"/>
        <c:majorGridlines>
          <c:spPr>
            <a:ln w="3175">
              <a:solidFill>
                <a:srgbClr val="C0C0C0"/>
              </a:solidFill>
              <a:prstDash val="dash"/>
            </a:ln>
          </c:spPr>
        </c:majorGridlines>
        <c:numFmt formatCode="0" sourceLinked="0"/>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355910368"/>
        <c:crosses val="autoZero"/>
        <c:crossBetween val="between"/>
        <c:majorUnit val="25"/>
      </c:valAx>
      <c:spPr>
        <a:noFill/>
        <a:ln w="3175">
          <a:solidFill>
            <a:srgbClr val="000000"/>
          </a:solidFill>
          <a:prstDash val="solid"/>
        </a:ln>
      </c:spPr>
    </c:plotArea>
    <c:plotVisOnly val="1"/>
    <c:dispBlanksAs val="gap"/>
    <c:showDLblsOverMax val="0"/>
  </c:chart>
  <c:spPr>
    <a:solidFill>
      <a:srgbClr val="FFFFFF"/>
    </a:solidFill>
    <a:ln w="9525">
      <a:noFill/>
    </a:ln>
  </c:spPr>
  <c:txPr>
    <a:bodyPr/>
    <a:lstStyle/>
    <a:p>
      <a:pPr>
        <a:defRPr sz="850" b="0" i="0" u="none" strike="noStrike" baseline="0">
          <a:solidFill>
            <a:srgbClr val="000000"/>
          </a:solidFill>
          <a:latin typeface="Arial"/>
          <a:ea typeface="Arial"/>
          <a:cs typeface="Arial"/>
        </a:defRPr>
      </a:pPr>
      <a:endParaRPr lang="en-US"/>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solidFill>
                <a:schemeClr val="bg1"/>
              </a:solidFill>
            </a:ln>
          </c:spPr>
          <c:marker>
            <c:symbol val="circle"/>
            <c:size val="6"/>
          </c:marker>
          <c:dPt>
            <c:idx val="6"/>
            <c:marker>
              <c:spPr>
                <a:solidFill>
                  <a:schemeClr val="accent1"/>
                </a:solidFill>
              </c:spPr>
            </c:marker>
            <c:bubble3D val="0"/>
            <c:extLst>
              <c:ext xmlns:c16="http://schemas.microsoft.com/office/drawing/2014/chart" uri="{C3380CC4-5D6E-409C-BE32-E72D297353CC}">
                <c16:uniqueId val="{00000000-34DB-4D06-9668-5DDC35FCBE07}"/>
              </c:ext>
            </c:extLst>
          </c:dPt>
          <c:dPt>
            <c:idx val="7"/>
            <c:marker>
              <c:spPr>
                <a:solidFill>
                  <a:schemeClr val="accent1"/>
                </a:solidFill>
              </c:spPr>
            </c:marker>
            <c:bubble3D val="0"/>
            <c:extLst>
              <c:ext xmlns:c16="http://schemas.microsoft.com/office/drawing/2014/chart" uri="{C3380CC4-5D6E-409C-BE32-E72D297353CC}">
                <c16:uniqueId val="{00000001-34DB-4D06-9668-5DDC35FCBE07}"/>
              </c:ext>
            </c:extLst>
          </c:dPt>
          <c:dPt>
            <c:idx val="8"/>
            <c:marker>
              <c:spPr>
                <a:solidFill>
                  <a:srgbClr val="FF0000"/>
                </a:solidFill>
              </c:spPr>
            </c:marker>
            <c:bubble3D val="0"/>
            <c:extLst>
              <c:ext xmlns:c16="http://schemas.microsoft.com/office/drawing/2014/chart" uri="{C3380CC4-5D6E-409C-BE32-E72D297353CC}">
                <c16:uniqueId val="{00000002-34DB-4D06-9668-5DDC35FCBE07}"/>
              </c:ext>
            </c:extLst>
          </c:dPt>
          <c:dPt>
            <c:idx val="9"/>
            <c:marker>
              <c:spPr>
                <a:solidFill>
                  <a:srgbClr val="FF0000"/>
                </a:solidFill>
              </c:spPr>
            </c:marker>
            <c:bubble3D val="0"/>
            <c:extLst>
              <c:ext xmlns:c16="http://schemas.microsoft.com/office/drawing/2014/chart" uri="{C3380CC4-5D6E-409C-BE32-E72D297353CC}">
                <c16:uniqueId val="{00000003-34DB-4D06-9668-5DDC35FCBE07}"/>
              </c:ext>
            </c:extLst>
          </c:dPt>
          <c:dPt>
            <c:idx val="11"/>
            <c:bubble3D val="0"/>
            <c:extLst>
              <c:ext xmlns:c16="http://schemas.microsoft.com/office/drawing/2014/chart" uri="{C3380CC4-5D6E-409C-BE32-E72D297353CC}">
                <c16:uniqueId val="{00000004-34DB-4D06-9668-5DDC35FCBE07}"/>
              </c:ext>
            </c:extLst>
          </c:dPt>
          <c:dLbls>
            <c:dLbl>
              <c:idx val="0"/>
              <c:tx>
                <c:rich>
                  <a:bodyPr/>
                  <a:lstStyle/>
                  <a:p>
                    <a:r>
                      <a:rPr lang="en-US" sz="1000"/>
                      <a:t>FI</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34DB-4D06-9668-5DDC35FCBE07}"/>
                </c:ext>
              </c:extLst>
            </c:dLbl>
            <c:dLbl>
              <c:idx val="1"/>
              <c:tx>
                <c:rich>
                  <a:bodyPr/>
                  <a:lstStyle/>
                  <a:p>
                    <a:r>
                      <a:rPr lang="en-US" sz="1000"/>
                      <a:t>BE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34DB-4D06-9668-5DDC35FCBE07}"/>
                </c:ext>
              </c:extLst>
            </c:dLbl>
            <c:dLbl>
              <c:idx val="2"/>
              <c:layout>
                <c:manualLayout>
                  <c:x val="-9.3348891481914512E-3"/>
                  <c:y val="-1.7429193899782137E-2"/>
                </c:manualLayout>
              </c:layout>
              <c:tx>
                <c:rich>
                  <a:bodyPr/>
                  <a:lstStyle/>
                  <a:p>
                    <a:r>
                      <a:rPr lang="en-US" sz="1000"/>
                      <a:t>NL</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34DB-4D06-9668-5DDC35FCBE07}"/>
                </c:ext>
              </c:extLst>
            </c:dLbl>
            <c:dLbl>
              <c:idx val="3"/>
              <c:tx>
                <c:rich>
                  <a:bodyPr/>
                  <a:lstStyle/>
                  <a:p>
                    <a:r>
                      <a:rPr lang="en-US" sz="1000"/>
                      <a:t>SE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34DB-4D06-9668-5DDC35FCBE07}"/>
                </c:ext>
              </c:extLst>
            </c:dLbl>
            <c:dLbl>
              <c:idx val="4"/>
              <c:tx>
                <c:rich>
                  <a:bodyPr/>
                  <a:lstStyle/>
                  <a:p>
                    <a:r>
                      <a:rPr lang="en-US" sz="1000"/>
                      <a:t>CZ</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34DB-4D06-9668-5DDC35FCBE07}"/>
                </c:ext>
              </c:extLst>
            </c:dLbl>
            <c:dLbl>
              <c:idx val="5"/>
              <c:tx>
                <c:rich>
                  <a:bodyPr/>
                  <a:lstStyle/>
                  <a:p>
                    <a:r>
                      <a:rPr lang="en-US" sz="1000"/>
                      <a:t>DK</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34DB-4D06-9668-5DDC35FCBE07}"/>
                </c:ext>
              </c:extLst>
            </c:dLbl>
            <c:dLbl>
              <c:idx val="6"/>
              <c:tx>
                <c:rich>
                  <a:bodyPr/>
                  <a:lstStyle/>
                  <a:p>
                    <a:r>
                      <a:rPr lang="en-US" sz="1000"/>
                      <a:t>EE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4DB-4D06-9668-5DDC35FCBE07}"/>
                </c:ext>
              </c:extLst>
            </c:dLbl>
            <c:dLbl>
              <c:idx val="7"/>
              <c:layout>
                <c:manualLayout>
                  <c:x val="0"/>
                  <c:y val="5.8097312999273787E-2"/>
                </c:manualLayout>
              </c:layout>
              <c:tx>
                <c:rich>
                  <a:bodyPr/>
                  <a:lstStyle/>
                  <a:p>
                    <a:r>
                      <a:rPr lang="en-US" sz="1000"/>
                      <a:t>AT</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4DB-4D06-9668-5DDC35FCBE07}"/>
                </c:ext>
              </c:extLst>
            </c:dLbl>
            <c:dLbl>
              <c:idx val="8"/>
              <c:layout>
                <c:manualLayout>
                  <c:x val="-3.0338313554245631E-2"/>
                  <c:y val="7.7395643942813661E-2"/>
                </c:manualLayout>
              </c:layout>
              <c:tx>
                <c:rich>
                  <a:bodyPr/>
                  <a:lstStyle/>
                  <a:p>
                    <a:r>
                      <a:rPr lang="en-US" sz="1000"/>
                      <a:t>DE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4DB-4D06-9668-5DDC35FCBE07}"/>
                </c:ext>
              </c:extLst>
            </c:dLbl>
            <c:dLbl>
              <c:idx val="9"/>
              <c:layout>
                <c:manualLayout>
                  <c:x val="-2.3337222870478411E-3"/>
                  <c:y val="-1.7429193899782137E-2"/>
                </c:manualLayout>
              </c:layout>
              <c:tx>
                <c:rich>
                  <a:bodyPr/>
                  <a:lstStyle/>
                  <a:p>
                    <a:r>
                      <a:rPr lang="en-US" sz="1000"/>
                      <a:t>SK</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34DB-4D06-9668-5DDC35FCBE07}"/>
                </c:ext>
              </c:extLst>
            </c:dLbl>
            <c:dLbl>
              <c:idx val="10"/>
              <c:layout>
                <c:manualLayout>
                  <c:x val="-7.0011668611435242E-3"/>
                  <c:y val="-1.7429193899782137E-2"/>
                </c:manualLayout>
              </c:layout>
              <c:tx>
                <c:rich>
                  <a:bodyPr/>
                  <a:lstStyle/>
                  <a:p>
                    <a:r>
                      <a:rPr lang="en-US" sz="1000"/>
                      <a:t>PL</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34DB-4D06-9668-5DDC35FCBE07}"/>
                </c:ext>
              </c:extLst>
            </c:dLbl>
            <c:dLbl>
              <c:idx val="11"/>
              <c:tx>
                <c:rich>
                  <a:bodyPr/>
                  <a:lstStyle/>
                  <a:p>
                    <a:r>
                      <a:rPr lang="en-US" sz="1000"/>
                      <a:t>FR</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34DB-4D06-9668-5DDC35FCBE07}"/>
                </c:ext>
              </c:extLst>
            </c:dLbl>
            <c:dLbl>
              <c:idx val="12"/>
              <c:tx>
                <c:rich>
                  <a:bodyPr/>
                  <a:lstStyle/>
                  <a:p>
                    <a:r>
                      <a:rPr lang="en-US" sz="1000"/>
                      <a:t>UK</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34DB-4D06-9668-5DDC35FCBE07}"/>
                </c:ext>
              </c:extLst>
            </c:dLbl>
            <c:dLbl>
              <c:idx val="13"/>
              <c:layout>
                <c:manualLayout>
                  <c:x val="-1.1668611435239206E-2"/>
                  <c:y val="1.7429193899782137E-2"/>
                </c:manualLayout>
              </c:layout>
              <c:tx>
                <c:rich>
                  <a:bodyPr/>
                  <a:lstStyle/>
                  <a:p>
                    <a:r>
                      <a:rPr lang="en-US" sz="1000"/>
                      <a:t>IE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34DB-4D06-9668-5DDC35FCBE07}"/>
                </c:ext>
              </c:extLst>
            </c:dLbl>
            <c:dLbl>
              <c:idx val="14"/>
              <c:layout>
                <c:manualLayout>
                  <c:x val="-7.2724483701282316E-2"/>
                  <c:y val="-1.057030543188853E-2"/>
                </c:manualLayout>
              </c:layout>
              <c:tx>
                <c:rich>
                  <a:bodyPr/>
                  <a:lstStyle/>
                  <a:p>
                    <a:r>
                      <a:rPr lang="en-US" sz="1000"/>
                      <a:t>IT</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34DB-4D06-9668-5DDC35FCBE07}"/>
                </c:ext>
              </c:extLst>
            </c:dLbl>
            <c:dLbl>
              <c:idx val="15"/>
              <c:tx>
                <c:rich>
                  <a:bodyPr/>
                  <a:lstStyle/>
                  <a:p>
                    <a:r>
                      <a:rPr lang="en-US" sz="1000"/>
                      <a:t>ES</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34DB-4D06-9668-5DDC35FCBE07}"/>
                </c:ext>
              </c:extLst>
            </c:dLbl>
            <c:spPr>
              <a:noFill/>
              <a:ln>
                <a:noFill/>
              </a:ln>
              <a:effectLst/>
            </c:spPr>
            <c:txPr>
              <a:bodyPr/>
              <a:lstStyle/>
              <a:p>
                <a:pPr>
                  <a:defRPr sz="10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typology!$B$2:$B$17</c:f>
              <c:numCache>
                <c:formatCode>General</c:formatCode>
                <c:ptCount val="16"/>
                <c:pt idx="0">
                  <c:v>299.15100999999999</c:v>
                </c:pt>
                <c:pt idx="1">
                  <c:v>293.47043000000002</c:v>
                </c:pt>
                <c:pt idx="2">
                  <c:v>291.52235000000002</c:v>
                </c:pt>
                <c:pt idx="3">
                  <c:v>287.78726</c:v>
                </c:pt>
                <c:pt idx="4">
                  <c:v>287.52748000000003</c:v>
                </c:pt>
                <c:pt idx="5">
                  <c:v>284.9495</c:v>
                </c:pt>
                <c:pt idx="6">
                  <c:v>283.44772999999998</c:v>
                </c:pt>
                <c:pt idx="7">
                  <c:v>282.53564</c:v>
                </c:pt>
                <c:pt idx="8">
                  <c:v>281.3467</c:v>
                </c:pt>
                <c:pt idx="9">
                  <c:v>279.05905999999999</c:v>
                </c:pt>
                <c:pt idx="10">
                  <c:v>270.69375000000002</c:v>
                </c:pt>
                <c:pt idx="11">
                  <c:v>268.90607</c:v>
                </c:pt>
                <c:pt idx="12">
                  <c:v>264.79786000000001</c:v>
                </c:pt>
                <c:pt idx="13">
                  <c:v>264.78231</c:v>
                </c:pt>
                <c:pt idx="14">
                  <c:v>257.87612000000001</c:v>
                </c:pt>
                <c:pt idx="15">
                  <c:v>257.72548999999998</c:v>
                </c:pt>
              </c:numCache>
            </c:numRef>
          </c:xVal>
          <c:yVal>
            <c:numRef>
              <c:f>typology!$C$2:$C$17</c:f>
              <c:numCache>
                <c:formatCode>0</c:formatCode>
                <c:ptCount val="16"/>
                <c:pt idx="0">
                  <c:v>154.91807</c:v>
                </c:pt>
                <c:pt idx="1">
                  <c:v>155.1919</c:v>
                </c:pt>
                <c:pt idx="2">
                  <c:v>155.82780999999997</c:v>
                </c:pt>
                <c:pt idx="3">
                  <c:v>180.05409999999998</c:v>
                </c:pt>
                <c:pt idx="4">
                  <c:v>140.79136</c:v>
                </c:pt>
                <c:pt idx="5">
                  <c:v>173.87308999999999</c:v>
                </c:pt>
                <c:pt idx="6">
                  <c:v>147.56936999999999</c:v>
                </c:pt>
                <c:pt idx="7">
                  <c:v>160.56965999999997</c:v>
                </c:pt>
                <c:pt idx="8">
                  <c:v>160.78894999999997</c:v>
                </c:pt>
                <c:pt idx="9">
                  <c:v>162.77246000000002</c:v>
                </c:pt>
                <c:pt idx="10">
                  <c:v>161.15314000000001</c:v>
                </c:pt>
                <c:pt idx="11">
                  <c:v>167.70338999999998</c:v>
                </c:pt>
                <c:pt idx="12">
                  <c:v>181.47551999999999</c:v>
                </c:pt>
                <c:pt idx="13">
                  <c:v>160.49829000000003</c:v>
                </c:pt>
                <c:pt idx="14">
                  <c:v>157.53095000000002</c:v>
                </c:pt>
                <c:pt idx="15">
                  <c:v>154.87618000000001</c:v>
                </c:pt>
              </c:numCache>
            </c:numRef>
          </c:yVal>
          <c:smooth val="0"/>
          <c:extLst>
            <c:ext xmlns:c16="http://schemas.microsoft.com/office/drawing/2014/chart" uri="{C3380CC4-5D6E-409C-BE32-E72D297353CC}">
              <c16:uniqueId val="{00000010-34DB-4D06-9668-5DDC35FCBE07}"/>
            </c:ext>
          </c:extLst>
        </c:ser>
        <c:dLbls>
          <c:showLegendKey val="0"/>
          <c:showVal val="0"/>
          <c:showCatName val="0"/>
          <c:showSerName val="0"/>
          <c:showPercent val="0"/>
          <c:showBubbleSize val="0"/>
        </c:dLbls>
        <c:axId val="355911544"/>
        <c:axId val="355911936"/>
      </c:scatterChart>
      <c:valAx>
        <c:axId val="355911544"/>
        <c:scaling>
          <c:orientation val="minMax"/>
          <c:max val="310"/>
          <c:min val="250"/>
        </c:scaling>
        <c:delete val="0"/>
        <c:axPos val="b"/>
        <c:majorGridlines>
          <c:spPr>
            <a:ln>
              <a:solidFill>
                <a:schemeClr val="bg1">
                  <a:lumMod val="85000"/>
                </a:schemeClr>
              </a:solidFill>
              <a:prstDash val="dash"/>
            </a:ln>
          </c:spPr>
        </c:majorGridlines>
        <c:title>
          <c:tx>
            <c:rich>
              <a:bodyPr/>
              <a:lstStyle/>
              <a:p>
                <a:pPr>
                  <a:defRPr sz="1000" b="0"/>
                </a:pPr>
                <a:r>
                  <a:rPr lang="en-US" sz="1000" b="0"/>
                  <a:t>mean score</a:t>
                </a:r>
              </a:p>
            </c:rich>
          </c:tx>
          <c:layout>
            <c:manualLayout>
              <c:xMode val="edge"/>
              <c:yMode val="edge"/>
              <c:x val="0.84955546346180411"/>
              <c:y val="0.93856622399811951"/>
            </c:manualLayout>
          </c:layout>
          <c:overlay val="0"/>
        </c:title>
        <c:numFmt formatCode="0" sourceLinked="0"/>
        <c:majorTickMark val="out"/>
        <c:minorTickMark val="none"/>
        <c:tickLblPos val="nextTo"/>
        <c:spPr>
          <a:ln>
            <a:solidFill>
              <a:schemeClr val="tx1"/>
            </a:solidFill>
          </a:ln>
        </c:spPr>
        <c:txPr>
          <a:bodyPr/>
          <a:lstStyle/>
          <a:p>
            <a:pPr>
              <a:defRPr sz="800"/>
            </a:pPr>
            <a:endParaRPr lang="en-US"/>
          </a:p>
        </c:txPr>
        <c:crossAx val="355911936"/>
        <c:crossesAt val="161"/>
        <c:crossBetween val="midCat"/>
      </c:valAx>
      <c:valAx>
        <c:axId val="355911936"/>
        <c:scaling>
          <c:orientation val="minMax"/>
          <c:max val="190"/>
          <c:min val="130"/>
        </c:scaling>
        <c:delete val="0"/>
        <c:axPos val="l"/>
        <c:majorGridlines>
          <c:spPr>
            <a:ln>
              <a:solidFill>
                <a:schemeClr val="bg1">
                  <a:lumMod val="85000"/>
                </a:schemeClr>
              </a:solidFill>
              <a:prstDash val="dash"/>
            </a:ln>
          </c:spPr>
        </c:majorGridlines>
        <c:title>
          <c:tx>
            <c:rich>
              <a:bodyPr rot="-5400000" vert="horz"/>
              <a:lstStyle/>
              <a:p>
                <a:pPr>
                  <a:defRPr sz="1000"/>
                </a:pPr>
                <a:r>
                  <a:rPr lang="es-ES" sz="1000" b="0"/>
                  <a:t>dispersion (95th - 5th percentile)</a:t>
                </a:r>
              </a:p>
            </c:rich>
          </c:tx>
          <c:layout>
            <c:manualLayout>
              <c:xMode val="edge"/>
              <c:yMode val="edge"/>
              <c:x val="1.1234991899369648E-2"/>
              <c:y val="4.0579029755695779E-2"/>
            </c:manualLayout>
          </c:layout>
          <c:overlay val="0"/>
        </c:title>
        <c:numFmt formatCode="0" sourceLinked="0"/>
        <c:majorTickMark val="out"/>
        <c:minorTickMark val="none"/>
        <c:tickLblPos val="nextTo"/>
        <c:spPr>
          <a:ln>
            <a:solidFill>
              <a:schemeClr val="tx1"/>
            </a:solidFill>
          </a:ln>
        </c:spPr>
        <c:txPr>
          <a:bodyPr/>
          <a:lstStyle/>
          <a:p>
            <a:pPr>
              <a:defRPr sz="800"/>
            </a:pPr>
            <a:endParaRPr lang="en-US"/>
          </a:p>
        </c:txPr>
        <c:crossAx val="355911544"/>
        <c:crossesAt val="278"/>
        <c:crossBetween val="midCat"/>
      </c:valAx>
    </c:plotArea>
    <c:plotVisOnly val="1"/>
    <c:dispBlanksAs val="gap"/>
    <c:showDLblsOverMax val="0"/>
  </c:chart>
  <c:spPr>
    <a:ln>
      <a:noFill/>
    </a:ln>
  </c:sp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solidFill>
                <a:schemeClr val="bg1"/>
              </a:solidFill>
            </a:ln>
          </c:spPr>
          <c:marker>
            <c:symbol val="circle"/>
            <c:size val="6"/>
          </c:marker>
          <c:dPt>
            <c:idx val="5"/>
            <c:marker>
              <c:spPr>
                <a:solidFill>
                  <a:srgbClr val="FF0000"/>
                </a:solidFill>
              </c:spPr>
            </c:marker>
            <c:bubble3D val="0"/>
            <c:extLst>
              <c:ext xmlns:c16="http://schemas.microsoft.com/office/drawing/2014/chart" uri="{C3380CC4-5D6E-409C-BE32-E72D297353CC}">
                <c16:uniqueId val="{00000000-17F5-46E2-A7B7-13574451BFC2}"/>
              </c:ext>
            </c:extLst>
          </c:dPt>
          <c:dPt>
            <c:idx val="6"/>
            <c:marker>
              <c:spPr>
                <a:solidFill>
                  <a:srgbClr val="FF0000"/>
                </a:solidFill>
              </c:spPr>
            </c:marker>
            <c:bubble3D val="0"/>
            <c:extLst>
              <c:ext xmlns:c16="http://schemas.microsoft.com/office/drawing/2014/chart" uri="{C3380CC4-5D6E-409C-BE32-E72D297353CC}">
                <c16:uniqueId val="{00000001-17F5-46E2-A7B7-13574451BFC2}"/>
              </c:ext>
            </c:extLst>
          </c:dPt>
          <c:dPt>
            <c:idx val="7"/>
            <c:marker>
              <c:spPr>
                <a:solidFill>
                  <a:srgbClr val="FF0000"/>
                </a:solidFill>
              </c:spPr>
            </c:marker>
            <c:bubble3D val="0"/>
            <c:extLst>
              <c:ext xmlns:c16="http://schemas.microsoft.com/office/drawing/2014/chart" uri="{C3380CC4-5D6E-409C-BE32-E72D297353CC}">
                <c16:uniqueId val="{00000002-17F5-46E2-A7B7-13574451BFC2}"/>
              </c:ext>
            </c:extLst>
          </c:dPt>
          <c:dPt>
            <c:idx val="8"/>
            <c:marker>
              <c:spPr>
                <a:solidFill>
                  <a:srgbClr val="FF0000"/>
                </a:solidFill>
              </c:spPr>
            </c:marker>
            <c:bubble3D val="0"/>
            <c:extLst>
              <c:ext xmlns:c16="http://schemas.microsoft.com/office/drawing/2014/chart" uri="{C3380CC4-5D6E-409C-BE32-E72D297353CC}">
                <c16:uniqueId val="{00000003-17F5-46E2-A7B7-13574451BFC2}"/>
              </c:ext>
            </c:extLst>
          </c:dPt>
          <c:dPt>
            <c:idx val="11"/>
            <c:bubble3D val="0"/>
            <c:extLst>
              <c:ext xmlns:c16="http://schemas.microsoft.com/office/drawing/2014/chart" uri="{C3380CC4-5D6E-409C-BE32-E72D297353CC}">
                <c16:uniqueId val="{00000004-17F5-46E2-A7B7-13574451BFC2}"/>
              </c:ext>
            </c:extLst>
          </c:dPt>
          <c:dLbls>
            <c:dLbl>
              <c:idx val="0"/>
              <c:tx>
                <c:rich>
                  <a:bodyPr/>
                  <a:lstStyle/>
                  <a:p>
                    <a:r>
                      <a:rPr lang="en-US" sz="1000"/>
                      <a:t>FI</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17F5-46E2-A7B7-13574451BFC2}"/>
                </c:ext>
              </c:extLst>
            </c:dLbl>
            <c:dLbl>
              <c:idx val="1"/>
              <c:tx>
                <c:rich>
                  <a:bodyPr/>
                  <a:lstStyle/>
                  <a:p>
                    <a:r>
                      <a:rPr lang="en-US" sz="1000"/>
                      <a:t>NL</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17F5-46E2-A7B7-13574451BFC2}"/>
                </c:ext>
              </c:extLst>
            </c:dLbl>
            <c:dLbl>
              <c:idx val="2"/>
              <c:tx>
                <c:rich>
                  <a:bodyPr/>
                  <a:lstStyle/>
                  <a:p>
                    <a:r>
                      <a:rPr lang="en-US" sz="1000"/>
                      <a:t>BE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17F5-46E2-A7B7-13574451BFC2}"/>
                </c:ext>
              </c:extLst>
            </c:dLbl>
            <c:dLbl>
              <c:idx val="3"/>
              <c:tx>
                <c:rich>
                  <a:bodyPr/>
                  <a:lstStyle/>
                  <a:p>
                    <a:r>
                      <a:rPr lang="en-US" sz="1000"/>
                      <a:t>SE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17F5-46E2-A7B7-13574451BFC2}"/>
                </c:ext>
              </c:extLst>
            </c:dLbl>
            <c:dLbl>
              <c:idx val="4"/>
              <c:tx>
                <c:rich>
                  <a:bodyPr/>
                  <a:lstStyle/>
                  <a:p>
                    <a:r>
                      <a:rPr lang="en-US" sz="1000"/>
                      <a:t>EE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17F5-46E2-A7B7-13574451BFC2}"/>
                </c:ext>
              </c:extLst>
            </c:dLbl>
            <c:dLbl>
              <c:idx val="5"/>
              <c:tx>
                <c:rich>
                  <a:bodyPr/>
                  <a:lstStyle/>
                  <a:p>
                    <a:r>
                      <a:rPr lang="en-US" sz="1000"/>
                      <a:t>CZ</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17F5-46E2-A7B7-13574451BFC2}"/>
                </c:ext>
              </c:extLst>
            </c:dLbl>
            <c:dLbl>
              <c:idx val="6"/>
              <c:layout>
                <c:manualLayout>
                  <c:x val="-2.3337222870478411E-3"/>
                  <c:y val="-3.3670033670033669E-3"/>
                </c:manualLayout>
              </c:layout>
              <c:tx>
                <c:rich>
                  <a:bodyPr/>
                  <a:lstStyle/>
                  <a:p>
                    <a:r>
                      <a:rPr lang="en-US" sz="1000"/>
                      <a:t>DE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17F5-46E2-A7B7-13574451BFC2}"/>
                </c:ext>
              </c:extLst>
            </c:dLbl>
            <c:dLbl>
              <c:idx val="7"/>
              <c:tx>
                <c:rich>
                  <a:bodyPr/>
                  <a:lstStyle/>
                  <a:p>
                    <a:r>
                      <a:rPr lang="en-US" sz="1000"/>
                      <a:t>DK</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17F5-46E2-A7B7-13574451BFC2}"/>
                </c:ext>
              </c:extLst>
            </c:dLbl>
            <c:dLbl>
              <c:idx val="8"/>
              <c:tx>
                <c:rich>
                  <a:bodyPr/>
                  <a:lstStyle/>
                  <a:p>
                    <a:r>
                      <a:rPr lang="en-US" sz="1000"/>
                      <a:t>AT</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17F5-46E2-A7B7-13574451BFC2}"/>
                </c:ext>
              </c:extLst>
            </c:dLbl>
            <c:dLbl>
              <c:idx val="9"/>
              <c:layout>
                <c:manualLayout>
                  <c:x val="-1.4002333722287048E-2"/>
                  <c:y val="-2.3569023569023569E-2"/>
                </c:manualLayout>
              </c:layout>
              <c:tx>
                <c:rich>
                  <a:bodyPr/>
                  <a:lstStyle/>
                  <a:p>
                    <a:r>
                      <a:rPr lang="en-US" sz="1000"/>
                      <a:t>PL</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17F5-46E2-A7B7-13574451BFC2}"/>
                </c:ext>
              </c:extLst>
            </c:dLbl>
            <c:dLbl>
              <c:idx val="10"/>
              <c:layout>
                <c:manualLayout>
                  <c:x val="-4.6674445740956826E-2"/>
                  <c:y val="3.3670033670033669E-3"/>
                </c:manualLayout>
              </c:layout>
              <c:tx>
                <c:rich>
                  <a:bodyPr/>
                  <a:lstStyle/>
                  <a:p>
                    <a:r>
                      <a:rPr lang="en-US" sz="1000"/>
                      <a:t>FR</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17F5-46E2-A7B7-13574451BFC2}"/>
                </c:ext>
              </c:extLst>
            </c:dLbl>
            <c:dLbl>
              <c:idx val="11"/>
              <c:tx>
                <c:rich>
                  <a:bodyPr/>
                  <a:lstStyle/>
                  <a:p>
                    <a:r>
                      <a:rPr lang="en-US" sz="1000"/>
                      <a:t>SK</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17F5-46E2-A7B7-13574451BFC2}"/>
                </c:ext>
              </c:extLst>
            </c:dLbl>
            <c:dLbl>
              <c:idx val="12"/>
              <c:tx>
                <c:rich>
                  <a:bodyPr/>
                  <a:lstStyle/>
                  <a:p>
                    <a:r>
                      <a:rPr lang="en-US" sz="1000"/>
                      <a:t>UK</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17F5-46E2-A7B7-13574451BFC2}"/>
                </c:ext>
              </c:extLst>
            </c:dLbl>
            <c:dLbl>
              <c:idx val="13"/>
              <c:tx>
                <c:rich>
                  <a:bodyPr/>
                  <a:lstStyle/>
                  <a:p>
                    <a:r>
                      <a:rPr lang="en-US" sz="1000"/>
                      <a:t>IE</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17F5-46E2-A7B7-13574451BFC2}"/>
                </c:ext>
              </c:extLst>
            </c:dLbl>
            <c:dLbl>
              <c:idx val="14"/>
              <c:layout>
                <c:manualLayout>
                  <c:x val="-2.3337222870478411E-3"/>
                  <c:y val="1.3468013468013467E-2"/>
                </c:manualLayout>
              </c:layout>
              <c:tx>
                <c:rich>
                  <a:bodyPr/>
                  <a:lstStyle/>
                  <a:p>
                    <a:r>
                      <a:rPr lang="en-US" sz="1000"/>
                      <a:t>ES</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17F5-46E2-A7B7-13574451BFC2}"/>
                </c:ext>
              </c:extLst>
            </c:dLbl>
            <c:dLbl>
              <c:idx val="15"/>
              <c:layout>
                <c:manualLayout>
                  <c:x val="-4.6674445740956826E-2"/>
                  <c:y val="7.7978737506296567E-2"/>
                </c:manualLayout>
              </c:layout>
              <c:tx>
                <c:rich>
                  <a:bodyPr/>
                  <a:lstStyle/>
                  <a:p>
                    <a:r>
                      <a:rPr lang="en-US" sz="1000"/>
                      <a:t>IT</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17F5-46E2-A7B7-13574451BFC2}"/>
                </c:ext>
              </c:extLst>
            </c:dLbl>
            <c:spPr>
              <a:noFill/>
              <a:ln>
                <a:noFill/>
              </a:ln>
              <a:effectLst/>
            </c:spPr>
            <c:txPr>
              <a:bodyPr/>
              <a:lstStyle/>
              <a:p>
                <a:pPr>
                  <a:defRPr sz="10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xVal>
            <c:numRef>
              <c:f>typology!$B$4:$B$19</c:f>
              <c:numCache>
                <c:formatCode>0</c:formatCode>
                <c:ptCount val="16"/>
                <c:pt idx="0">
                  <c:v>307.35174999999998</c:v>
                </c:pt>
                <c:pt idx="1">
                  <c:v>298.76796999999999</c:v>
                </c:pt>
                <c:pt idx="2">
                  <c:v>291.17885000000001</c:v>
                </c:pt>
                <c:pt idx="3">
                  <c:v>290.52620999999999</c:v>
                </c:pt>
                <c:pt idx="4">
                  <c:v>287.45576999999997</c:v>
                </c:pt>
                <c:pt idx="5">
                  <c:v>286.01778000000002</c:v>
                </c:pt>
                <c:pt idx="6">
                  <c:v>281.67187000000001</c:v>
                </c:pt>
                <c:pt idx="7">
                  <c:v>281.60291999999998</c:v>
                </c:pt>
                <c:pt idx="8">
                  <c:v>281.04703999999998</c:v>
                </c:pt>
                <c:pt idx="9">
                  <c:v>278.51783999999998</c:v>
                </c:pt>
                <c:pt idx="10">
                  <c:v>278.44407000000001</c:v>
                </c:pt>
                <c:pt idx="11">
                  <c:v>278.32916999999998</c:v>
                </c:pt>
                <c:pt idx="12">
                  <c:v>276.45168000000001</c:v>
                </c:pt>
                <c:pt idx="13">
                  <c:v>275.17237999999998</c:v>
                </c:pt>
                <c:pt idx="14">
                  <c:v>263.78532999999999</c:v>
                </c:pt>
                <c:pt idx="15">
                  <c:v>259.00177000000002</c:v>
                </c:pt>
              </c:numCache>
            </c:numRef>
          </c:xVal>
          <c:yVal>
            <c:numRef>
              <c:f>typology!$C$4:$C$19</c:f>
              <c:numCache>
                <c:formatCode>0</c:formatCode>
                <c:ptCount val="16"/>
                <c:pt idx="0">
                  <c:v>143.16079999999999</c:v>
                </c:pt>
                <c:pt idx="1">
                  <c:v>152.41344999999998</c:v>
                </c:pt>
                <c:pt idx="2">
                  <c:v>143.89408</c:v>
                </c:pt>
                <c:pt idx="3">
                  <c:v>162.97546999999997</c:v>
                </c:pt>
                <c:pt idx="4">
                  <c:v>142.47424000000001</c:v>
                </c:pt>
                <c:pt idx="5">
                  <c:v>129.29683</c:v>
                </c:pt>
                <c:pt idx="6">
                  <c:v>153.12406999999999</c:v>
                </c:pt>
                <c:pt idx="7">
                  <c:v>158.18672000000001</c:v>
                </c:pt>
                <c:pt idx="8">
                  <c:v>143.01005999999998</c:v>
                </c:pt>
                <c:pt idx="9">
                  <c:v>151.16592999999997</c:v>
                </c:pt>
                <c:pt idx="10">
                  <c:v>147.64486000000002</c:v>
                </c:pt>
                <c:pt idx="11">
                  <c:v>136.31420999999997</c:v>
                </c:pt>
                <c:pt idx="12">
                  <c:v>162.36307999999997</c:v>
                </c:pt>
                <c:pt idx="13">
                  <c:v>144.47826000000001</c:v>
                </c:pt>
                <c:pt idx="14">
                  <c:v>146.33944999999997</c:v>
                </c:pt>
                <c:pt idx="15">
                  <c:v>145.98580999999999</c:v>
                </c:pt>
              </c:numCache>
            </c:numRef>
          </c:yVal>
          <c:smooth val="0"/>
          <c:extLst>
            <c:ext xmlns:c16="http://schemas.microsoft.com/office/drawing/2014/chart" uri="{C3380CC4-5D6E-409C-BE32-E72D297353CC}">
              <c16:uniqueId val="{00000010-17F5-46E2-A7B7-13574451BFC2}"/>
            </c:ext>
          </c:extLst>
        </c:ser>
        <c:dLbls>
          <c:showLegendKey val="0"/>
          <c:showVal val="0"/>
          <c:showCatName val="0"/>
          <c:showSerName val="0"/>
          <c:showPercent val="0"/>
          <c:showBubbleSize val="0"/>
        </c:dLbls>
        <c:axId val="355912720"/>
        <c:axId val="355589072"/>
      </c:scatterChart>
      <c:valAx>
        <c:axId val="355912720"/>
        <c:scaling>
          <c:orientation val="minMax"/>
          <c:max val="310"/>
          <c:min val="250"/>
        </c:scaling>
        <c:delete val="0"/>
        <c:axPos val="b"/>
        <c:majorGridlines>
          <c:spPr>
            <a:ln>
              <a:solidFill>
                <a:schemeClr val="bg1">
                  <a:lumMod val="85000"/>
                </a:schemeClr>
              </a:solidFill>
              <a:prstDash val="dash"/>
            </a:ln>
          </c:spPr>
        </c:majorGridlines>
        <c:title>
          <c:tx>
            <c:rich>
              <a:bodyPr/>
              <a:lstStyle/>
              <a:p>
                <a:pPr>
                  <a:defRPr sz="1000" b="0"/>
                </a:pPr>
                <a:r>
                  <a:rPr lang="en-US" sz="1000" b="0"/>
                  <a:t>mean score</a:t>
                </a:r>
              </a:p>
            </c:rich>
          </c:tx>
          <c:layout>
            <c:manualLayout>
              <c:xMode val="edge"/>
              <c:yMode val="edge"/>
              <c:x val="0.84955546346180411"/>
              <c:y val="0.93856622399811951"/>
            </c:manualLayout>
          </c:layout>
          <c:overlay val="0"/>
        </c:title>
        <c:numFmt formatCode="0" sourceLinked="0"/>
        <c:majorTickMark val="out"/>
        <c:minorTickMark val="none"/>
        <c:tickLblPos val="nextTo"/>
        <c:spPr>
          <a:ln>
            <a:solidFill>
              <a:schemeClr val="tx1"/>
            </a:solidFill>
          </a:ln>
        </c:spPr>
        <c:txPr>
          <a:bodyPr/>
          <a:lstStyle/>
          <a:p>
            <a:pPr>
              <a:defRPr sz="800"/>
            </a:pPr>
            <a:endParaRPr lang="en-US"/>
          </a:p>
        </c:txPr>
        <c:crossAx val="355589072"/>
        <c:crossesAt val="148"/>
        <c:crossBetween val="midCat"/>
      </c:valAx>
      <c:valAx>
        <c:axId val="355589072"/>
        <c:scaling>
          <c:orientation val="minMax"/>
          <c:max val="180"/>
          <c:min val="120"/>
        </c:scaling>
        <c:delete val="0"/>
        <c:axPos val="l"/>
        <c:majorGridlines>
          <c:spPr>
            <a:ln>
              <a:solidFill>
                <a:schemeClr val="bg1">
                  <a:lumMod val="85000"/>
                </a:schemeClr>
              </a:solidFill>
              <a:prstDash val="dash"/>
            </a:ln>
          </c:spPr>
        </c:majorGridlines>
        <c:title>
          <c:tx>
            <c:rich>
              <a:bodyPr rot="-5400000" vert="horz"/>
              <a:lstStyle/>
              <a:p>
                <a:pPr>
                  <a:defRPr sz="1000" b="0"/>
                </a:pPr>
                <a:r>
                  <a:rPr lang="es-ES" sz="1000" b="0" i="0" baseline="0">
                    <a:effectLst/>
                  </a:rPr>
                  <a:t>dispersion (95th - 5th percentile)</a:t>
                </a:r>
                <a:endParaRPr lang="en-GB" sz="1000" b="0">
                  <a:effectLst/>
                </a:endParaRPr>
              </a:p>
            </c:rich>
          </c:tx>
          <c:layout>
            <c:manualLayout>
              <c:xMode val="edge"/>
              <c:yMode val="edge"/>
              <c:x val="1.7638888888888888E-2"/>
              <c:y val="4.0596875000000011E-2"/>
            </c:manualLayout>
          </c:layout>
          <c:overlay val="0"/>
        </c:title>
        <c:numFmt formatCode="0" sourceLinked="0"/>
        <c:majorTickMark val="out"/>
        <c:minorTickMark val="none"/>
        <c:tickLblPos val="nextTo"/>
        <c:spPr>
          <a:ln>
            <a:solidFill>
              <a:schemeClr val="tx1"/>
            </a:solidFill>
          </a:ln>
        </c:spPr>
        <c:txPr>
          <a:bodyPr/>
          <a:lstStyle/>
          <a:p>
            <a:pPr>
              <a:defRPr sz="800"/>
            </a:pPr>
            <a:endParaRPr lang="en-US"/>
          </a:p>
        </c:txPr>
        <c:crossAx val="355912720"/>
        <c:crossesAt val="282"/>
        <c:crossBetween val="midCat"/>
      </c:valAx>
    </c:plotArea>
    <c:plotVisOnly val="1"/>
    <c:dispBlanksAs val="gap"/>
    <c:showDLblsOverMax val="0"/>
  </c:chart>
  <c:spPr>
    <a:ln>
      <a:noFill/>
    </a:ln>
  </c:sp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7626202962324029E-2"/>
          <c:y val="4.8698576452346924E-2"/>
          <c:w val="0.64994963232901681"/>
          <c:h val="0.85464365761221284"/>
        </c:manualLayout>
      </c:layout>
      <c:barChart>
        <c:barDir val="col"/>
        <c:grouping val="stacked"/>
        <c:varyColors val="0"/>
        <c:ser>
          <c:idx val="0"/>
          <c:order val="0"/>
          <c:tx>
            <c:strRef>
              <c:f>'Age cohorts - charts'!$A$113</c:f>
              <c:strCache>
                <c:ptCount val="1"/>
                <c:pt idx="0">
                  <c:v>Lower Secondary</c:v>
                </c:pt>
              </c:strCache>
            </c:strRef>
          </c:tx>
          <c:spPr>
            <a:solidFill>
              <a:srgbClr val="C6D9F1"/>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'Age cohorts - charts'!$B$112:$E$112</c:f>
              <c:strCache>
                <c:ptCount val="4"/>
                <c:pt idx="0">
                  <c:v>25-34</c:v>
                </c:pt>
                <c:pt idx="1">
                  <c:v>35-44</c:v>
                </c:pt>
                <c:pt idx="2">
                  <c:v>45-54</c:v>
                </c:pt>
                <c:pt idx="3">
                  <c:v>55-64</c:v>
                </c:pt>
              </c:strCache>
            </c:strRef>
          </c:cat>
          <c:val>
            <c:numRef>
              <c:f>'Age cohorts - charts'!$B$113:$E$113</c:f>
              <c:numCache>
                <c:formatCode>#,##0.0</c:formatCode>
                <c:ptCount val="4"/>
                <c:pt idx="0">
                  <c:v>16.899999999999999</c:v>
                </c:pt>
                <c:pt idx="1">
                  <c:v>20.399999999999999</c:v>
                </c:pt>
                <c:pt idx="2">
                  <c:v>25.9</c:v>
                </c:pt>
                <c:pt idx="3">
                  <c:v>33</c:v>
                </c:pt>
              </c:numCache>
            </c:numRef>
          </c:val>
          <c:extLst>
            <c:ext xmlns:c16="http://schemas.microsoft.com/office/drawing/2014/chart" uri="{C3380CC4-5D6E-409C-BE32-E72D297353CC}">
              <c16:uniqueId val="{00000000-3CE4-4DAC-B82E-B3E752AC9CD1}"/>
            </c:ext>
          </c:extLst>
        </c:ser>
        <c:ser>
          <c:idx val="1"/>
          <c:order val="1"/>
          <c:tx>
            <c:strRef>
              <c:f>'Age cohorts - charts'!$A$114</c:f>
              <c:strCache>
                <c:ptCount val="1"/>
                <c:pt idx="0">
                  <c:v>Upper Secondary/post-secondary non-tertiary</c:v>
                </c:pt>
              </c:strCache>
            </c:strRef>
          </c:tx>
          <c:spPr>
            <a:solidFill>
              <a:srgbClr val="558ED5"/>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'Age cohorts - charts'!$B$112:$E$112</c:f>
              <c:strCache>
                <c:ptCount val="4"/>
                <c:pt idx="0">
                  <c:v>25-34</c:v>
                </c:pt>
                <c:pt idx="1">
                  <c:v>35-44</c:v>
                </c:pt>
                <c:pt idx="2">
                  <c:v>45-54</c:v>
                </c:pt>
                <c:pt idx="3">
                  <c:v>55-64</c:v>
                </c:pt>
              </c:strCache>
            </c:strRef>
          </c:cat>
          <c:val>
            <c:numRef>
              <c:f>'Age cohorts - charts'!$B$114:$E$114</c:f>
              <c:numCache>
                <c:formatCode>General</c:formatCode>
                <c:ptCount val="4"/>
                <c:pt idx="0">
                  <c:v>45.9</c:v>
                </c:pt>
                <c:pt idx="1">
                  <c:v>46.2</c:v>
                </c:pt>
                <c:pt idx="2">
                  <c:v>48.8</c:v>
                </c:pt>
                <c:pt idx="3">
                  <c:v>45.6</c:v>
                </c:pt>
              </c:numCache>
            </c:numRef>
          </c:val>
          <c:extLst>
            <c:ext xmlns:c16="http://schemas.microsoft.com/office/drawing/2014/chart" uri="{C3380CC4-5D6E-409C-BE32-E72D297353CC}">
              <c16:uniqueId val="{00000001-3CE4-4DAC-B82E-B3E752AC9CD1}"/>
            </c:ext>
          </c:extLst>
        </c:ser>
        <c:ser>
          <c:idx val="2"/>
          <c:order val="2"/>
          <c:tx>
            <c:strRef>
              <c:f>'Age cohorts - charts'!$A$115</c:f>
              <c:strCache>
                <c:ptCount val="1"/>
                <c:pt idx="0">
                  <c:v>Tertiary</c:v>
                </c:pt>
              </c:strCache>
            </c:strRef>
          </c:tx>
          <c:spPr>
            <a:solidFill>
              <a:srgbClr val="10253F"/>
            </a:solidFill>
          </c:spPr>
          <c:invertIfNegative val="0"/>
          <c:dLbls>
            <c:spPr>
              <a:noFill/>
              <a:ln>
                <a:noFill/>
              </a:ln>
              <a:effectLst/>
            </c:spPr>
            <c:txPr>
              <a:bodyPr/>
              <a:lstStyle/>
              <a:p>
                <a:pPr>
                  <a:defRPr>
                    <a:solidFill>
                      <a:schemeClr val="bg1"/>
                    </a:solidFill>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'Age cohorts - charts'!$B$112:$E$112</c:f>
              <c:strCache>
                <c:ptCount val="4"/>
                <c:pt idx="0">
                  <c:v>25-34</c:v>
                </c:pt>
                <c:pt idx="1">
                  <c:v>35-44</c:v>
                </c:pt>
                <c:pt idx="2">
                  <c:v>45-54</c:v>
                </c:pt>
                <c:pt idx="3">
                  <c:v>55-64</c:v>
                </c:pt>
              </c:strCache>
            </c:strRef>
          </c:cat>
          <c:val>
            <c:numRef>
              <c:f>'Age cohorts - charts'!$B$115:$E$115</c:f>
              <c:numCache>
                <c:formatCode>General</c:formatCode>
                <c:ptCount val="4"/>
                <c:pt idx="0">
                  <c:v>37.200000000000003</c:v>
                </c:pt>
                <c:pt idx="1">
                  <c:v>33.4</c:v>
                </c:pt>
                <c:pt idx="2">
                  <c:v>25.3</c:v>
                </c:pt>
                <c:pt idx="3">
                  <c:v>21.4</c:v>
                </c:pt>
              </c:numCache>
            </c:numRef>
          </c:val>
          <c:extLst>
            <c:ext xmlns:c16="http://schemas.microsoft.com/office/drawing/2014/chart" uri="{C3380CC4-5D6E-409C-BE32-E72D297353CC}">
              <c16:uniqueId val="{00000002-3CE4-4DAC-B82E-B3E752AC9CD1}"/>
            </c:ext>
          </c:extLst>
        </c:ser>
        <c:dLbls>
          <c:showLegendKey val="0"/>
          <c:showVal val="0"/>
          <c:showCatName val="0"/>
          <c:showSerName val="0"/>
          <c:showPercent val="0"/>
          <c:showBubbleSize val="0"/>
        </c:dLbls>
        <c:gapWidth val="40"/>
        <c:overlap val="100"/>
        <c:axId val="355595736"/>
        <c:axId val="355594952"/>
      </c:barChart>
      <c:catAx>
        <c:axId val="355595736"/>
        <c:scaling>
          <c:orientation val="maxMin"/>
        </c:scaling>
        <c:delete val="0"/>
        <c:axPos val="b"/>
        <c:numFmt formatCode="General" sourceLinked="1"/>
        <c:majorTickMark val="in"/>
        <c:minorTickMark val="none"/>
        <c:tickLblPos val="nextTo"/>
        <c:spPr>
          <a:ln>
            <a:solidFill>
              <a:schemeClr val="tx1"/>
            </a:solidFill>
          </a:ln>
        </c:spPr>
        <c:crossAx val="355594952"/>
        <c:crosses val="autoZero"/>
        <c:auto val="1"/>
        <c:lblAlgn val="ctr"/>
        <c:lblOffset val="100"/>
        <c:noMultiLvlLbl val="0"/>
      </c:catAx>
      <c:valAx>
        <c:axId val="355594952"/>
        <c:scaling>
          <c:orientation val="minMax"/>
          <c:max val="100"/>
        </c:scaling>
        <c:delete val="0"/>
        <c:axPos val="r"/>
        <c:numFmt formatCode="#,##0" sourceLinked="0"/>
        <c:majorTickMark val="in"/>
        <c:minorTickMark val="none"/>
        <c:tickLblPos val="nextTo"/>
        <c:spPr>
          <a:ln>
            <a:solidFill>
              <a:schemeClr val="tx1"/>
            </a:solidFill>
          </a:ln>
        </c:spPr>
        <c:crossAx val="355595736"/>
        <c:crosses val="autoZero"/>
        <c:crossBetween val="between"/>
        <c:majorUnit val="20"/>
      </c:valAx>
    </c:plotArea>
    <c:legend>
      <c:legendPos val="l"/>
      <c:layout>
        <c:manualLayout>
          <c:xMode val="edge"/>
          <c:yMode val="edge"/>
          <c:x val="0.7779614325068871"/>
          <c:y val="8.4966114593593378E-2"/>
          <c:w val="0.2191190646623718"/>
          <c:h val="0.75920694294991864"/>
        </c:manualLayout>
      </c:layout>
      <c:overlay val="0"/>
    </c:legend>
    <c:plotVisOnly val="1"/>
    <c:dispBlanksAs val="gap"/>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'Age cohorts - charts'!$B$3</c:f>
              <c:strCache>
                <c:ptCount val="1"/>
                <c:pt idx="0">
                  <c:v>25-34</c:v>
                </c:pt>
              </c:strCache>
            </c:strRef>
          </c:tx>
          <c:spPr>
            <a:ln>
              <a:noFill/>
            </a:ln>
          </c:spPr>
          <c:marker>
            <c:symbol val="diamond"/>
            <c:size val="7"/>
            <c:spPr>
              <a:solidFill>
                <a:schemeClr val="tx2">
                  <a:lumMod val="40000"/>
                  <a:lumOff val="60000"/>
                </a:schemeClr>
              </a:solidFill>
              <a:ln>
                <a:noFill/>
              </a:ln>
            </c:spPr>
          </c:marker>
          <c:dPt>
            <c:idx val="18"/>
            <c:marker>
              <c:spPr>
                <a:solidFill>
                  <a:schemeClr val="accent2">
                    <a:lumMod val="40000"/>
                    <a:lumOff val="60000"/>
                  </a:schemeClr>
                </a:solidFill>
                <a:ln>
                  <a:noFill/>
                </a:ln>
              </c:spPr>
            </c:marker>
            <c:bubble3D val="0"/>
            <c:extLst>
              <c:ext xmlns:c16="http://schemas.microsoft.com/office/drawing/2014/chart" uri="{C3380CC4-5D6E-409C-BE32-E72D297353CC}">
                <c16:uniqueId val="{00000000-AB14-4F1C-852F-1034794F5DB7}"/>
              </c:ext>
            </c:extLst>
          </c:dPt>
          <c:cat>
            <c:strRef>
              <c:f>'Age cohorts - charts'!$A$4:$A$32</c:f>
              <c:strCache>
                <c:ptCount val="29"/>
                <c:pt idx="0">
                  <c:v>CY</c:v>
                </c:pt>
                <c:pt idx="1">
                  <c:v>LU</c:v>
                </c:pt>
                <c:pt idx="2">
                  <c:v>LT</c:v>
                </c:pt>
                <c:pt idx="3">
                  <c:v>IE</c:v>
                </c:pt>
                <c:pt idx="4">
                  <c:v>SE</c:v>
                </c:pt>
                <c:pt idx="5">
                  <c:v>UK</c:v>
                </c:pt>
                <c:pt idx="6">
                  <c:v>FR</c:v>
                </c:pt>
                <c:pt idx="7">
                  <c:v>EE</c:v>
                </c:pt>
                <c:pt idx="8">
                  <c:v>BE</c:v>
                </c:pt>
                <c:pt idx="9">
                  <c:v>NL</c:v>
                </c:pt>
                <c:pt idx="10">
                  <c:v>PL</c:v>
                </c:pt>
                <c:pt idx="11">
                  <c:v>DK</c:v>
                </c:pt>
                <c:pt idx="12">
                  <c:v>ES</c:v>
                </c:pt>
                <c:pt idx="13">
                  <c:v>FI</c:v>
                </c:pt>
                <c:pt idx="14">
                  <c:v>LV</c:v>
                </c:pt>
                <c:pt idx="15">
                  <c:v>EL</c:v>
                </c:pt>
                <c:pt idx="16">
                  <c:v>AT</c:v>
                </c:pt>
                <c:pt idx="17">
                  <c:v>SI</c:v>
                </c:pt>
                <c:pt idx="18">
                  <c:v>EU-28</c:v>
                </c:pt>
                <c:pt idx="19">
                  <c:v>HU</c:v>
                </c:pt>
                <c:pt idx="20">
                  <c:v>HR</c:v>
                </c:pt>
                <c:pt idx="21">
                  <c:v>PT</c:v>
                </c:pt>
                <c:pt idx="22">
                  <c:v>BG</c:v>
                </c:pt>
                <c:pt idx="23">
                  <c:v>CZ</c:v>
                </c:pt>
                <c:pt idx="24">
                  <c:v>MT</c:v>
                </c:pt>
                <c:pt idx="25">
                  <c:v>SK</c:v>
                </c:pt>
                <c:pt idx="26">
                  <c:v>DE</c:v>
                </c:pt>
                <c:pt idx="27">
                  <c:v>RO</c:v>
                </c:pt>
                <c:pt idx="28">
                  <c:v>IT</c:v>
                </c:pt>
              </c:strCache>
            </c:strRef>
          </c:cat>
          <c:val>
            <c:numRef>
              <c:f>'Age cohorts - charts'!$B$4:$B$32</c:f>
              <c:numCache>
                <c:formatCode>#,##0.0</c:formatCode>
                <c:ptCount val="29"/>
                <c:pt idx="0">
                  <c:v>54</c:v>
                </c:pt>
                <c:pt idx="1">
                  <c:v>52.9</c:v>
                </c:pt>
                <c:pt idx="2">
                  <c:v>52.6</c:v>
                </c:pt>
                <c:pt idx="3">
                  <c:v>50.8</c:v>
                </c:pt>
                <c:pt idx="4">
                  <c:v>46</c:v>
                </c:pt>
                <c:pt idx="5">
                  <c:v>45.8</c:v>
                </c:pt>
                <c:pt idx="6">
                  <c:v>44.8</c:v>
                </c:pt>
                <c:pt idx="7">
                  <c:v>44.5</c:v>
                </c:pt>
                <c:pt idx="8">
                  <c:v>44.2</c:v>
                </c:pt>
                <c:pt idx="9">
                  <c:v>44.1</c:v>
                </c:pt>
                <c:pt idx="10">
                  <c:v>42.6</c:v>
                </c:pt>
                <c:pt idx="11">
                  <c:v>42.1</c:v>
                </c:pt>
                <c:pt idx="12">
                  <c:v>41.5</c:v>
                </c:pt>
                <c:pt idx="13">
                  <c:v>40.299999999999997</c:v>
                </c:pt>
                <c:pt idx="14">
                  <c:v>39.4</c:v>
                </c:pt>
                <c:pt idx="15">
                  <c:v>38.700000000000003</c:v>
                </c:pt>
                <c:pt idx="16">
                  <c:v>38.4</c:v>
                </c:pt>
                <c:pt idx="17">
                  <c:v>38.1</c:v>
                </c:pt>
                <c:pt idx="18">
                  <c:v>37.200000000000003</c:v>
                </c:pt>
                <c:pt idx="19">
                  <c:v>32.1</c:v>
                </c:pt>
                <c:pt idx="20">
                  <c:v>31.9</c:v>
                </c:pt>
                <c:pt idx="21">
                  <c:v>31.4</c:v>
                </c:pt>
                <c:pt idx="22">
                  <c:v>31.3</c:v>
                </c:pt>
                <c:pt idx="23">
                  <c:v>29.9</c:v>
                </c:pt>
                <c:pt idx="24">
                  <c:v>29.9</c:v>
                </c:pt>
                <c:pt idx="25">
                  <c:v>29.8</c:v>
                </c:pt>
                <c:pt idx="26">
                  <c:v>28.4</c:v>
                </c:pt>
                <c:pt idx="27">
                  <c:v>25.4</c:v>
                </c:pt>
                <c:pt idx="28">
                  <c:v>24.2</c:v>
                </c:pt>
              </c:numCache>
            </c:numRef>
          </c:val>
          <c:smooth val="0"/>
          <c:extLst>
            <c:ext xmlns:c16="http://schemas.microsoft.com/office/drawing/2014/chart" uri="{C3380CC4-5D6E-409C-BE32-E72D297353CC}">
              <c16:uniqueId val="{00000001-AB14-4F1C-852F-1034794F5DB7}"/>
            </c:ext>
          </c:extLst>
        </c:ser>
        <c:ser>
          <c:idx val="1"/>
          <c:order val="1"/>
          <c:tx>
            <c:strRef>
              <c:f>'Age cohorts - charts'!$C$3</c:f>
              <c:strCache>
                <c:ptCount val="1"/>
                <c:pt idx="0">
                  <c:v>35-44</c:v>
                </c:pt>
              </c:strCache>
            </c:strRef>
          </c:tx>
          <c:spPr>
            <a:ln>
              <a:noFill/>
            </a:ln>
          </c:spPr>
          <c:marker>
            <c:symbol val="square"/>
            <c:size val="5"/>
            <c:spPr>
              <a:solidFill>
                <a:schemeClr val="tx2">
                  <a:lumMod val="60000"/>
                  <a:lumOff val="40000"/>
                </a:schemeClr>
              </a:solidFill>
              <a:ln>
                <a:noFill/>
              </a:ln>
            </c:spPr>
          </c:marker>
          <c:dPt>
            <c:idx val="18"/>
            <c:marker>
              <c:spPr>
                <a:solidFill>
                  <a:schemeClr val="accent2">
                    <a:lumMod val="60000"/>
                    <a:lumOff val="40000"/>
                  </a:schemeClr>
                </a:solidFill>
                <a:ln>
                  <a:noFill/>
                </a:ln>
              </c:spPr>
            </c:marker>
            <c:bubble3D val="0"/>
            <c:extLst>
              <c:ext xmlns:c16="http://schemas.microsoft.com/office/drawing/2014/chart" uri="{C3380CC4-5D6E-409C-BE32-E72D297353CC}">
                <c16:uniqueId val="{00000002-AB14-4F1C-852F-1034794F5DB7}"/>
              </c:ext>
            </c:extLst>
          </c:dPt>
          <c:cat>
            <c:strRef>
              <c:f>'Age cohorts - charts'!$A$4:$A$32</c:f>
              <c:strCache>
                <c:ptCount val="29"/>
                <c:pt idx="0">
                  <c:v>CY</c:v>
                </c:pt>
                <c:pt idx="1">
                  <c:v>LU</c:v>
                </c:pt>
                <c:pt idx="2">
                  <c:v>LT</c:v>
                </c:pt>
                <c:pt idx="3">
                  <c:v>IE</c:v>
                </c:pt>
                <c:pt idx="4">
                  <c:v>SE</c:v>
                </c:pt>
                <c:pt idx="5">
                  <c:v>UK</c:v>
                </c:pt>
                <c:pt idx="6">
                  <c:v>FR</c:v>
                </c:pt>
                <c:pt idx="7">
                  <c:v>EE</c:v>
                </c:pt>
                <c:pt idx="8">
                  <c:v>BE</c:v>
                </c:pt>
                <c:pt idx="9">
                  <c:v>NL</c:v>
                </c:pt>
                <c:pt idx="10">
                  <c:v>PL</c:v>
                </c:pt>
                <c:pt idx="11">
                  <c:v>DK</c:v>
                </c:pt>
                <c:pt idx="12">
                  <c:v>ES</c:v>
                </c:pt>
                <c:pt idx="13">
                  <c:v>FI</c:v>
                </c:pt>
                <c:pt idx="14">
                  <c:v>LV</c:v>
                </c:pt>
                <c:pt idx="15">
                  <c:v>EL</c:v>
                </c:pt>
                <c:pt idx="16">
                  <c:v>AT</c:v>
                </c:pt>
                <c:pt idx="17">
                  <c:v>SI</c:v>
                </c:pt>
                <c:pt idx="18">
                  <c:v>EU-28</c:v>
                </c:pt>
                <c:pt idx="19">
                  <c:v>HU</c:v>
                </c:pt>
                <c:pt idx="20">
                  <c:v>HR</c:v>
                </c:pt>
                <c:pt idx="21">
                  <c:v>PT</c:v>
                </c:pt>
                <c:pt idx="22">
                  <c:v>BG</c:v>
                </c:pt>
                <c:pt idx="23">
                  <c:v>CZ</c:v>
                </c:pt>
                <c:pt idx="24">
                  <c:v>MT</c:v>
                </c:pt>
                <c:pt idx="25">
                  <c:v>SK</c:v>
                </c:pt>
                <c:pt idx="26">
                  <c:v>DE</c:v>
                </c:pt>
                <c:pt idx="27">
                  <c:v>RO</c:v>
                </c:pt>
                <c:pt idx="28">
                  <c:v>IT</c:v>
                </c:pt>
              </c:strCache>
            </c:strRef>
          </c:cat>
          <c:val>
            <c:numRef>
              <c:f>'Age cohorts - charts'!$C$4:$C$32</c:f>
              <c:numCache>
                <c:formatCode>#,##0.0</c:formatCode>
                <c:ptCount val="29"/>
                <c:pt idx="0">
                  <c:v>44.1</c:v>
                </c:pt>
                <c:pt idx="1">
                  <c:v>55.8</c:v>
                </c:pt>
                <c:pt idx="2">
                  <c:v>37.6</c:v>
                </c:pt>
                <c:pt idx="3">
                  <c:v>49</c:v>
                </c:pt>
                <c:pt idx="4">
                  <c:v>46.1</c:v>
                </c:pt>
                <c:pt idx="5">
                  <c:v>45.7</c:v>
                </c:pt>
                <c:pt idx="6">
                  <c:v>41.8</c:v>
                </c:pt>
                <c:pt idx="7">
                  <c:v>39.200000000000003</c:v>
                </c:pt>
                <c:pt idx="8">
                  <c:v>42.2</c:v>
                </c:pt>
                <c:pt idx="9">
                  <c:v>37.6</c:v>
                </c:pt>
                <c:pt idx="10">
                  <c:v>31.9</c:v>
                </c:pt>
                <c:pt idx="11">
                  <c:v>40.6</c:v>
                </c:pt>
                <c:pt idx="12">
                  <c:v>42.8</c:v>
                </c:pt>
                <c:pt idx="13">
                  <c:v>49.9</c:v>
                </c:pt>
                <c:pt idx="14">
                  <c:v>31.4</c:v>
                </c:pt>
                <c:pt idx="15">
                  <c:v>27.1</c:v>
                </c:pt>
                <c:pt idx="16">
                  <c:v>33.200000000000003</c:v>
                </c:pt>
                <c:pt idx="17">
                  <c:v>34.700000000000003</c:v>
                </c:pt>
                <c:pt idx="18">
                  <c:v>33.4</c:v>
                </c:pt>
                <c:pt idx="19">
                  <c:v>24.5</c:v>
                </c:pt>
                <c:pt idx="20">
                  <c:v>24</c:v>
                </c:pt>
                <c:pt idx="21">
                  <c:v>26.4</c:v>
                </c:pt>
                <c:pt idx="22">
                  <c:v>29.5</c:v>
                </c:pt>
                <c:pt idx="23">
                  <c:v>21.2</c:v>
                </c:pt>
                <c:pt idx="24">
                  <c:v>24.9</c:v>
                </c:pt>
                <c:pt idx="25">
                  <c:v>20.7</c:v>
                </c:pt>
                <c:pt idx="26">
                  <c:v>28.5</c:v>
                </c:pt>
                <c:pt idx="27">
                  <c:v>17.100000000000001</c:v>
                </c:pt>
                <c:pt idx="28">
                  <c:v>19.399999999999999</c:v>
                </c:pt>
              </c:numCache>
            </c:numRef>
          </c:val>
          <c:smooth val="0"/>
          <c:extLst>
            <c:ext xmlns:c16="http://schemas.microsoft.com/office/drawing/2014/chart" uri="{C3380CC4-5D6E-409C-BE32-E72D297353CC}">
              <c16:uniqueId val="{00000003-AB14-4F1C-852F-1034794F5DB7}"/>
            </c:ext>
          </c:extLst>
        </c:ser>
        <c:ser>
          <c:idx val="2"/>
          <c:order val="2"/>
          <c:tx>
            <c:strRef>
              <c:f>'Age cohorts - charts'!$D$3</c:f>
              <c:strCache>
                <c:ptCount val="1"/>
                <c:pt idx="0">
                  <c:v>45-54</c:v>
                </c:pt>
              </c:strCache>
            </c:strRef>
          </c:tx>
          <c:spPr>
            <a:ln>
              <a:noFill/>
            </a:ln>
          </c:spPr>
          <c:marker>
            <c:symbol val="circle"/>
            <c:size val="5"/>
            <c:spPr>
              <a:solidFill>
                <a:schemeClr val="tx2">
                  <a:lumMod val="75000"/>
                </a:schemeClr>
              </a:solidFill>
              <a:ln>
                <a:noFill/>
              </a:ln>
            </c:spPr>
          </c:marker>
          <c:dPt>
            <c:idx val="18"/>
            <c:marker>
              <c:spPr>
                <a:solidFill>
                  <a:schemeClr val="accent2">
                    <a:lumMod val="75000"/>
                  </a:schemeClr>
                </a:solidFill>
                <a:ln>
                  <a:noFill/>
                </a:ln>
              </c:spPr>
            </c:marker>
            <c:bubble3D val="0"/>
            <c:extLst>
              <c:ext xmlns:c16="http://schemas.microsoft.com/office/drawing/2014/chart" uri="{C3380CC4-5D6E-409C-BE32-E72D297353CC}">
                <c16:uniqueId val="{00000004-AB14-4F1C-852F-1034794F5DB7}"/>
              </c:ext>
            </c:extLst>
          </c:dPt>
          <c:cat>
            <c:strRef>
              <c:f>'Age cohorts - charts'!$A$4:$A$32</c:f>
              <c:strCache>
                <c:ptCount val="29"/>
                <c:pt idx="0">
                  <c:v>CY</c:v>
                </c:pt>
                <c:pt idx="1">
                  <c:v>LU</c:v>
                </c:pt>
                <c:pt idx="2">
                  <c:v>LT</c:v>
                </c:pt>
                <c:pt idx="3">
                  <c:v>IE</c:v>
                </c:pt>
                <c:pt idx="4">
                  <c:v>SE</c:v>
                </c:pt>
                <c:pt idx="5">
                  <c:v>UK</c:v>
                </c:pt>
                <c:pt idx="6">
                  <c:v>FR</c:v>
                </c:pt>
                <c:pt idx="7">
                  <c:v>EE</c:v>
                </c:pt>
                <c:pt idx="8">
                  <c:v>BE</c:v>
                </c:pt>
                <c:pt idx="9">
                  <c:v>NL</c:v>
                </c:pt>
                <c:pt idx="10">
                  <c:v>PL</c:v>
                </c:pt>
                <c:pt idx="11">
                  <c:v>DK</c:v>
                </c:pt>
                <c:pt idx="12">
                  <c:v>ES</c:v>
                </c:pt>
                <c:pt idx="13">
                  <c:v>FI</c:v>
                </c:pt>
                <c:pt idx="14">
                  <c:v>LV</c:v>
                </c:pt>
                <c:pt idx="15">
                  <c:v>EL</c:v>
                </c:pt>
                <c:pt idx="16">
                  <c:v>AT</c:v>
                </c:pt>
                <c:pt idx="17">
                  <c:v>SI</c:v>
                </c:pt>
                <c:pt idx="18">
                  <c:v>EU-28</c:v>
                </c:pt>
                <c:pt idx="19">
                  <c:v>HU</c:v>
                </c:pt>
                <c:pt idx="20">
                  <c:v>HR</c:v>
                </c:pt>
                <c:pt idx="21">
                  <c:v>PT</c:v>
                </c:pt>
                <c:pt idx="22">
                  <c:v>BG</c:v>
                </c:pt>
                <c:pt idx="23">
                  <c:v>CZ</c:v>
                </c:pt>
                <c:pt idx="24">
                  <c:v>MT</c:v>
                </c:pt>
                <c:pt idx="25">
                  <c:v>SK</c:v>
                </c:pt>
                <c:pt idx="26">
                  <c:v>DE</c:v>
                </c:pt>
                <c:pt idx="27">
                  <c:v>RO</c:v>
                </c:pt>
                <c:pt idx="28">
                  <c:v>IT</c:v>
                </c:pt>
              </c:strCache>
            </c:strRef>
          </c:cat>
          <c:val>
            <c:numRef>
              <c:f>'Age cohorts - charts'!$D$4:$D$32</c:f>
              <c:numCache>
                <c:formatCode>#,##0.0</c:formatCode>
                <c:ptCount val="29"/>
                <c:pt idx="0">
                  <c:v>31.4</c:v>
                </c:pt>
                <c:pt idx="1">
                  <c:v>39.700000000000003</c:v>
                </c:pt>
                <c:pt idx="2">
                  <c:v>30.2</c:v>
                </c:pt>
                <c:pt idx="3">
                  <c:v>34.200000000000003</c:v>
                </c:pt>
                <c:pt idx="4">
                  <c:v>32.299999999999997</c:v>
                </c:pt>
                <c:pt idx="5">
                  <c:v>36.700000000000003</c:v>
                </c:pt>
                <c:pt idx="6">
                  <c:v>26.7</c:v>
                </c:pt>
                <c:pt idx="7">
                  <c:v>35.200000000000003</c:v>
                </c:pt>
                <c:pt idx="8">
                  <c:v>34.5</c:v>
                </c:pt>
                <c:pt idx="9">
                  <c:v>30.1</c:v>
                </c:pt>
                <c:pt idx="10">
                  <c:v>18.2</c:v>
                </c:pt>
                <c:pt idx="11">
                  <c:v>32.6</c:v>
                </c:pt>
                <c:pt idx="12">
                  <c:v>30.2</c:v>
                </c:pt>
                <c:pt idx="13">
                  <c:v>43.7</c:v>
                </c:pt>
                <c:pt idx="14">
                  <c:v>26.7</c:v>
                </c:pt>
                <c:pt idx="15">
                  <c:v>25.6</c:v>
                </c:pt>
                <c:pt idx="16">
                  <c:v>26.5</c:v>
                </c:pt>
                <c:pt idx="17">
                  <c:v>24.3</c:v>
                </c:pt>
                <c:pt idx="18">
                  <c:v>25.3</c:v>
                </c:pt>
                <c:pt idx="19">
                  <c:v>20.3</c:v>
                </c:pt>
                <c:pt idx="20">
                  <c:v>15.6</c:v>
                </c:pt>
                <c:pt idx="21">
                  <c:v>16.600000000000001</c:v>
                </c:pt>
                <c:pt idx="22">
                  <c:v>24.3</c:v>
                </c:pt>
                <c:pt idx="23">
                  <c:v>19.600000000000001</c:v>
                </c:pt>
                <c:pt idx="24">
                  <c:v>13.3</c:v>
                </c:pt>
                <c:pt idx="25">
                  <c:v>15.3</c:v>
                </c:pt>
                <c:pt idx="26">
                  <c:v>26.2</c:v>
                </c:pt>
                <c:pt idx="27">
                  <c:v>12</c:v>
                </c:pt>
                <c:pt idx="28">
                  <c:v>12.9</c:v>
                </c:pt>
              </c:numCache>
            </c:numRef>
          </c:val>
          <c:smooth val="0"/>
          <c:extLst>
            <c:ext xmlns:c16="http://schemas.microsoft.com/office/drawing/2014/chart" uri="{C3380CC4-5D6E-409C-BE32-E72D297353CC}">
              <c16:uniqueId val="{00000005-AB14-4F1C-852F-1034794F5DB7}"/>
            </c:ext>
          </c:extLst>
        </c:ser>
        <c:ser>
          <c:idx val="3"/>
          <c:order val="3"/>
          <c:tx>
            <c:strRef>
              <c:f>'Age cohorts - charts'!$E$3</c:f>
              <c:strCache>
                <c:ptCount val="1"/>
                <c:pt idx="0">
                  <c:v>55-64</c:v>
                </c:pt>
              </c:strCache>
            </c:strRef>
          </c:tx>
          <c:spPr>
            <a:ln>
              <a:noFill/>
            </a:ln>
          </c:spPr>
          <c:marker>
            <c:symbol val="triangle"/>
            <c:size val="5"/>
            <c:spPr>
              <a:solidFill>
                <a:schemeClr val="tx2">
                  <a:lumMod val="50000"/>
                </a:schemeClr>
              </a:solidFill>
              <a:ln>
                <a:noFill/>
              </a:ln>
            </c:spPr>
          </c:marker>
          <c:dPt>
            <c:idx val="18"/>
            <c:marker>
              <c:spPr>
                <a:solidFill>
                  <a:schemeClr val="accent2">
                    <a:lumMod val="50000"/>
                  </a:schemeClr>
                </a:solidFill>
                <a:ln>
                  <a:noFill/>
                </a:ln>
              </c:spPr>
            </c:marker>
            <c:bubble3D val="0"/>
            <c:extLst>
              <c:ext xmlns:c16="http://schemas.microsoft.com/office/drawing/2014/chart" uri="{C3380CC4-5D6E-409C-BE32-E72D297353CC}">
                <c16:uniqueId val="{00000006-AB14-4F1C-852F-1034794F5DB7}"/>
              </c:ext>
            </c:extLst>
          </c:dPt>
          <c:cat>
            <c:strRef>
              <c:f>'Age cohorts - charts'!$A$4:$A$32</c:f>
              <c:strCache>
                <c:ptCount val="29"/>
                <c:pt idx="0">
                  <c:v>CY</c:v>
                </c:pt>
                <c:pt idx="1">
                  <c:v>LU</c:v>
                </c:pt>
                <c:pt idx="2">
                  <c:v>LT</c:v>
                </c:pt>
                <c:pt idx="3">
                  <c:v>IE</c:v>
                </c:pt>
                <c:pt idx="4">
                  <c:v>SE</c:v>
                </c:pt>
                <c:pt idx="5">
                  <c:v>UK</c:v>
                </c:pt>
                <c:pt idx="6">
                  <c:v>FR</c:v>
                </c:pt>
                <c:pt idx="7">
                  <c:v>EE</c:v>
                </c:pt>
                <c:pt idx="8">
                  <c:v>BE</c:v>
                </c:pt>
                <c:pt idx="9">
                  <c:v>NL</c:v>
                </c:pt>
                <c:pt idx="10">
                  <c:v>PL</c:v>
                </c:pt>
                <c:pt idx="11">
                  <c:v>DK</c:v>
                </c:pt>
                <c:pt idx="12">
                  <c:v>ES</c:v>
                </c:pt>
                <c:pt idx="13">
                  <c:v>FI</c:v>
                </c:pt>
                <c:pt idx="14">
                  <c:v>LV</c:v>
                </c:pt>
                <c:pt idx="15">
                  <c:v>EL</c:v>
                </c:pt>
                <c:pt idx="16">
                  <c:v>AT</c:v>
                </c:pt>
                <c:pt idx="17">
                  <c:v>SI</c:v>
                </c:pt>
                <c:pt idx="18">
                  <c:v>EU-28</c:v>
                </c:pt>
                <c:pt idx="19">
                  <c:v>HU</c:v>
                </c:pt>
                <c:pt idx="20">
                  <c:v>HR</c:v>
                </c:pt>
                <c:pt idx="21">
                  <c:v>PT</c:v>
                </c:pt>
                <c:pt idx="22">
                  <c:v>BG</c:v>
                </c:pt>
                <c:pt idx="23">
                  <c:v>CZ</c:v>
                </c:pt>
                <c:pt idx="24">
                  <c:v>MT</c:v>
                </c:pt>
                <c:pt idx="25">
                  <c:v>SK</c:v>
                </c:pt>
                <c:pt idx="26">
                  <c:v>DE</c:v>
                </c:pt>
                <c:pt idx="27">
                  <c:v>RO</c:v>
                </c:pt>
                <c:pt idx="28">
                  <c:v>IT</c:v>
                </c:pt>
              </c:strCache>
            </c:strRef>
          </c:cat>
          <c:val>
            <c:numRef>
              <c:f>'Age cohorts - charts'!$E$4:$E$32</c:f>
              <c:numCache>
                <c:formatCode>#,##0.0</c:formatCode>
                <c:ptCount val="29"/>
                <c:pt idx="0">
                  <c:v>25.6</c:v>
                </c:pt>
                <c:pt idx="1">
                  <c:v>31.7</c:v>
                </c:pt>
                <c:pt idx="2">
                  <c:v>27.6</c:v>
                </c:pt>
                <c:pt idx="3">
                  <c:v>24.3</c:v>
                </c:pt>
                <c:pt idx="4">
                  <c:v>29.9</c:v>
                </c:pt>
                <c:pt idx="5">
                  <c:v>33.1</c:v>
                </c:pt>
                <c:pt idx="6">
                  <c:v>21.6</c:v>
                </c:pt>
                <c:pt idx="7">
                  <c:v>35.9</c:v>
                </c:pt>
                <c:pt idx="8">
                  <c:v>26.3</c:v>
                </c:pt>
                <c:pt idx="9">
                  <c:v>27.1</c:v>
                </c:pt>
                <c:pt idx="10">
                  <c:v>13.6</c:v>
                </c:pt>
                <c:pt idx="11">
                  <c:v>29.1</c:v>
                </c:pt>
                <c:pt idx="12">
                  <c:v>21.2</c:v>
                </c:pt>
                <c:pt idx="13">
                  <c:v>34.200000000000003</c:v>
                </c:pt>
                <c:pt idx="14">
                  <c:v>23</c:v>
                </c:pt>
                <c:pt idx="15">
                  <c:v>21.1</c:v>
                </c:pt>
                <c:pt idx="16">
                  <c:v>21.3</c:v>
                </c:pt>
                <c:pt idx="17">
                  <c:v>17.899999999999999</c:v>
                </c:pt>
                <c:pt idx="18">
                  <c:v>21.4</c:v>
                </c:pt>
                <c:pt idx="19">
                  <c:v>16.899999999999999</c:v>
                </c:pt>
                <c:pt idx="20">
                  <c:v>14.9</c:v>
                </c:pt>
                <c:pt idx="21">
                  <c:v>12.8</c:v>
                </c:pt>
                <c:pt idx="22">
                  <c:v>22.9</c:v>
                </c:pt>
                <c:pt idx="23">
                  <c:v>15.1</c:v>
                </c:pt>
                <c:pt idx="24">
                  <c:v>9.1999999999999993</c:v>
                </c:pt>
                <c:pt idx="25">
                  <c:v>13.9</c:v>
                </c:pt>
                <c:pt idx="26">
                  <c:v>25.5</c:v>
                </c:pt>
                <c:pt idx="27">
                  <c:v>8.5</c:v>
                </c:pt>
                <c:pt idx="28">
                  <c:v>12.3</c:v>
                </c:pt>
              </c:numCache>
            </c:numRef>
          </c:val>
          <c:smooth val="0"/>
          <c:extLst>
            <c:ext xmlns:c16="http://schemas.microsoft.com/office/drawing/2014/chart" uri="{C3380CC4-5D6E-409C-BE32-E72D297353CC}">
              <c16:uniqueId val="{00000007-AB14-4F1C-852F-1034794F5DB7}"/>
            </c:ext>
          </c:extLst>
        </c:ser>
        <c:dLbls>
          <c:showLegendKey val="0"/>
          <c:showVal val="0"/>
          <c:showCatName val="0"/>
          <c:showSerName val="0"/>
          <c:showPercent val="0"/>
          <c:showBubbleSize val="0"/>
        </c:dLbls>
        <c:marker val="1"/>
        <c:smooth val="0"/>
        <c:axId val="355592208"/>
        <c:axId val="355594560"/>
      </c:lineChart>
      <c:catAx>
        <c:axId val="355592208"/>
        <c:scaling>
          <c:orientation val="minMax"/>
        </c:scaling>
        <c:delete val="0"/>
        <c:axPos val="b"/>
        <c:majorGridlines>
          <c:spPr>
            <a:ln>
              <a:solidFill>
                <a:schemeClr val="bg1">
                  <a:lumMod val="85000"/>
                </a:schemeClr>
              </a:solidFill>
              <a:prstDash val="sysDash"/>
            </a:ln>
          </c:spPr>
        </c:majorGridlines>
        <c:numFmt formatCode="General" sourceLinked="1"/>
        <c:majorTickMark val="in"/>
        <c:minorTickMark val="none"/>
        <c:tickLblPos val="nextTo"/>
        <c:spPr>
          <a:ln>
            <a:solidFill>
              <a:schemeClr val="tx1"/>
            </a:solidFill>
          </a:ln>
        </c:spPr>
        <c:crossAx val="355594560"/>
        <c:crosses val="autoZero"/>
        <c:auto val="1"/>
        <c:lblAlgn val="ctr"/>
        <c:lblOffset val="100"/>
        <c:noMultiLvlLbl val="0"/>
      </c:catAx>
      <c:valAx>
        <c:axId val="355594560"/>
        <c:scaling>
          <c:orientation val="minMax"/>
        </c:scaling>
        <c:delete val="0"/>
        <c:axPos val="l"/>
        <c:majorGridlines/>
        <c:numFmt formatCode="#,##0" sourceLinked="0"/>
        <c:majorTickMark val="in"/>
        <c:minorTickMark val="none"/>
        <c:tickLblPos val="nextTo"/>
        <c:spPr>
          <a:ln>
            <a:solidFill>
              <a:schemeClr val="tx1"/>
            </a:solidFill>
          </a:ln>
        </c:spPr>
        <c:crossAx val="355592208"/>
        <c:crosses val="autoZero"/>
        <c:crossBetween val="between"/>
        <c:majorUnit val="10"/>
      </c:valAx>
    </c:plotArea>
    <c:legend>
      <c:legendPos val="t"/>
      <c:layout>
        <c:manualLayout>
          <c:xMode val="edge"/>
          <c:yMode val="edge"/>
          <c:x val="0.23811853379364836"/>
          <c:y val="7.9807724416127379E-2"/>
          <c:w val="0.3490029062219428"/>
          <c:h val="5.5517676543253763E-2"/>
        </c:manualLayout>
      </c:layout>
      <c:overlay val="1"/>
    </c:legend>
    <c:plotVisOnly val="1"/>
    <c:dispBlanksAs val="gap"/>
    <c:showDLblsOverMax val="0"/>
  </c:chart>
  <c:spPr>
    <a:ln>
      <a:noFill/>
    </a:ln>
  </c:sp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5265216164919277E-2"/>
          <c:y val="4.5326935429667724E-2"/>
          <c:w val="0.92696613742954259"/>
          <c:h val="0.77496937882764649"/>
        </c:manualLayout>
      </c:layout>
      <c:barChart>
        <c:barDir val="col"/>
        <c:grouping val="clustered"/>
        <c:varyColors val="0"/>
        <c:ser>
          <c:idx val="0"/>
          <c:order val="0"/>
          <c:tx>
            <c:strRef>
              <c:f>'Tertiary - charts'!$I$74</c:f>
              <c:strCache>
                <c:ptCount val="1"/>
                <c:pt idx="0">
                  <c:v>25/55</c:v>
                </c:pt>
              </c:strCache>
            </c:strRef>
          </c:tx>
          <c:spPr>
            <a:solidFill>
              <a:schemeClr val="tx2"/>
            </a:solidFill>
          </c:spPr>
          <c:invertIfNegative val="0"/>
          <c:dPt>
            <c:idx val="9"/>
            <c:invertIfNegative val="0"/>
            <c:bubble3D val="0"/>
            <c:extLst>
              <c:ext xmlns:c16="http://schemas.microsoft.com/office/drawing/2014/chart" uri="{C3380CC4-5D6E-409C-BE32-E72D297353CC}">
                <c16:uniqueId val="{00000000-CBC4-4088-9C53-368272953D03}"/>
              </c:ext>
            </c:extLst>
          </c:dPt>
          <c:dPt>
            <c:idx val="19"/>
            <c:invertIfNegative val="0"/>
            <c:bubble3D val="0"/>
            <c:spPr>
              <a:solidFill>
                <a:srgbClr val="C00000"/>
              </a:solidFill>
            </c:spPr>
            <c:extLst>
              <c:ext xmlns:c16="http://schemas.microsoft.com/office/drawing/2014/chart" uri="{C3380CC4-5D6E-409C-BE32-E72D297353CC}">
                <c16:uniqueId val="{00000002-CBC4-4088-9C53-368272953D03}"/>
              </c:ext>
            </c:extLst>
          </c:dPt>
          <c:dLbls>
            <c:numFmt formatCode="#,##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'Tertiary - charts'!$A$75:$A$103</c:f>
              <c:strCache>
                <c:ptCount val="29"/>
                <c:pt idx="0">
                  <c:v>PL</c:v>
                </c:pt>
                <c:pt idx="1">
                  <c:v>CY</c:v>
                </c:pt>
                <c:pt idx="2">
                  <c:v>IE</c:v>
                </c:pt>
                <c:pt idx="3">
                  <c:v>LT</c:v>
                </c:pt>
                <c:pt idx="4">
                  <c:v>FR</c:v>
                </c:pt>
                <c:pt idx="5">
                  <c:v>LU</c:v>
                </c:pt>
                <c:pt idx="6">
                  <c:v>MT</c:v>
                </c:pt>
                <c:pt idx="7">
                  <c:v>ES</c:v>
                </c:pt>
                <c:pt idx="8">
                  <c:v>SI</c:v>
                </c:pt>
                <c:pt idx="9">
                  <c:v>PT</c:v>
                </c:pt>
                <c:pt idx="10">
                  <c:v>BE</c:v>
                </c:pt>
                <c:pt idx="11">
                  <c:v>EL</c:v>
                </c:pt>
                <c:pt idx="12">
                  <c:v>AT</c:v>
                </c:pt>
                <c:pt idx="13">
                  <c:v>NL</c:v>
                </c:pt>
                <c:pt idx="14">
                  <c:v>HR</c:v>
                </c:pt>
                <c:pt idx="15">
                  <c:v>RO</c:v>
                </c:pt>
                <c:pt idx="16">
                  <c:v>LV</c:v>
                </c:pt>
                <c:pt idx="17">
                  <c:v>SE</c:v>
                </c:pt>
                <c:pt idx="18">
                  <c:v>SK</c:v>
                </c:pt>
                <c:pt idx="19">
                  <c:v>EU-28</c:v>
                </c:pt>
                <c:pt idx="20">
                  <c:v>HU</c:v>
                </c:pt>
                <c:pt idx="21">
                  <c:v>CZ</c:v>
                </c:pt>
                <c:pt idx="22">
                  <c:v>DK</c:v>
                </c:pt>
                <c:pt idx="23">
                  <c:v>UK</c:v>
                </c:pt>
                <c:pt idx="24">
                  <c:v>IT</c:v>
                </c:pt>
                <c:pt idx="25">
                  <c:v>EE</c:v>
                </c:pt>
                <c:pt idx="26">
                  <c:v>BG</c:v>
                </c:pt>
                <c:pt idx="27">
                  <c:v>FI</c:v>
                </c:pt>
                <c:pt idx="28">
                  <c:v>DE</c:v>
                </c:pt>
              </c:strCache>
            </c:strRef>
          </c:cat>
          <c:val>
            <c:numRef>
              <c:f>'Tertiary - charts'!$I$75:$I$103</c:f>
              <c:numCache>
                <c:formatCode>#,##0.0</c:formatCode>
                <c:ptCount val="29"/>
                <c:pt idx="0">
                  <c:v>29</c:v>
                </c:pt>
                <c:pt idx="1">
                  <c:v>28.4</c:v>
                </c:pt>
                <c:pt idx="2">
                  <c:v>26.499999999999996</c:v>
                </c:pt>
                <c:pt idx="3">
                  <c:v>25</c:v>
                </c:pt>
                <c:pt idx="4">
                  <c:v>23.199999999999996</c:v>
                </c:pt>
                <c:pt idx="5">
                  <c:v>21.2</c:v>
                </c:pt>
                <c:pt idx="6">
                  <c:v>20.7</c:v>
                </c:pt>
                <c:pt idx="7">
                  <c:v>20.3</c:v>
                </c:pt>
                <c:pt idx="8">
                  <c:v>20.200000000000003</c:v>
                </c:pt>
                <c:pt idx="9">
                  <c:v>18.599999999999998</c:v>
                </c:pt>
                <c:pt idx="10">
                  <c:v>17.900000000000002</c:v>
                </c:pt>
                <c:pt idx="11">
                  <c:v>17.600000000000001</c:v>
                </c:pt>
                <c:pt idx="12">
                  <c:v>17.099999999999998</c:v>
                </c:pt>
                <c:pt idx="13">
                  <c:v>17</c:v>
                </c:pt>
                <c:pt idx="14">
                  <c:v>17</c:v>
                </c:pt>
                <c:pt idx="15">
                  <c:v>16.899999999999999</c:v>
                </c:pt>
                <c:pt idx="16">
                  <c:v>16.399999999999999</c:v>
                </c:pt>
                <c:pt idx="17">
                  <c:v>16.100000000000001</c:v>
                </c:pt>
                <c:pt idx="18">
                  <c:v>15.9</c:v>
                </c:pt>
                <c:pt idx="19">
                  <c:v>15.800000000000004</c:v>
                </c:pt>
                <c:pt idx="20">
                  <c:v>15.200000000000003</c:v>
                </c:pt>
                <c:pt idx="21">
                  <c:v>14.799999999999999</c:v>
                </c:pt>
                <c:pt idx="22">
                  <c:v>13</c:v>
                </c:pt>
                <c:pt idx="23">
                  <c:v>12.699999999999996</c:v>
                </c:pt>
                <c:pt idx="24">
                  <c:v>11.899999999999999</c:v>
                </c:pt>
                <c:pt idx="25">
                  <c:v>8.6000000000000014</c:v>
                </c:pt>
                <c:pt idx="26">
                  <c:v>8.4000000000000021</c:v>
                </c:pt>
                <c:pt idx="27">
                  <c:v>6.0999999999999943</c:v>
                </c:pt>
                <c:pt idx="28">
                  <c:v>2.8999999999999986</c:v>
                </c:pt>
              </c:numCache>
            </c:numRef>
          </c:val>
          <c:extLst>
            <c:ext xmlns:c16="http://schemas.microsoft.com/office/drawing/2014/chart" uri="{C3380CC4-5D6E-409C-BE32-E72D297353CC}">
              <c16:uniqueId val="{00000003-CBC4-4088-9C53-368272953D03}"/>
            </c:ext>
          </c:extLst>
        </c:ser>
        <c:dLbls>
          <c:showLegendKey val="0"/>
          <c:showVal val="0"/>
          <c:showCatName val="0"/>
          <c:showSerName val="0"/>
          <c:showPercent val="0"/>
          <c:showBubbleSize val="0"/>
        </c:dLbls>
        <c:gapWidth val="30"/>
        <c:axId val="355589464"/>
        <c:axId val="355595344"/>
      </c:barChart>
      <c:catAx>
        <c:axId val="355589464"/>
        <c:scaling>
          <c:orientation val="minMax"/>
        </c:scaling>
        <c:delete val="0"/>
        <c:axPos val="b"/>
        <c:numFmt formatCode="General" sourceLinked="1"/>
        <c:majorTickMark val="in"/>
        <c:minorTickMark val="none"/>
        <c:tickLblPos val="nextTo"/>
        <c:spPr>
          <a:ln>
            <a:solidFill>
              <a:schemeClr val="tx1"/>
            </a:solidFill>
          </a:ln>
        </c:spPr>
        <c:crossAx val="355595344"/>
        <c:crosses val="autoZero"/>
        <c:auto val="1"/>
        <c:lblAlgn val="ctr"/>
        <c:lblOffset val="100"/>
        <c:noMultiLvlLbl val="0"/>
      </c:catAx>
      <c:valAx>
        <c:axId val="355595344"/>
        <c:scaling>
          <c:orientation val="minMax"/>
          <c:max val="35"/>
        </c:scaling>
        <c:delete val="0"/>
        <c:axPos val="l"/>
        <c:majorGridlines>
          <c:spPr>
            <a:ln>
              <a:solidFill>
                <a:schemeClr val="bg1">
                  <a:lumMod val="75000"/>
                </a:schemeClr>
              </a:solidFill>
              <a:prstDash val="dash"/>
            </a:ln>
          </c:spPr>
        </c:majorGridlines>
        <c:numFmt formatCode="#,##0" sourceLinked="0"/>
        <c:majorTickMark val="in"/>
        <c:minorTickMark val="none"/>
        <c:tickLblPos val="nextTo"/>
        <c:spPr>
          <a:ln>
            <a:solidFill>
              <a:schemeClr val="tx1"/>
            </a:solidFill>
          </a:ln>
        </c:spPr>
        <c:crossAx val="355589464"/>
        <c:crosses val="autoZero"/>
        <c:crossBetween val="between"/>
      </c:valAx>
    </c:plotArea>
    <c:plotVisOnly val="1"/>
    <c:dispBlanksAs val="gap"/>
    <c:showDLblsOverMax val="0"/>
  </c:chart>
  <c:spPr>
    <a:ln>
      <a:noFill/>
    </a:ln>
  </c:spPr>
  <c:externalData r:id="rId1">
    <c:autoUpdate val="0"/>
  </c:externalData>
</c:chartSpace>
</file>

<file path=word/drawings/_rels/drawing1.xml.rels><?xml version="1.0" encoding="UTF-8" standalone="yes"?>
<Relationships xmlns="http://schemas.openxmlformats.org/package/2006/relationships"><Relationship Id="rId1" Type="http://schemas.openxmlformats.org/officeDocument/2006/relationships/image" Target="../media/image8.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8.png"/></Relationships>
</file>

<file path=word/drawings/drawing1.xml><?xml version="1.0" encoding="utf-8"?>
<c:userShapes xmlns:c="http://schemas.openxmlformats.org/drawingml/2006/chart">
  <cdr:relSizeAnchor xmlns:cdr="http://schemas.openxmlformats.org/drawingml/2006/chartDrawing">
    <cdr:from>
      <cdr:x>0.91302</cdr:x>
      <cdr:y>0.87012</cdr:y>
    </cdr:from>
    <cdr:to>
      <cdr:x>0.98757</cdr:x>
      <cdr:y>0.91274</cdr:y>
    </cdr:to>
    <cdr:sp macro="" textlink="">
      <cdr:nvSpPr>
        <cdr:cNvPr id="2" name="TextBox 1"/>
        <cdr:cNvSpPr txBox="1"/>
      </cdr:nvSpPr>
      <cdr:spPr>
        <a:xfrm xmlns:a="http://schemas.openxmlformats.org/drawingml/2006/main">
          <a:off x="5094419" y="4698130"/>
          <a:ext cx="415970" cy="230130"/>
        </a:xfrm>
        <a:prstGeom xmlns:a="http://schemas.openxmlformats.org/drawingml/2006/main" prst="rect">
          <a:avLst/>
        </a:prstGeom>
      </cdr:spPr>
      <cdr:txBody>
        <a:bodyPr xmlns:a="http://schemas.openxmlformats.org/drawingml/2006/main" vertOverflow="clip" wrap="none" lIns="0" tIns="0" rIns="0" bIns="0" rtlCol="0">
          <a:noAutofit/>
        </a:bodyPr>
        <a:lstStyle xmlns:a="http://schemas.openxmlformats.org/drawingml/2006/main"/>
        <a:p xmlns:a="http://schemas.openxmlformats.org/drawingml/2006/main">
          <a:r>
            <a:rPr lang="en-US" sz="1000"/>
            <a:t>Percent</a:t>
          </a:r>
        </a:p>
      </cdr:txBody>
    </cdr:sp>
  </cdr:relSizeAnchor>
  <cdr:relSizeAnchor xmlns:cdr="http://schemas.openxmlformats.org/drawingml/2006/chartDrawing">
    <cdr:from>
      <cdr:x>0.08391</cdr:x>
      <cdr:y>0.50163</cdr:y>
    </cdr:from>
    <cdr:to>
      <cdr:x>0.97001</cdr:x>
      <cdr:y>0.53663</cdr:y>
    </cdr:to>
    <cdr:sp macro="" textlink="">
      <cdr:nvSpPr>
        <cdr:cNvPr id="3" name="Rectangle 2"/>
        <cdr:cNvSpPr/>
      </cdr:nvSpPr>
      <cdr:spPr>
        <a:xfrm xmlns:a="http://schemas.openxmlformats.org/drawingml/2006/main">
          <a:off x="498412" y="2618355"/>
          <a:ext cx="5263248" cy="182689"/>
        </a:xfrm>
        <a:prstGeom xmlns:a="http://schemas.openxmlformats.org/drawingml/2006/main" prst="rect">
          <a:avLst/>
        </a:prstGeom>
        <a:noFill xmlns:a="http://schemas.openxmlformats.org/drawingml/2006/main"/>
        <a:ln xmlns:a="http://schemas.openxmlformats.org/drawingml/2006/main" w="63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0.10556</cdr:x>
      <cdr:y>0.92934</cdr:y>
    </cdr:from>
    <cdr:to>
      <cdr:x>0.9681</cdr:x>
      <cdr:y>0.96771</cdr:y>
    </cdr:to>
    <cdr:pic>
      <cdr:nvPicPr>
        <cdr:cNvPr id="4" name="Picture 3"/>
        <cdr:cNvPicPr/>
      </cdr:nvPicPr>
      <cdr:blipFill rotWithShape="1">
        <a:blip xmlns:a="http://schemas.openxmlformats.org/drawingml/2006/main" xmlns:r="http://schemas.openxmlformats.org/officeDocument/2006/relationships" r:embed="rId1">
          <a:extLst>
            <a:ext uri="{28A0092B-C50C-407E-A947-70E740481C1C}">
              <a14:useLocalDpi xmlns:a14="http://schemas.microsoft.com/office/drawing/2010/main" val="0"/>
            </a:ext>
          </a:extLst>
        </a:blip>
        <a:srcRect xmlns:a="http://schemas.openxmlformats.org/drawingml/2006/main" l="6572" t="84981" r="6574" b="11160"/>
        <a:stretch xmlns:a="http://schemas.openxmlformats.org/drawingml/2006/main"/>
      </cdr:blipFill>
      <cdr:spPr bwMode="auto">
        <a:xfrm xmlns:a="http://schemas.openxmlformats.org/drawingml/2006/main">
          <a:off x="588985" y="5017887"/>
          <a:ext cx="4812754" cy="20717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53640926-AAD7-44D8-BBD7-CCE9431645EC}">
            <a14:shadowObscured xmlns:a14="http://schemas.microsoft.com/office/drawing/2010/main"/>
          </a:ext>
        </a:extLst>
      </cdr:spPr>
    </cdr:pic>
  </cdr:relSizeAnchor>
</c:userShapes>
</file>

<file path=word/drawings/drawing10.xml><?xml version="1.0" encoding="utf-8"?>
<c:userShapes xmlns:c="http://schemas.openxmlformats.org/drawingml/2006/chart">
  <cdr:relSizeAnchor xmlns:cdr="http://schemas.openxmlformats.org/drawingml/2006/chartDrawing">
    <cdr:from>
      <cdr:x>0.04878</cdr:x>
      <cdr:y>0.03939</cdr:y>
    </cdr:from>
    <cdr:to>
      <cdr:x>0.30039</cdr:x>
      <cdr:y>0.23939</cdr:y>
    </cdr:to>
    <cdr:sp macro="" textlink="">
      <cdr:nvSpPr>
        <cdr:cNvPr id="4" name="TextBox 3"/>
        <cdr:cNvSpPr txBox="1"/>
      </cdr:nvSpPr>
      <cdr:spPr>
        <a:xfrm xmlns:a="http://schemas.openxmlformats.org/drawingml/2006/main">
          <a:off x="285750" y="123826"/>
          <a:ext cx="1473899" cy="628650"/>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vertOverflow="clip" wrap="square" rtlCol="0" anchor="t"/>
        <a:lstStyle xmlns:a="http://schemas.openxmlformats.org/drawingml/2006/main"/>
        <a:p xmlns:a="http://schemas.openxmlformats.org/drawingml/2006/main">
          <a:pPr algn="l"/>
          <a:r>
            <a:rPr lang="en-GB" sz="1000" b="1"/>
            <a:t>Below</a:t>
          </a:r>
          <a:r>
            <a:rPr lang="en-GB" sz="1000" b="0"/>
            <a:t>-</a:t>
          </a:r>
          <a:r>
            <a:rPr lang="en-GB" sz="1000"/>
            <a:t>average IALS </a:t>
          </a:r>
          <a:r>
            <a:rPr lang="en-GB" sz="1000" baseline="0"/>
            <a:t>   </a:t>
          </a:r>
          <a:r>
            <a:rPr lang="en-GB" sz="1000" b="1" baseline="0"/>
            <a:t>Above</a:t>
          </a:r>
          <a:r>
            <a:rPr lang="en-GB" sz="1000" baseline="0"/>
            <a:t>-average PIAAC (Deterioration)</a:t>
          </a:r>
          <a:endParaRPr lang="en-GB" sz="1000"/>
        </a:p>
      </cdr:txBody>
    </cdr:sp>
  </cdr:relSizeAnchor>
  <cdr:relSizeAnchor xmlns:cdr="http://schemas.openxmlformats.org/drawingml/2006/chartDrawing">
    <cdr:from>
      <cdr:x>0.71509</cdr:x>
      <cdr:y>0.77417</cdr:y>
    </cdr:from>
    <cdr:to>
      <cdr:x>0.96585</cdr:x>
      <cdr:y>0.95151</cdr:y>
    </cdr:to>
    <cdr:sp macro="" textlink="">
      <cdr:nvSpPr>
        <cdr:cNvPr id="5" name="TextBox 1"/>
        <cdr:cNvSpPr txBox="1"/>
      </cdr:nvSpPr>
      <cdr:spPr>
        <a:xfrm xmlns:a="http://schemas.openxmlformats.org/drawingml/2006/main">
          <a:off x="4188930" y="2433424"/>
          <a:ext cx="1468920" cy="557425"/>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Above</a:t>
          </a:r>
          <a:r>
            <a:rPr lang="en-GB" sz="1000" b="0"/>
            <a:t>-</a:t>
          </a:r>
          <a:r>
            <a:rPr lang="en-GB" sz="1000"/>
            <a:t>average IALS </a:t>
          </a:r>
          <a:r>
            <a:rPr lang="en-GB" sz="1000" baseline="0"/>
            <a:t>   </a:t>
          </a:r>
          <a:r>
            <a:rPr lang="en-GB" sz="1000" b="1" baseline="0"/>
            <a:t>Below</a:t>
          </a:r>
          <a:r>
            <a:rPr lang="en-GB" sz="1000" baseline="0"/>
            <a:t>-average PIAAC (Improvement)</a:t>
          </a:r>
          <a:endParaRPr lang="en-GB" sz="1000"/>
        </a:p>
      </cdr:txBody>
    </cdr:sp>
  </cdr:relSizeAnchor>
  <cdr:relSizeAnchor xmlns:cdr="http://schemas.openxmlformats.org/drawingml/2006/chartDrawing">
    <cdr:from>
      <cdr:x>0.71099</cdr:x>
      <cdr:y>0.03939</cdr:y>
    </cdr:from>
    <cdr:to>
      <cdr:x>0.96748</cdr:x>
      <cdr:y>0.22444</cdr:y>
    </cdr:to>
    <cdr:sp macro="" textlink="">
      <cdr:nvSpPr>
        <cdr:cNvPr id="6" name="TextBox 1"/>
        <cdr:cNvSpPr txBox="1"/>
      </cdr:nvSpPr>
      <cdr:spPr>
        <a:xfrm xmlns:a="http://schemas.openxmlformats.org/drawingml/2006/main">
          <a:off x="4164891" y="123825"/>
          <a:ext cx="1502484" cy="581646"/>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Above</a:t>
          </a:r>
          <a:r>
            <a:rPr lang="en-GB" sz="1000" b="0"/>
            <a:t>-</a:t>
          </a:r>
          <a:r>
            <a:rPr lang="en-GB" sz="1000"/>
            <a:t>average IALS </a:t>
          </a:r>
          <a:r>
            <a:rPr lang="en-GB" sz="1000" baseline="0"/>
            <a:t>   </a:t>
          </a:r>
          <a:r>
            <a:rPr lang="en-GB" sz="1000" b="1" baseline="0"/>
            <a:t>Above</a:t>
          </a:r>
          <a:r>
            <a:rPr lang="en-GB" sz="1000" baseline="0"/>
            <a:t>-average PIAAC (No change)</a:t>
          </a:r>
          <a:endParaRPr lang="en-GB" sz="1000"/>
        </a:p>
      </cdr:txBody>
    </cdr:sp>
  </cdr:relSizeAnchor>
  <cdr:relSizeAnchor xmlns:cdr="http://schemas.openxmlformats.org/drawingml/2006/chartDrawing">
    <cdr:from>
      <cdr:x>0.04974</cdr:x>
      <cdr:y>0.77484</cdr:y>
    </cdr:from>
    <cdr:to>
      <cdr:x>0.30957</cdr:x>
      <cdr:y>0.94848</cdr:y>
    </cdr:to>
    <cdr:sp macro="" textlink="">
      <cdr:nvSpPr>
        <cdr:cNvPr id="7" name="TextBox 1"/>
        <cdr:cNvSpPr txBox="1"/>
      </cdr:nvSpPr>
      <cdr:spPr>
        <a:xfrm xmlns:a="http://schemas.openxmlformats.org/drawingml/2006/main">
          <a:off x="291368" y="2435502"/>
          <a:ext cx="1522047" cy="545823"/>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Below</a:t>
          </a:r>
          <a:r>
            <a:rPr lang="en-GB" sz="1000" b="0"/>
            <a:t>-</a:t>
          </a:r>
          <a:r>
            <a:rPr lang="en-GB" sz="1000"/>
            <a:t>average IALS </a:t>
          </a:r>
          <a:r>
            <a:rPr lang="en-GB" sz="1000" baseline="0"/>
            <a:t>   </a:t>
          </a:r>
          <a:r>
            <a:rPr lang="en-GB" sz="1000" b="1" baseline="0"/>
            <a:t>Below</a:t>
          </a:r>
          <a:r>
            <a:rPr lang="en-GB" sz="1000" baseline="0"/>
            <a:t>-average PIAAC </a:t>
          </a:r>
        </a:p>
        <a:p xmlns:a="http://schemas.openxmlformats.org/drawingml/2006/main">
          <a:pPr algn="l"/>
          <a:r>
            <a:rPr lang="en-GB" sz="1000" baseline="0"/>
            <a:t>(No change)</a:t>
          </a:r>
          <a:endParaRPr lang="en-GB" sz="1000"/>
        </a:p>
      </cdr:txBody>
    </cdr:sp>
  </cdr:relSizeAnchor>
  <cdr:relSizeAnchor xmlns:cdr="http://schemas.openxmlformats.org/drawingml/2006/chartDrawing">
    <cdr:from>
      <cdr:x>0.68617</cdr:x>
      <cdr:y>0.25613</cdr:y>
    </cdr:from>
    <cdr:to>
      <cdr:x>0.9265</cdr:x>
      <cdr:y>0.62893</cdr:y>
    </cdr:to>
    <cdr:sp macro="" textlink="">
      <cdr:nvSpPr>
        <cdr:cNvPr id="8" name="Oval 7"/>
        <cdr:cNvSpPr/>
      </cdr:nvSpPr>
      <cdr:spPr>
        <a:xfrm xmlns:a="http://schemas.openxmlformats.org/drawingml/2006/main">
          <a:off x="3132814" y="715617"/>
          <a:ext cx="1097280" cy="1041621"/>
        </a:xfrm>
        <a:prstGeom xmlns:a="http://schemas.openxmlformats.org/drawingml/2006/main" prst="ellipse">
          <a:avLst/>
        </a:prstGeom>
        <a:noFill xmlns:a="http://schemas.openxmlformats.org/drawingml/2006/main"/>
        <a:ln xmlns:a="http://schemas.openxmlformats.org/drawingml/2006/main" w="63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0.19957</cdr:x>
      <cdr:y>0.17087</cdr:y>
    </cdr:from>
    <cdr:to>
      <cdr:x>0.5803</cdr:x>
      <cdr:y>0.83464</cdr:y>
    </cdr:to>
    <cdr:sp macro="" textlink="">
      <cdr:nvSpPr>
        <cdr:cNvPr id="9" name="Oval 8"/>
        <cdr:cNvSpPr/>
      </cdr:nvSpPr>
      <cdr:spPr>
        <a:xfrm xmlns:a="http://schemas.openxmlformats.org/drawingml/2006/main">
          <a:off x="1149390" y="676603"/>
          <a:ext cx="2192796" cy="2628437"/>
        </a:xfrm>
        <a:prstGeom xmlns:a="http://schemas.openxmlformats.org/drawingml/2006/main" prst="ellipse">
          <a:avLst/>
        </a:prstGeom>
        <a:noFill xmlns:a="http://schemas.openxmlformats.org/drawingml/2006/main"/>
        <a:ln xmlns:a="http://schemas.openxmlformats.org/drawingml/2006/main" w="63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userShapes>
</file>

<file path=word/drawings/drawing11.xml><?xml version="1.0" encoding="utf-8"?>
<c:userShapes xmlns:c="http://schemas.openxmlformats.org/drawingml/2006/chart">
  <cdr:relSizeAnchor xmlns:cdr="http://schemas.openxmlformats.org/drawingml/2006/chartDrawing">
    <cdr:from>
      <cdr:x>0.05305</cdr:x>
      <cdr:y>0.04545</cdr:y>
    </cdr:from>
    <cdr:to>
      <cdr:x>0.21865</cdr:x>
      <cdr:y>0.19231</cdr:y>
    </cdr:to>
    <cdr:sp macro="" textlink="">
      <cdr:nvSpPr>
        <cdr:cNvPr id="4" name="TextBox 7"/>
        <cdr:cNvSpPr txBox="1"/>
      </cdr:nvSpPr>
      <cdr:spPr>
        <a:xfrm xmlns:a="http://schemas.openxmlformats.org/drawingml/2006/main">
          <a:off x="314325" y="123825"/>
          <a:ext cx="981075" cy="400050"/>
        </a:xfrm>
        <a:prstGeom xmlns:a="http://schemas.openxmlformats.org/drawingml/2006/main" prst="rect">
          <a:avLst/>
        </a:prstGeom>
        <a:solidFill xmlns:a="http://schemas.openxmlformats.org/drawingml/2006/main">
          <a:schemeClr val="accent3">
            <a:lumMod val="20000"/>
            <a:lumOff val="80000"/>
          </a:schemeClr>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p xmlns:a="http://schemas.openxmlformats.org/drawingml/2006/main">
          <a:r>
            <a:rPr lang="en-GB" sz="1000" b="1"/>
            <a:t>Decrease</a:t>
          </a:r>
        </a:p>
      </cdr:txBody>
    </cdr:sp>
  </cdr:relSizeAnchor>
  <cdr:relSizeAnchor xmlns:cdr="http://schemas.openxmlformats.org/drawingml/2006/chartDrawing">
    <cdr:from>
      <cdr:x>0.80386</cdr:x>
      <cdr:y>0.75524</cdr:y>
    </cdr:from>
    <cdr:to>
      <cdr:x>0.97428</cdr:x>
      <cdr:y>0.88237</cdr:y>
    </cdr:to>
    <cdr:sp macro="" textlink="">
      <cdr:nvSpPr>
        <cdr:cNvPr id="5" name="TextBox 7"/>
        <cdr:cNvSpPr txBox="1"/>
      </cdr:nvSpPr>
      <cdr:spPr>
        <a:xfrm xmlns:a="http://schemas.openxmlformats.org/drawingml/2006/main">
          <a:off x="4629791" y="1829588"/>
          <a:ext cx="981526" cy="307970"/>
        </a:xfrm>
        <a:prstGeom xmlns:a="http://schemas.openxmlformats.org/drawingml/2006/main" prst="rect">
          <a:avLst/>
        </a:prstGeom>
        <a:solidFill xmlns:a="http://schemas.openxmlformats.org/drawingml/2006/main">
          <a:schemeClr val="accent6">
            <a:lumMod val="20000"/>
            <a:lumOff val="80000"/>
          </a:schemeClr>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ctr"/>
        <a:lstStyle xmlns:a="http://schemas.openxmlformats.org/drawingml/2006/main"/>
        <a:p xmlns:a="http://schemas.openxmlformats.org/drawingml/2006/main">
          <a:r>
            <a:rPr lang="en-GB" sz="1000" b="1"/>
            <a:t>Increase</a:t>
          </a:r>
        </a:p>
      </cdr:txBody>
    </cdr:sp>
  </cdr:relSizeAnchor>
</c:userShapes>
</file>

<file path=word/drawings/drawing12.xml><?xml version="1.0" encoding="utf-8"?>
<c:userShapes xmlns:c="http://schemas.openxmlformats.org/drawingml/2006/chart">
  <cdr:relSizeAnchor xmlns:cdr="http://schemas.openxmlformats.org/drawingml/2006/chartDrawing">
    <cdr:from>
      <cdr:x>0.43782</cdr:x>
      <cdr:y>0.02746</cdr:y>
    </cdr:from>
    <cdr:to>
      <cdr:x>0.47639</cdr:x>
      <cdr:y>0.83375</cdr:y>
    </cdr:to>
    <cdr:sp macro="" textlink="">
      <cdr:nvSpPr>
        <cdr:cNvPr id="2" name="Rectangle 1"/>
        <cdr:cNvSpPr/>
      </cdr:nvSpPr>
      <cdr:spPr>
        <a:xfrm xmlns:a="http://schemas.openxmlformats.org/drawingml/2006/main">
          <a:off x="2442950" y="105391"/>
          <a:ext cx="215189" cy="3095009"/>
        </a:xfrm>
        <a:prstGeom xmlns:a="http://schemas.openxmlformats.org/drawingml/2006/main" prst="rect">
          <a:avLst/>
        </a:prstGeom>
        <a:noFill xmlns:a="http://schemas.openxmlformats.org/drawingml/2006/main"/>
        <a:ln xmlns:a="http://schemas.openxmlformats.org/drawingml/2006/main" w="190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userShapes>
</file>

<file path=word/drawings/drawing13.xml><?xml version="1.0" encoding="utf-8"?>
<c:userShapes xmlns:c="http://schemas.openxmlformats.org/drawingml/2006/chart">
  <cdr:relSizeAnchor xmlns:cdr="http://schemas.openxmlformats.org/drawingml/2006/chartDrawing">
    <cdr:from>
      <cdr:x>0.43666</cdr:x>
      <cdr:y>0.034</cdr:y>
    </cdr:from>
    <cdr:to>
      <cdr:x>0.4776</cdr:x>
      <cdr:y>0.83018</cdr:y>
    </cdr:to>
    <cdr:sp macro="" textlink="">
      <cdr:nvSpPr>
        <cdr:cNvPr id="2" name="Rectangle 1"/>
        <cdr:cNvSpPr/>
      </cdr:nvSpPr>
      <cdr:spPr>
        <a:xfrm xmlns:a="http://schemas.openxmlformats.org/drawingml/2006/main">
          <a:off x="2510118" y="134471"/>
          <a:ext cx="235323" cy="3148853"/>
        </a:xfrm>
        <a:prstGeom xmlns:a="http://schemas.openxmlformats.org/drawingml/2006/main" prst="rect">
          <a:avLst/>
        </a:prstGeom>
        <a:noFill xmlns:a="http://schemas.openxmlformats.org/drawingml/2006/main"/>
        <a:ln xmlns:a="http://schemas.openxmlformats.org/drawingml/2006/main" w="190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14.xml><?xml version="1.0" encoding="utf-8"?>
<c:userShapes xmlns:c="http://schemas.openxmlformats.org/drawingml/2006/chart">
  <cdr:relSizeAnchor xmlns:cdr="http://schemas.openxmlformats.org/drawingml/2006/chartDrawing">
    <cdr:from>
      <cdr:x>0.67006</cdr:x>
      <cdr:y>0.26037</cdr:y>
    </cdr:from>
    <cdr:to>
      <cdr:x>0.70116</cdr:x>
      <cdr:y>0.32355</cdr:y>
    </cdr:to>
    <cdr:sp macro="" textlink="">
      <cdr:nvSpPr>
        <cdr:cNvPr id="2" name="TextBox 6"/>
        <cdr:cNvSpPr txBox="1"/>
      </cdr:nvSpPr>
      <cdr:spPr>
        <a:xfrm xmlns:a="http://schemas.openxmlformats.org/drawingml/2006/main">
          <a:off x="3738787" y="702846"/>
          <a:ext cx="173530" cy="170547"/>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GB" sz="1400"/>
            <a:t>*</a:t>
          </a:r>
        </a:p>
      </cdr:txBody>
    </cdr:sp>
  </cdr:relSizeAnchor>
  <cdr:relSizeAnchor xmlns:cdr="http://schemas.openxmlformats.org/drawingml/2006/chartDrawing">
    <cdr:from>
      <cdr:x>0.82742</cdr:x>
      <cdr:y>0.21765</cdr:y>
    </cdr:from>
    <cdr:to>
      <cdr:x>0.85853</cdr:x>
      <cdr:y>0.28084</cdr:y>
    </cdr:to>
    <cdr:sp macro="" textlink="">
      <cdr:nvSpPr>
        <cdr:cNvPr id="4" name="TextBox 6"/>
        <cdr:cNvSpPr txBox="1"/>
      </cdr:nvSpPr>
      <cdr:spPr>
        <a:xfrm xmlns:a="http://schemas.openxmlformats.org/drawingml/2006/main">
          <a:off x="4616786" y="587509"/>
          <a:ext cx="173586" cy="170574"/>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GB" sz="1400"/>
            <a:t>*</a:t>
          </a:r>
        </a:p>
      </cdr:txBody>
    </cdr:sp>
  </cdr:relSizeAnchor>
  <cdr:relSizeAnchor xmlns:cdr="http://schemas.openxmlformats.org/drawingml/2006/chartDrawing">
    <cdr:from>
      <cdr:x>0.88309</cdr:x>
      <cdr:y>0.28983</cdr:y>
    </cdr:from>
    <cdr:to>
      <cdr:x>0.9142</cdr:x>
      <cdr:y>0.35302</cdr:y>
    </cdr:to>
    <cdr:sp macro="" textlink="">
      <cdr:nvSpPr>
        <cdr:cNvPr id="5" name="TextBox 6"/>
        <cdr:cNvSpPr txBox="1"/>
      </cdr:nvSpPr>
      <cdr:spPr>
        <a:xfrm xmlns:a="http://schemas.openxmlformats.org/drawingml/2006/main">
          <a:off x="4927417" y="782374"/>
          <a:ext cx="173586" cy="170574"/>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GB" sz="1400"/>
            <a:t>*</a:t>
          </a:r>
        </a:p>
      </cdr:txBody>
    </cdr:sp>
  </cdr:relSizeAnchor>
</c:userShapes>
</file>

<file path=word/drawings/drawing15.xml><?xml version="1.0" encoding="utf-8"?>
<c:userShapes xmlns:c="http://schemas.openxmlformats.org/drawingml/2006/chart">
  <cdr:relSizeAnchor xmlns:cdr="http://schemas.openxmlformats.org/drawingml/2006/chartDrawing">
    <cdr:from>
      <cdr:x>0.77681</cdr:x>
      <cdr:y>0.29658</cdr:y>
    </cdr:from>
    <cdr:to>
      <cdr:x>0.80792</cdr:x>
      <cdr:y>0.35977</cdr:y>
    </cdr:to>
    <cdr:sp macro="" textlink="">
      <cdr:nvSpPr>
        <cdr:cNvPr id="11" name="TextBox 6"/>
        <cdr:cNvSpPr txBox="1"/>
      </cdr:nvSpPr>
      <cdr:spPr>
        <a:xfrm xmlns:a="http://schemas.openxmlformats.org/drawingml/2006/main">
          <a:off x="4334402" y="800575"/>
          <a:ext cx="173586" cy="170575"/>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GB" sz="1400"/>
            <a:t>*</a:t>
          </a:r>
        </a:p>
      </cdr:txBody>
    </cdr:sp>
  </cdr:relSizeAnchor>
  <cdr:relSizeAnchor xmlns:cdr="http://schemas.openxmlformats.org/drawingml/2006/chartDrawing">
    <cdr:from>
      <cdr:x>0.82603</cdr:x>
      <cdr:y>0.28972</cdr:y>
    </cdr:from>
    <cdr:to>
      <cdr:x>0.85714</cdr:x>
      <cdr:y>0.35291</cdr:y>
    </cdr:to>
    <cdr:sp macro="" textlink="">
      <cdr:nvSpPr>
        <cdr:cNvPr id="12" name="TextBox 6"/>
        <cdr:cNvSpPr txBox="1"/>
      </cdr:nvSpPr>
      <cdr:spPr>
        <a:xfrm xmlns:a="http://schemas.openxmlformats.org/drawingml/2006/main">
          <a:off x="4609014" y="782073"/>
          <a:ext cx="173586" cy="170574"/>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GB" sz="1400"/>
            <a:t>*</a:t>
          </a:r>
        </a:p>
      </cdr:txBody>
    </cdr:sp>
  </cdr:relSizeAnchor>
  <cdr:relSizeAnchor xmlns:cdr="http://schemas.openxmlformats.org/drawingml/2006/chartDrawing">
    <cdr:from>
      <cdr:x>0.87884</cdr:x>
      <cdr:y>0.27293</cdr:y>
    </cdr:from>
    <cdr:to>
      <cdr:x>0.90995</cdr:x>
      <cdr:y>0.33612</cdr:y>
    </cdr:to>
    <cdr:sp macro="" textlink="">
      <cdr:nvSpPr>
        <cdr:cNvPr id="13" name="TextBox 6"/>
        <cdr:cNvSpPr txBox="1"/>
      </cdr:nvSpPr>
      <cdr:spPr>
        <a:xfrm xmlns:a="http://schemas.openxmlformats.org/drawingml/2006/main">
          <a:off x="4903680" y="736743"/>
          <a:ext cx="173586" cy="170574"/>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GB" sz="1400"/>
            <a:t>*</a:t>
          </a:r>
        </a:p>
      </cdr:txBody>
    </cdr:sp>
  </cdr:relSizeAnchor>
  <cdr:relSizeAnchor xmlns:cdr="http://schemas.openxmlformats.org/drawingml/2006/chartDrawing">
    <cdr:from>
      <cdr:x>0.92892</cdr:x>
      <cdr:y>0.26328</cdr:y>
    </cdr:from>
    <cdr:to>
      <cdr:x>0.96003</cdr:x>
      <cdr:y>0.32647</cdr:y>
    </cdr:to>
    <cdr:sp macro="" textlink="">
      <cdr:nvSpPr>
        <cdr:cNvPr id="14" name="TextBox 6"/>
        <cdr:cNvSpPr txBox="1"/>
      </cdr:nvSpPr>
      <cdr:spPr>
        <a:xfrm xmlns:a="http://schemas.openxmlformats.org/drawingml/2006/main">
          <a:off x="5183163" y="710686"/>
          <a:ext cx="173586" cy="170574"/>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GB" sz="1400"/>
            <a:t>*</a:t>
          </a:r>
        </a:p>
      </cdr:txBody>
    </cdr:sp>
  </cdr:relSizeAnchor>
</c:userShapes>
</file>

<file path=word/drawings/drawing16.xml><?xml version="1.0" encoding="utf-8"?>
<c:userShapes xmlns:c="http://schemas.openxmlformats.org/drawingml/2006/chart">
  <cdr:relSizeAnchor xmlns:cdr="http://schemas.openxmlformats.org/drawingml/2006/chartDrawing">
    <cdr:from>
      <cdr:x>0.08761</cdr:x>
      <cdr:y>0.09464</cdr:y>
    </cdr:from>
    <cdr:to>
      <cdr:x>0.90634</cdr:x>
      <cdr:y>0.86773</cdr:y>
    </cdr:to>
    <cdr:cxnSp macro="">
      <cdr:nvCxnSpPr>
        <cdr:cNvPr id="3" name="Straight Connector 2"/>
        <cdr:cNvCxnSpPr/>
      </cdr:nvCxnSpPr>
      <cdr:spPr>
        <a:xfrm xmlns:a="http://schemas.openxmlformats.org/drawingml/2006/main" flipV="1">
          <a:off x="552450" y="395289"/>
          <a:ext cx="5162550" cy="322897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0.08761</cdr:x>
      <cdr:y>0.09464</cdr:y>
    </cdr:from>
    <cdr:to>
      <cdr:x>0.90634</cdr:x>
      <cdr:y>0.86773</cdr:y>
    </cdr:to>
    <cdr:cxnSp macro="">
      <cdr:nvCxnSpPr>
        <cdr:cNvPr id="13" name="Straight Connector 2"/>
        <cdr:cNvCxnSpPr/>
      </cdr:nvCxnSpPr>
      <cdr:spPr>
        <a:xfrm xmlns:a="http://schemas.openxmlformats.org/drawingml/2006/main" flipV="1">
          <a:off x="552450" y="395289"/>
          <a:ext cx="5162550" cy="322897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0.08761</cdr:x>
      <cdr:y>0.09464</cdr:y>
    </cdr:from>
    <cdr:to>
      <cdr:x>0.90634</cdr:x>
      <cdr:y>0.86773</cdr:y>
    </cdr:to>
    <cdr:cxnSp macro="">
      <cdr:nvCxnSpPr>
        <cdr:cNvPr id="15" name="Straight Connector 2"/>
        <cdr:cNvCxnSpPr/>
      </cdr:nvCxnSpPr>
      <cdr:spPr>
        <a:xfrm xmlns:a="http://schemas.openxmlformats.org/drawingml/2006/main" flipV="1">
          <a:off x="552450" y="395289"/>
          <a:ext cx="5162550" cy="322897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0.08761</cdr:x>
      <cdr:y>0.09464</cdr:y>
    </cdr:from>
    <cdr:to>
      <cdr:x>0.90634</cdr:x>
      <cdr:y>0.86773</cdr:y>
    </cdr:to>
    <cdr:cxnSp macro="">
      <cdr:nvCxnSpPr>
        <cdr:cNvPr id="17" name="Straight Connector 2"/>
        <cdr:cNvCxnSpPr/>
      </cdr:nvCxnSpPr>
      <cdr:spPr>
        <a:xfrm xmlns:a="http://schemas.openxmlformats.org/drawingml/2006/main" flipV="1">
          <a:off x="552450" y="395289"/>
          <a:ext cx="5162550" cy="322897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0.2719</cdr:x>
      <cdr:y>0.6739</cdr:y>
    </cdr:from>
    <cdr:to>
      <cdr:x>0.35196</cdr:x>
      <cdr:y>0.75599</cdr:y>
    </cdr:to>
    <cdr:sp macro="" textlink="">
      <cdr:nvSpPr>
        <cdr:cNvPr id="19" name="TextBox 18"/>
        <cdr:cNvSpPr txBox="1"/>
      </cdr:nvSpPr>
      <cdr:spPr>
        <a:xfrm xmlns:a="http://schemas.openxmlformats.org/drawingml/2006/main">
          <a:off x="1714483" y="2813599"/>
          <a:ext cx="504822" cy="34273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GB" sz="1100"/>
            <a:t>ES</a:t>
          </a:r>
        </a:p>
      </cdr:txBody>
    </cdr:sp>
  </cdr:relSizeAnchor>
  <cdr:relSizeAnchor xmlns:cdr="http://schemas.openxmlformats.org/drawingml/2006/chartDrawing">
    <cdr:from>
      <cdr:x>0.25785</cdr:x>
      <cdr:y>0.67457</cdr:y>
    </cdr:from>
    <cdr:to>
      <cdr:x>0.26663</cdr:x>
      <cdr:y>0.70134</cdr:y>
    </cdr:to>
    <cdr:cxnSp macro="">
      <cdr:nvCxnSpPr>
        <cdr:cNvPr id="25" name="Straight Connector 24"/>
        <cdr:cNvCxnSpPr/>
      </cdr:nvCxnSpPr>
      <cdr:spPr>
        <a:xfrm xmlns:a="http://schemas.openxmlformats.org/drawingml/2006/main" flipV="1">
          <a:off x="1630362" y="2800352"/>
          <a:ext cx="55563" cy="11112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0.59269</cdr:x>
      <cdr:y>0.25621</cdr:y>
    </cdr:from>
    <cdr:to>
      <cdr:x>0.6065</cdr:x>
      <cdr:y>0.27227</cdr:y>
    </cdr:to>
    <cdr:cxnSp macro="">
      <cdr:nvCxnSpPr>
        <cdr:cNvPr id="31" name="Straight Connector 30"/>
        <cdr:cNvCxnSpPr/>
      </cdr:nvCxnSpPr>
      <cdr:spPr>
        <a:xfrm xmlns:a="http://schemas.openxmlformats.org/drawingml/2006/main">
          <a:off x="3737213" y="1069713"/>
          <a:ext cx="87080" cy="67053"/>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0.26412</cdr:x>
      <cdr:y>0.70707</cdr:y>
    </cdr:from>
    <cdr:to>
      <cdr:x>0.27793</cdr:x>
      <cdr:y>0.7109</cdr:y>
    </cdr:to>
    <cdr:cxnSp macro="">
      <cdr:nvCxnSpPr>
        <cdr:cNvPr id="33" name="Straight Connector 32"/>
        <cdr:cNvCxnSpPr/>
      </cdr:nvCxnSpPr>
      <cdr:spPr>
        <a:xfrm xmlns:a="http://schemas.openxmlformats.org/drawingml/2006/main" flipV="1">
          <a:off x="1670050" y="2935289"/>
          <a:ext cx="87312" cy="1587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0.91994</cdr:x>
      <cdr:y>0.0981</cdr:y>
    </cdr:from>
    <cdr:to>
      <cdr:x>0.94411</cdr:x>
      <cdr:y>0.11179</cdr:y>
    </cdr:to>
    <cdr:cxnSp macro="">
      <cdr:nvCxnSpPr>
        <cdr:cNvPr id="37" name="Straight Connector 36"/>
        <cdr:cNvCxnSpPr/>
      </cdr:nvCxnSpPr>
      <cdr:spPr>
        <a:xfrm xmlns:a="http://schemas.openxmlformats.org/drawingml/2006/main">
          <a:off x="5800725" y="409575"/>
          <a:ext cx="152400" cy="571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0.9139</cdr:x>
      <cdr:y>0.05507</cdr:y>
    </cdr:from>
    <cdr:to>
      <cdr:x>0.93322</cdr:x>
      <cdr:y>0.08441</cdr:y>
    </cdr:to>
    <cdr:cxnSp macro="">
      <cdr:nvCxnSpPr>
        <cdr:cNvPr id="38" name="Straight Connector 37"/>
        <cdr:cNvCxnSpPr/>
      </cdr:nvCxnSpPr>
      <cdr:spPr>
        <a:xfrm xmlns:a="http://schemas.openxmlformats.org/drawingml/2006/main" flipV="1">
          <a:off x="5762625" y="229925"/>
          <a:ext cx="121840" cy="12250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0.42447</cdr:x>
      <cdr:y>0.69125</cdr:y>
    </cdr:from>
    <cdr:to>
      <cdr:x>0.44864</cdr:x>
      <cdr:y>0.70951</cdr:y>
    </cdr:to>
    <cdr:cxnSp macro="">
      <cdr:nvCxnSpPr>
        <cdr:cNvPr id="45" name="Straight Connector 44"/>
        <cdr:cNvCxnSpPr/>
      </cdr:nvCxnSpPr>
      <cdr:spPr>
        <a:xfrm xmlns:a="http://schemas.openxmlformats.org/drawingml/2006/main" flipH="1">
          <a:off x="2676525" y="2886075"/>
          <a:ext cx="152402" cy="76200"/>
        </a:xfrm>
        <a:prstGeom xmlns:a="http://schemas.openxmlformats.org/drawingml/2006/main" prst="line">
          <a:avLst/>
        </a:prstGeom>
        <a:ln xmlns:a="http://schemas.openxmlformats.org/drawingml/2006/main">
          <a:solidFill>
            <a:srgbClr val="C0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0.08838</cdr:x>
      <cdr:y>0.0914</cdr:y>
    </cdr:from>
    <cdr:to>
      <cdr:x>0.32061</cdr:x>
      <cdr:y>0.2348</cdr:y>
    </cdr:to>
    <cdr:sp macro="" textlink="">
      <cdr:nvSpPr>
        <cdr:cNvPr id="57" name="TextBox 56"/>
        <cdr:cNvSpPr txBox="1"/>
      </cdr:nvSpPr>
      <cdr:spPr>
        <a:xfrm xmlns:a="http://schemas.openxmlformats.org/drawingml/2006/main">
          <a:off x="558800" y="379414"/>
          <a:ext cx="1468438" cy="59531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GB" sz="1100" i="1">
              <a:solidFill>
                <a:srgbClr val="FF0000"/>
              </a:solidFill>
            </a:rPr>
            <a:t>Improvement</a:t>
          </a:r>
        </a:p>
      </cdr:txBody>
    </cdr:sp>
  </cdr:relSizeAnchor>
  <cdr:relSizeAnchor xmlns:cdr="http://schemas.openxmlformats.org/drawingml/2006/chartDrawing">
    <cdr:from>
      <cdr:x>0.6834</cdr:x>
      <cdr:y>0.78547</cdr:y>
    </cdr:from>
    <cdr:to>
      <cdr:x>0.91564</cdr:x>
      <cdr:y>0.87075</cdr:y>
    </cdr:to>
    <cdr:sp macro="" textlink="">
      <cdr:nvSpPr>
        <cdr:cNvPr id="58" name="TextBox 1"/>
        <cdr:cNvSpPr txBox="1"/>
      </cdr:nvSpPr>
      <cdr:spPr>
        <a:xfrm xmlns:a="http://schemas.openxmlformats.org/drawingml/2006/main">
          <a:off x="4321175" y="3260725"/>
          <a:ext cx="1468438" cy="35401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r"/>
          <a:r>
            <a:rPr lang="en-GB" sz="1100" i="1">
              <a:solidFill>
                <a:srgbClr val="FF0000"/>
              </a:solidFill>
            </a:rPr>
            <a:t>Deterioration</a:t>
          </a:r>
        </a:p>
      </cdr:txBody>
    </cdr:sp>
  </cdr:relSizeAnchor>
  <cdr:relSizeAnchor xmlns:cdr="http://schemas.openxmlformats.org/drawingml/2006/chartDrawing">
    <cdr:from>
      <cdr:x>0.42447</cdr:x>
      <cdr:y>0.72776</cdr:y>
    </cdr:from>
    <cdr:to>
      <cdr:x>0.44109</cdr:x>
      <cdr:y>0.74144</cdr:y>
    </cdr:to>
    <cdr:cxnSp macro="">
      <cdr:nvCxnSpPr>
        <cdr:cNvPr id="27" name="Straight Connector 26"/>
        <cdr:cNvCxnSpPr/>
      </cdr:nvCxnSpPr>
      <cdr:spPr>
        <a:xfrm xmlns:a="http://schemas.openxmlformats.org/drawingml/2006/main" flipH="1" flipV="1">
          <a:off x="2676525" y="3038475"/>
          <a:ext cx="104776" cy="57150"/>
        </a:xfrm>
        <a:prstGeom xmlns:a="http://schemas.openxmlformats.org/drawingml/2006/main" prst="line">
          <a:avLst/>
        </a:prstGeom>
        <a:ln xmlns:a="http://schemas.openxmlformats.org/drawingml/2006/main">
          <a:solidFill>
            <a:srgbClr val="C0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0.58761</cdr:x>
      <cdr:y>0.22129</cdr:y>
    </cdr:from>
    <cdr:to>
      <cdr:x>0.60725</cdr:x>
      <cdr:y>0.23954</cdr:y>
    </cdr:to>
    <cdr:cxnSp macro="">
      <cdr:nvCxnSpPr>
        <cdr:cNvPr id="29" name="Straight Connector 28"/>
        <cdr:cNvCxnSpPr/>
      </cdr:nvCxnSpPr>
      <cdr:spPr>
        <a:xfrm xmlns:a="http://schemas.openxmlformats.org/drawingml/2006/main" flipV="1">
          <a:off x="3705225" y="923925"/>
          <a:ext cx="123825" cy="7620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17.xml><?xml version="1.0" encoding="utf-8"?>
<c:userShapes xmlns:c="http://schemas.openxmlformats.org/drawingml/2006/chart">
  <cdr:relSizeAnchor xmlns:cdr="http://schemas.openxmlformats.org/drawingml/2006/chartDrawing">
    <cdr:from>
      <cdr:x>0.23902</cdr:x>
      <cdr:y>0.23599</cdr:y>
    </cdr:from>
    <cdr:to>
      <cdr:x>0.24252</cdr:x>
      <cdr:y>0.2472</cdr:y>
    </cdr:to>
    <cdr:cxnSp macro="">
      <cdr:nvCxnSpPr>
        <cdr:cNvPr id="3" name="Straight Connector 2"/>
        <cdr:cNvCxnSpPr/>
      </cdr:nvCxnSpPr>
      <cdr:spPr>
        <a:xfrm xmlns:a="http://schemas.openxmlformats.org/drawingml/2006/main" flipV="1">
          <a:off x="1299210" y="802005"/>
          <a:ext cx="19050" cy="3810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0.38972</cdr:x>
      <cdr:y>0.57231</cdr:y>
    </cdr:from>
    <cdr:to>
      <cdr:x>0.39322</cdr:x>
      <cdr:y>0.59473</cdr:y>
    </cdr:to>
    <cdr:cxnSp macro="">
      <cdr:nvCxnSpPr>
        <cdr:cNvPr id="5" name="Straight Connector 4"/>
        <cdr:cNvCxnSpPr/>
      </cdr:nvCxnSpPr>
      <cdr:spPr>
        <a:xfrm xmlns:a="http://schemas.openxmlformats.org/drawingml/2006/main">
          <a:off x="2118360" y="1945005"/>
          <a:ext cx="19050" cy="7620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0.42126</cdr:x>
      <cdr:y>0.61715</cdr:y>
    </cdr:from>
    <cdr:to>
      <cdr:x>0.43879</cdr:x>
      <cdr:y>0.61996</cdr:y>
    </cdr:to>
    <cdr:cxnSp macro="">
      <cdr:nvCxnSpPr>
        <cdr:cNvPr id="7" name="Straight Connector 6"/>
        <cdr:cNvCxnSpPr/>
      </cdr:nvCxnSpPr>
      <cdr:spPr>
        <a:xfrm xmlns:a="http://schemas.openxmlformats.org/drawingml/2006/main">
          <a:off x="2289810" y="2097405"/>
          <a:ext cx="95250" cy="952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0.44755</cdr:x>
      <cdr:y>0.21076</cdr:y>
    </cdr:from>
    <cdr:to>
      <cdr:x>0.44755</cdr:x>
      <cdr:y>0.2472</cdr:y>
    </cdr:to>
    <cdr:cxnSp macro="">
      <cdr:nvCxnSpPr>
        <cdr:cNvPr id="9" name="Straight Connector 8"/>
        <cdr:cNvCxnSpPr/>
      </cdr:nvCxnSpPr>
      <cdr:spPr>
        <a:xfrm xmlns:a="http://schemas.openxmlformats.org/drawingml/2006/main">
          <a:off x="2432685" y="716280"/>
          <a:ext cx="0" cy="12382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0.67009</cdr:x>
      <cdr:y>0.34249</cdr:y>
    </cdr:from>
    <cdr:to>
      <cdr:x>0.68236</cdr:x>
      <cdr:y>0.36491</cdr:y>
    </cdr:to>
    <cdr:cxnSp macro="">
      <cdr:nvCxnSpPr>
        <cdr:cNvPr id="13" name="Straight Connector 12"/>
        <cdr:cNvCxnSpPr/>
      </cdr:nvCxnSpPr>
      <cdr:spPr>
        <a:xfrm xmlns:a="http://schemas.openxmlformats.org/drawingml/2006/main" flipH="1">
          <a:off x="3642360" y="1163955"/>
          <a:ext cx="66675" cy="7620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18.xml><?xml version="1.0" encoding="utf-8"?>
<c:userShapes xmlns:c="http://schemas.openxmlformats.org/drawingml/2006/chart">
  <cdr:relSizeAnchor xmlns:cdr="http://schemas.openxmlformats.org/drawingml/2006/chartDrawing">
    <cdr:from>
      <cdr:x>0.21695</cdr:x>
      <cdr:y>0.54665</cdr:y>
    </cdr:from>
    <cdr:to>
      <cdr:x>0.22104</cdr:x>
      <cdr:y>0.56426</cdr:y>
    </cdr:to>
    <cdr:cxnSp macro="">
      <cdr:nvCxnSpPr>
        <cdr:cNvPr id="3" name="Straight Connector 2"/>
        <cdr:cNvCxnSpPr/>
      </cdr:nvCxnSpPr>
      <cdr:spPr>
        <a:xfrm xmlns:a="http://schemas.openxmlformats.org/drawingml/2006/main" flipH="1">
          <a:off x="1263651" y="1971675"/>
          <a:ext cx="23813" cy="6350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0.26465</cdr:x>
      <cdr:y>0.66769</cdr:y>
    </cdr:from>
    <cdr:to>
      <cdr:x>0.28237</cdr:x>
      <cdr:y>0.6963</cdr:y>
    </cdr:to>
    <cdr:cxnSp macro="">
      <cdr:nvCxnSpPr>
        <cdr:cNvPr id="5" name="Straight Connector 4"/>
        <cdr:cNvCxnSpPr/>
      </cdr:nvCxnSpPr>
      <cdr:spPr>
        <a:xfrm xmlns:a="http://schemas.openxmlformats.org/drawingml/2006/main" flipV="1">
          <a:off x="1541464" y="2408238"/>
          <a:ext cx="103187" cy="103187"/>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0.26465</cdr:x>
      <cdr:y>0.71171</cdr:y>
    </cdr:from>
    <cdr:to>
      <cdr:x>0.29736</cdr:x>
      <cdr:y>0.71391</cdr:y>
    </cdr:to>
    <cdr:cxnSp macro="">
      <cdr:nvCxnSpPr>
        <cdr:cNvPr id="7" name="Straight Connector 6"/>
        <cdr:cNvCxnSpPr/>
      </cdr:nvCxnSpPr>
      <cdr:spPr>
        <a:xfrm xmlns:a="http://schemas.openxmlformats.org/drawingml/2006/main">
          <a:off x="1541464" y="2566989"/>
          <a:ext cx="190500" cy="7936"/>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0.26192</cdr:x>
      <cdr:y>0.72051</cdr:y>
    </cdr:from>
    <cdr:to>
      <cdr:x>0.27828</cdr:x>
      <cdr:y>0.75792</cdr:y>
    </cdr:to>
    <cdr:cxnSp macro="">
      <cdr:nvCxnSpPr>
        <cdr:cNvPr id="9" name="Straight Connector 8"/>
        <cdr:cNvCxnSpPr/>
      </cdr:nvCxnSpPr>
      <cdr:spPr>
        <a:xfrm xmlns:a="http://schemas.openxmlformats.org/drawingml/2006/main">
          <a:off x="1525589" y="2598737"/>
          <a:ext cx="95250" cy="134938"/>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0.54947</cdr:x>
      <cdr:y>0.54225</cdr:y>
    </cdr:from>
    <cdr:to>
      <cdr:x>0.55628</cdr:x>
      <cdr:y>0.56206</cdr:y>
    </cdr:to>
    <cdr:cxnSp macro="">
      <cdr:nvCxnSpPr>
        <cdr:cNvPr id="15" name="Straight Connector 14"/>
        <cdr:cNvCxnSpPr/>
      </cdr:nvCxnSpPr>
      <cdr:spPr>
        <a:xfrm xmlns:a="http://schemas.openxmlformats.org/drawingml/2006/main" flipV="1">
          <a:off x="3200401" y="1955800"/>
          <a:ext cx="39688" cy="71438"/>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0.56582</cdr:x>
      <cdr:y>0.57967</cdr:y>
    </cdr:from>
    <cdr:to>
      <cdr:x>0.57672</cdr:x>
      <cdr:y>0.57967</cdr:y>
    </cdr:to>
    <cdr:cxnSp macro="">
      <cdr:nvCxnSpPr>
        <cdr:cNvPr id="17" name="Straight Connector 16"/>
        <cdr:cNvCxnSpPr/>
      </cdr:nvCxnSpPr>
      <cdr:spPr>
        <a:xfrm xmlns:a="http://schemas.openxmlformats.org/drawingml/2006/main">
          <a:off x="3295651" y="2090738"/>
          <a:ext cx="63500" cy="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0.81385</cdr:x>
      <cdr:y>0.13292</cdr:y>
    </cdr:from>
    <cdr:to>
      <cdr:x>0.82202</cdr:x>
      <cdr:y>0.15933</cdr:y>
    </cdr:to>
    <cdr:cxnSp macro="">
      <cdr:nvCxnSpPr>
        <cdr:cNvPr id="19" name="Straight Connector 18"/>
        <cdr:cNvCxnSpPr/>
      </cdr:nvCxnSpPr>
      <cdr:spPr>
        <a:xfrm xmlns:a="http://schemas.openxmlformats.org/drawingml/2006/main" flipV="1">
          <a:off x="4740276" y="479425"/>
          <a:ext cx="47625" cy="952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0.72527</cdr:x>
      <cdr:y>0.26937</cdr:y>
    </cdr:from>
    <cdr:to>
      <cdr:x>0.73753</cdr:x>
      <cdr:y>0.29577</cdr:y>
    </cdr:to>
    <cdr:cxnSp macro="">
      <cdr:nvCxnSpPr>
        <cdr:cNvPr id="21" name="Straight Connector 20"/>
        <cdr:cNvCxnSpPr/>
      </cdr:nvCxnSpPr>
      <cdr:spPr>
        <a:xfrm xmlns:a="http://schemas.openxmlformats.org/drawingml/2006/main" flipH="1">
          <a:off x="4224339" y="971550"/>
          <a:ext cx="71437" cy="952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19.xml><?xml version="1.0" encoding="utf-8"?>
<c:userShapes xmlns:c="http://schemas.openxmlformats.org/drawingml/2006/chart">
  <cdr:relSizeAnchor xmlns:cdr="http://schemas.openxmlformats.org/drawingml/2006/chartDrawing">
    <cdr:from>
      <cdr:x>0.34794</cdr:x>
      <cdr:y>0.32947</cdr:y>
    </cdr:from>
    <cdr:to>
      <cdr:x>0.36429</cdr:x>
      <cdr:y>0.35847</cdr:y>
    </cdr:to>
    <cdr:cxnSp macro="">
      <cdr:nvCxnSpPr>
        <cdr:cNvPr id="3" name="Straight Connector 2"/>
        <cdr:cNvCxnSpPr/>
      </cdr:nvCxnSpPr>
      <cdr:spPr>
        <a:xfrm xmlns:a="http://schemas.openxmlformats.org/drawingml/2006/main" flipH="1">
          <a:off x="1824990" y="1082040"/>
          <a:ext cx="85725" cy="952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0.32978</cdr:x>
      <cdr:y>0.39037</cdr:y>
    </cdr:from>
    <cdr:to>
      <cdr:x>0.3316</cdr:x>
      <cdr:y>0.41647</cdr:y>
    </cdr:to>
    <cdr:cxnSp macro="">
      <cdr:nvCxnSpPr>
        <cdr:cNvPr id="5" name="Straight Connector 4"/>
        <cdr:cNvCxnSpPr/>
      </cdr:nvCxnSpPr>
      <cdr:spPr>
        <a:xfrm xmlns:a="http://schemas.openxmlformats.org/drawingml/2006/main" flipH="1" flipV="1">
          <a:off x="1729740" y="1282065"/>
          <a:ext cx="9525" cy="8572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0.1845</cdr:x>
      <cdr:y>0.12645</cdr:y>
    </cdr:from>
    <cdr:to>
      <cdr:x>0.19722</cdr:x>
      <cdr:y>0.14385</cdr:y>
    </cdr:to>
    <cdr:cxnSp macro="">
      <cdr:nvCxnSpPr>
        <cdr:cNvPr id="7" name="Straight Connector 6"/>
        <cdr:cNvCxnSpPr/>
      </cdr:nvCxnSpPr>
      <cdr:spPr>
        <a:xfrm xmlns:a="http://schemas.openxmlformats.org/drawingml/2006/main">
          <a:off x="967740" y="415290"/>
          <a:ext cx="66675" cy="571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0.22627</cdr:x>
      <cdr:y>0.11485</cdr:y>
    </cdr:from>
    <cdr:to>
      <cdr:x>0.2299</cdr:x>
      <cdr:y>0.13225</cdr:y>
    </cdr:to>
    <cdr:cxnSp macro="">
      <cdr:nvCxnSpPr>
        <cdr:cNvPr id="9" name="Straight Connector 8"/>
        <cdr:cNvCxnSpPr/>
      </cdr:nvCxnSpPr>
      <cdr:spPr>
        <a:xfrm xmlns:a="http://schemas.openxmlformats.org/drawingml/2006/main" flipH="1">
          <a:off x="1186815" y="377190"/>
          <a:ext cx="19050" cy="5715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0.20448</cdr:x>
      <cdr:y>0.28306</cdr:y>
    </cdr:from>
    <cdr:to>
      <cdr:x>0.22082</cdr:x>
      <cdr:y>0.29756</cdr:y>
    </cdr:to>
    <cdr:cxnSp macro="">
      <cdr:nvCxnSpPr>
        <cdr:cNvPr id="11" name="Straight Connector 10"/>
        <cdr:cNvCxnSpPr/>
      </cdr:nvCxnSpPr>
      <cdr:spPr>
        <a:xfrm xmlns:a="http://schemas.openxmlformats.org/drawingml/2006/main" flipV="1">
          <a:off x="1072515" y="929640"/>
          <a:ext cx="85725" cy="4762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0.24443</cdr:x>
      <cdr:y>0.23086</cdr:y>
    </cdr:from>
    <cdr:to>
      <cdr:x>0.24443</cdr:x>
      <cdr:y>0.24536</cdr:y>
    </cdr:to>
    <cdr:cxnSp macro="">
      <cdr:nvCxnSpPr>
        <cdr:cNvPr id="13" name="Straight Connector 12"/>
        <cdr:cNvCxnSpPr/>
      </cdr:nvCxnSpPr>
      <cdr:spPr>
        <a:xfrm xmlns:a="http://schemas.openxmlformats.org/drawingml/2006/main">
          <a:off x="1282065" y="758190"/>
          <a:ext cx="0" cy="4762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0.27349</cdr:x>
      <cdr:y>0.22506</cdr:y>
    </cdr:from>
    <cdr:to>
      <cdr:x>0.28438</cdr:x>
      <cdr:y>0.24826</cdr:y>
    </cdr:to>
    <cdr:cxnSp macro="">
      <cdr:nvCxnSpPr>
        <cdr:cNvPr id="15" name="Straight Connector 14"/>
        <cdr:cNvCxnSpPr/>
      </cdr:nvCxnSpPr>
      <cdr:spPr>
        <a:xfrm xmlns:a="http://schemas.openxmlformats.org/drawingml/2006/main" flipV="1">
          <a:off x="1434465" y="739140"/>
          <a:ext cx="57150" cy="7620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0.90246</cdr:x>
      <cdr:y>0.91503</cdr:y>
    </cdr:from>
    <cdr:to>
      <cdr:x>1</cdr:x>
      <cdr:y>0.97081</cdr:y>
    </cdr:to>
    <cdr:sp macro="" textlink="">
      <cdr:nvSpPr>
        <cdr:cNvPr id="2" name="TextBox 1"/>
        <cdr:cNvSpPr txBox="1"/>
      </cdr:nvSpPr>
      <cdr:spPr>
        <a:xfrm xmlns:a="http://schemas.openxmlformats.org/drawingml/2006/main">
          <a:off x="5372829" y="4856951"/>
          <a:ext cx="580296" cy="296074"/>
        </a:xfrm>
        <a:prstGeom xmlns:a="http://schemas.openxmlformats.org/drawingml/2006/main" prst="rect">
          <a:avLst/>
        </a:prstGeom>
      </cdr:spPr>
      <cdr:txBody>
        <a:bodyPr xmlns:a="http://schemas.openxmlformats.org/drawingml/2006/main" vertOverflow="clip" wrap="square" lIns="0" tIns="0" rIns="0" bIns="0" rtlCol="0">
          <a:noAutofit/>
        </a:bodyPr>
        <a:lstStyle xmlns:a="http://schemas.openxmlformats.org/drawingml/2006/main"/>
        <a:p xmlns:a="http://schemas.openxmlformats.org/drawingml/2006/main">
          <a:r>
            <a:rPr lang="en-US" sz="1000"/>
            <a:t>Percent</a:t>
          </a:r>
        </a:p>
      </cdr:txBody>
    </cdr:sp>
  </cdr:relSizeAnchor>
  <cdr:relSizeAnchor xmlns:cdr="http://schemas.openxmlformats.org/drawingml/2006/chartDrawing">
    <cdr:from>
      <cdr:x>0.0779</cdr:x>
      <cdr:y>0.38061</cdr:y>
    </cdr:from>
    <cdr:to>
      <cdr:x>0.98165</cdr:x>
      <cdr:y>0.41389</cdr:y>
    </cdr:to>
    <cdr:sp macro="" textlink="">
      <cdr:nvSpPr>
        <cdr:cNvPr id="3" name="Rectangle 2"/>
        <cdr:cNvSpPr/>
      </cdr:nvSpPr>
      <cdr:spPr>
        <a:xfrm xmlns:a="http://schemas.openxmlformats.org/drawingml/2006/main">
          <a:off x="463452" y="2020284"/>
          <a:ext cx="5376682" cy="176651"/>
        </a:xfrm>
        <a:prstGeom xmlns:a="http://schemas.openxmlformats.org/drawingml/2006/main" prst="rect">
          <a:avLst/>
        </a:prstGeom>
        <a:noFill xmlns:a="http://schemas.openxmlformats.org/drawingml/2006/main"/>
        <a:ln xmlns:a="http://schemas.openxmlformats.org/drawingml/2006/main" w="63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en-US"/>
        </a:p>
      </cdr:txBody>
    </cdr:sp>
  </cdr:relSizeAnchor>
  <cdr:relSizeAnchor xmlns:cdr="http://schemas.openxmlformats.org/drawingml/2006/chartDrawing">
    <cdr:from>
      <cdr:x>0.06148</cdr:x>
      <cdr:y>0.95638</cdr:y>
    </cdr:from>
    <cdr:to>
      <cdr:x>0.92669</cdr:x>
      <cdr:y>0.9948</cdr:y>
    </cdr:to>
    <cdr:pic>
      <cdr:nvPicPr>
        <cdr:cNvPr id="4" name="Picture 3"/>
        <cdr:cNvPicPr/>
      </cdr:nvPicPr>
      <cdr:blipFill rotWithShape="1">
        <a:blip xmlns:a="http://schemas.openxmlformats.org/drawingml/2006/main" xmlns:r="http://schemas.openxmlformats.org/officeDocument/2006/relationships" r:embed="rId1">
          <a:extLst>
            <a:ext uri="{28A0092B-C50C-407E-A947-70E740481C1C}">
              <a14:useLocalDpi xmlns:a14="http://schemas.microsoft.com/office/drawing/2010/main" val="0"/>
            </a:ext>
          </a:extLst>
        </a:blip>
        <a:srcRect xmlns:a="http://schemas.openxmlformats.org/drawingml/2006/main" l="6572" t="84981" r="6574" b="11160"/>
        <a:stretch xmlns:a="http://schemas.openxmlformats.org/drawingml/2006/main"/>
      </cdr:blipFill>
      <cdr:spPr bwMode="auto">
        <a:xfrm xmlns:a="http://schemas.openxmlformats.org/drawingml/2006/main">
          <a:off x="330947" y="6875183"/>
          <a:ext cx="4657725" cy="2762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53640926-AAD7-44D8-BBD7-CCE9431645EC}">
            <a14:shadowObscured xmlns:a14="http://schemas.microsoft.com/office/drawing/2010/main"/>
          </a:ext>
        </a:extLst>
      </cdr:spPr>
    </cdr:pic>
  </cdr:relSizeAnchor>
</c:userShapes>
</file>

<file path=word/drawings/drawing3.xml><?xml version="1.0" encoding="utf-8"?>
<c:userShapes xmlns:c="http://schemas.openxmlformats.org/drawingml/2006/chart">
  <cdr:relSizeAnchor xmlns:cdr="http://schemas.openxmlformats.org/drawingml/2006/chartDrawing">
    <cdr:from>
      <cdr:x>0.89343</cdr:x>
      <cdr:y>0.96537</cdr:y>
    </cdr:from>
    <cdr:to>
      <cdr:x>0.94332</cdr:x>
      <cdr:y>0.98172</cdr:y>
    </cdr:to>
    <cdr:sp macro="" textlink="">
      <cdr:nvSpPr>
        <cdr:cNvPr id="2" name="TextBox 1"/>
        <cdr:cNvSpPr txBox="1"/>
      </cdr:nvSpPr>
      <cdr:spPr>
        <a:xfrm xmlns:a="http://schemas.openxmlformats.org/drawingml/2006/main">
          <a:off x="4799481" y="6965631"/>
          <a:ext cx="268022" cy="117917"/>
        </a:xfrm>
        <a:prstGeom xmlns:a="http://schemas.openxmlformats.org/drawingml/2006/main" prst="rect">
          <a:avLst/>
        </a:prstGeom>
      </cdr:spPr>
      <cdr:txBody>
        <a:bodyPr xmlns:a="http://schemas.openxmlformats.org/drawingml/2006/main" wrap="none" lIns="0" tIns="0" rIns="0" bIns="0" rtlCol="0">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Arial" panose="020B0604020202020204" pitchFamily="34" charset="0"/>
              <a:cs typeface="Arial" panose="020B0604020202020204" pitchFamily="34" charset="0"/>
            </a:rPr>
            <a:t>Score</a:t>
          </a:r>
        </a:p>
      </cdr:txBody>
    </cdr:sp>
  </cdr:relSizeAnchor>
  <cdr:relSizeAnchor xmlns:cdr="http://schemas.openxmlformats.org/drawingml/2006/chartDrawing">
    <cdr:from>
      <cdr:x>0.33429</cdr:x>
      <cdr:y>0.0016</cdr:y>
    </cdr:from>
    <cdr:to>
      <cdr:x>0.83988</cdr:x>
      <cdr:y>0.10083</cdr:y>
    </cdr:to>
    <cdr:grpSp>
      <cdr:nvGrpSpPr>
        <cdr:cNvPr id="19" name="Group 18"/>
        <cdr:cNvGrpSpPr/>
      </cdr:nvGrpSpPr>
      <cdr:grpSpPr>
        <a:xfrm xmlns:a="http://schemas.openxmlformats.org/drawingml/2006/main">
          <a:off x="1795801" y="12603"/>
          <a:ext cx="2716022" cy="781596"/>
          <a:chOff x="842459" y="1844824"/>
          <a:chExt cx="2682718" cy="720080"/>
        </a:xfrm>
      </cdr:grpSpPr>
      <cdr:sp macro="" textlink="">
        <cdr:nvSpPr>
          <cdr:cNvPr id="20" name="Rectangle 19"/>
          <cdr:cNvSpPr/>
        </cdr:nvSpPr>
        <cdr:spPr>
          <a:xfrm xmlns:a="http://schemas.openxmlformats.org/drawingml/2006/main">
            <a:off x="2051720" y="2492896"/>
            <a:ext cx="288032" cy="72008"/>
          </a:xfrm>
          <a:prstGeom xmlns:a="http://schemas.openxmlformats.org/drawingml/2006/main" prst="rect">
            <a:avLst/>
          </a:prstGeom>
          <a:solidFill xmlns:a="http://schemas.openxmlformats.org/drawingml/2006/main">
            <a:srgbClr val="1F497D">
              <a:lumMod val="75000"/>
            </a:srgbClr>
          </a:solidFill>
          <a:ln xmlns:a="http://schemas.openxmlformats.org/drawingml/2006/main" w="25400" cap="flat" cmpd="sng" algn="ctr">
            <a:solidFill>
              <a:srgbClr val="1F497D">
                <a:lumMod val="75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cxnSp macro="">
        <cdr:nvCxnSpPr>
          <cdr:cNvPr id="21" name="Straight Arrow Connector 20"/>
          <cdr:cNvCxnSpPr/>
        </cdr:nvCxnSpPr>
        <cdr:spPr>
          <a:xfrm xmlns:a="http://schemas.openxmlformats.org/drawingml/2006/main">
            <a:off x="1547664"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22" name="Straight Arrow Connector 21"/>
          <cdr:cNvCxnSpPr/>
        </cdr:nvCxnSpPr>
        <cdr:spPr>
          <a:xfrm xmlns:a="http://schemas.openxmlformats.org/drawingml/2006/main">
            <a:off x="2195736"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23" name="Straight Arrow Connector 22"/>
          <cdr:cNvCxnSpPr/>
        </cdr:nvCxnSpPr>
        <cdr:spPr>
          <a:xfrm xmlns:a="http://schemas.openxmlformats.org/drawingml/2006/main">
            <a:off x="2843808"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sp macro="" textlink="">
        <cdr:nvSpPr>
          <cdr:cNvPr id="24" name="TextBox 11"/>
          <cdr:cNvSpPr txBox="1"/>
        </cdr:nvSpPr>
        <cdr:spPr>
          <a:xfrm xmlns:a="http://schemas.openxmlformats.org/drawingml/2006/main">
            <a:off x="1417030" y="2057872"/>
            <a:ext cx="381845" cy="199861"/>
          </a:xfrm>
          <a:prstGeom xmlns:a="http://schemas.openxmlformats.org/drawingml/2006/main" prst="rect">
            <a:avLst/>
          </a:prstGeom>
          <a:noFill xmlns:a="http://schemas.openxmlformats.org/drawingml/2006/main"/>
        </cdr:spPr>
        <cdr:txBody>
          <a:bodyPr xmlns:a="http://schemas.openxmlformats.org/drawingml/2006/main" wrap="none" lIns="0" tIns="0" rIns="0" bIns="0" rtlCol="0">
            <a:sp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25</a:t>
            </a:r>
            <a:r>
              <a:rPr lang="en-GB" sz="700" baseline="30000" dirty="0">
                <a:latin typeface="Arial" pitchFamily="34" charset="0"/>
                <a:cs typeface="Arial" pitchFamily="34" charset="0"/>
              </a:rPr>
              <a:t>th</a:t>
            </a:r>
            <a:r>
              <a:rPr lang="en-GB" sz="700" dirty="0">
                <a:latin typeface="Arial" pitchFamily="34" charset="0"/>
                <a:cs typeface="Arial" pitchFamily="34" charset="0"/>
              </a:rPr>
              <a:t> </a:t>
            </a:r>
          </a:p>
          <a:p xmlns:a="http://schemas.openxmlformats.org/drawingml/2006/main">
            <a:pPr algn="ctr"/>
            <a:r>
              <a:rPr lang="en-GB" sz="700" dirty="0">
                <a:latin typeface="Arial" pitchFamily="34" charset="0"/>
                <a:cs typeface="Arial" pitchFamily="34" charset="0"/>
              </a:rPr>
              <a:t>percentile</a:t>
            </a:r>
            <a:endParaRPr lang="en-US" sz="700" dirty="0">
              <a:latin typeface="Arial" pitchFamily="34" charset="0"/>
              <a:cs typeface="Arial" pitchFamily="34" charset="0"/>
            </a:endParaRPr>
          </a:p>
        </cdr:txBody>
      </cdr:sp>
      <cdr:sp macro="" textlink="">
        <cdr:nvSpPr>
          <cdr:cNvPr id="25" name="TextBox 12"/>
          <cdr:cNvSpPr txBox="1"/>
        </cdr:nvSpPr>
        <cdr:spPr>
          <a:xfrm xmlns:a="http://schemas.openxmlformats.org/drawingml/2006/main">
            <a:off x="1907704" y="1844824"/>
            <a:ext cx="648072" cy="504056"/>
          </a:xfrm>
          <a:prstGeom xmlns:a="http://schemas.openxmlformats.org/drawingml/2006/main" prst="rect">
            <a:avLst/>
          </a:prstGeom>
          <a:noFill xmlns:a="http://schemas.openxmlformats.org/drawingml/2006/main"/>
        </cdr:spPr>
        <cdr:txBody>
          <a:bodyPr xmlns:a="http://schemas.openxmlformats.org/drawingml/2006/main" wrap="square" lIns="0" tIns="0" rIns="0" bIns="0" rtlCol="0">
            <a:no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Mean and .95 confidence interval for mean</a:t>
            </a:r>
            <a:endParaRPr lang="en-US" sz="700" dirty="0">
              <a:latin typeface="Arial" pitchFamily="34" charset="0"/>
              <a:cs typeface="Arial" pitchFamily="34" charset="0"/>
            </a:endParaRPr>
          </a:p>
        </cdr:txBody>
      </cdr:sp>
      <cdr:sp macro="" textlink="">
        <cdr:nvSpPr>
          <cdr:cNvPr id="26" name="TextBox 13"/>
          <cdr:cNvSpPr txBox="1"/>
        </cdr:nvSpPr>
        <cdr:spPr>
          <a:xfrm xmlns:a="http://schemas.openxmlformats.org/drawingml/2006/main">
            <a:off x="2650512" y="2057062"/>
            <a:ext cx="381845" cy="199861"/>
          </a:xfrm>
          <a:prstGeom xmlns:a="http://schemas.openxmlformats.org/drawingml/2006/main" prst="rect">
            <a:avLst/>
          </a:prstGeom>
          <a:noFill xmlns:a="http://schemas.openxmlformats.org/drawingml/2006/main"/>
        </cdr:spPr>
        <cdr:txBody>
          <a:bodyPr xmlns:a="http://schemas.openxmlformats.org/drawingml/2006/main" wrap="none" lIns="0" tIns="0" rIns="0" bIns="0" rtlCol="0">
            <a:sp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75</a:t>
            </a:r>
            <a:r>
              <a:rPr lang="en-GB" sz="700" baseline="30000" dirty="0">
                <a:latin typeface="Arial" pitchFamily="34" charset="0"/>
                <a:cs typeface="Arial" pitchFamily="34" charset="0"/>
              </a:rPr>
              <a:t>th</a:t>
            </a:r>
            <a:r>
              <a:rPr lang="en-GB" sz="700" dirty="0">
                <a:latin typeface="Arial" pitchFamily="34" charset="0"/>
                <a:cs typeface="Arial" pitchFamily="34" charset="0"/>
              </a:rPr>
              <a:t> </a:t>
            </a:r>
          </a:p>
          <a:p xmlns:a="http://schemas.openxmlformats.org/drawingml/2006/main">
            <a:pPr algn="ctr"/>
            <a:r>
              <a:rPr lang="en-GB" sz="700" dirty="0">
                <a:latin typeface="Arial" pitchFamily="34" charset="0"/>
                <a:cs typeface="Arial" pitchFamily="34" charset="0"/>
              </a:rPr>
              <a:t>percentile</a:t>
            </a:r>
            <a:endParaRPr lang="en-US" sz="700" dirty="0">
              <a:latin typeface="Arial" pitchFamily="34" charset="0"/>
              <a:cs typeface="Arial" pitchFamily="34" charset="0"/>
            </a:endParaRPr>
          </a:p>
        </cdr:txBody>
      </cdr:sp>
      <cdr:sp macro="" textlink="">
        <cdr:nvSpPr>
          <cdr:cNvPr id="27" name="Rectangle 26"/>
          <cdr:cNvSpPr/>
        </cdr:nvSpPr>
        <cdr:spPr>
          <a:xfrm xmlns:a="http://schemas.openxmlformats.org/drawingml/2006/main">
            <a:off x="2843808" y="2492896"/>
            <a:ext cx="504056" cy="72008"/>
          </a:xfrm>
          <a:prstGeom xmlns:a="http://schemas.openxmlformats.org/drawingml/2006/main" prst="rect">
            <a:avLst/>
          </a:prstGeom>
          <a:solidFill xmlns:a="http://schemas.openxmlformats.org/drawingml/2006/main">
            <a:schemeClr val="accent3">
              <a:lumMod val="40000"/>
              <a:lumOff val="60000"/>
            </a:schemeClr>
          </a:solidFill>
          <a:ln xmlns:a="http://schemas.openxmlformats.org/drawingml/2006/main" w="25400" cap="flat" cmpd="sng" algn="ctr">
            <a:solidFill>
              <a:schemeClr val="accent3">
                <a:lumMod val="40000"/>
                <a:lumOff val="60000"/>
              </a:scheme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sp macro="" textlink="">
        <cdr:nvSpPr>
          <cdr:cNvPr id="28" name="Rectangle 27"/>
          <cdr:cNvSpPr/>
        </cdr:nvSpPr>
        <cdr:spPr>
          <a:xfrm xmlns:a="http://schemas.openxmlformats.org/drawingml/2006/main">
            <a:off x="1043608" y="2492896"/>
            <a:ext cx="504056" cy="72008"/>
          </a:xfrm>
          <a:prstGeom xmlns:a="http://schemas.openxmlformats.org/drawingml/2006/main" prst="rect">
            <a:avLst/>
          </a:prstGeom>
          <a:solidFill xmlns:a="http://schemas.openxmlformats.org/drawingml/2006/main">
            <a:schemeClr val="accent6">
              <a:lumMod val="60000"/>
              <a:lumOff val="40000"/>
            </a:schemeClr>
          </a:solidFill>
          <a:ln xmlns:a="http://schemas.openxmlformats.org/drawingml/2006/main" w="25400" cap="flat" cmpd="sng" algn="ctr">
            <a:solidFill>
              <a:schemeClr val="accent6">
                <a:lumMod val="60000"/>
                <a:lumOff val="40000"/>
              </a:scheme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sp macro="" textlink="">
        <cdr:nvSpPr>
          <cdr:cNvPr id="29" name="TextBox 16"/>
          <cdr:cNvSpPr txBox="1"/>
        </cdr:nvSpPr>
        <cdr:spPr>
          <a:xfrm xmlns:a="http://schemas.openxmlformats.org/drawingml/2006/main">
            <a:off x="3143332" y="2057052"/>
            <a:ext cx="381845" cy="199861"/>
          </a:xfrm>
          <a:prstGeom xmlns:a="http://schemas.openxmlformats.org/drawingml/2006/main" prst="rect">
            <a:avLst/>
          </a:prstGeom>
          <a:noFill xmlns:a="http://schemas.openxmlformats.org/drawingml/2006/main"/>
        </cdr:spPr>
        <cdr:txBody>
          <a:bodyPr xmlns:a="http://schemas.openxmlformats.org/drawingml/2006/main" wrap="none" lIns="0" tIns="0" rIns="0" bIns="0" rtlCol="0">
            <a:sp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95</a:t>
            </a:r>
            <a:r>
              <a:rPr lang="en-GB" sz="700" baseline="30000" dirty="0">
                <a:latin typeface="Arial" pitchFamily="34" charset="0"/>
                <a:cs typeface="Arial" pitchFamily="34" charset="0"/>
              </a:rPr>
              <a:t>th</a:t>
            </a:r>
            <a:r>
              <a:rPr lang="en-GB" sz="700" dirty="0">
                <a:latin typeface="Arial" pitchFamily="34" charset="0"/>
                <a:cs typeface="Arial" pitchFamily="34" charset="0"/>
              </a:rPr>
              <a:t> </a:t>
            </a:r>
          </a:p>
          <a:p xmlns:a="http://schemas.openxmlformats.org/drawingml/2006/main">
            <a:pPr algn="ctr"/>
            <a:r>
              <a:rPr lang="en-GB" sz="700" dirty="0">
                <a:latin typeface="Arial" pitchFamily="34" charset="0"/>
                <a:cs typeface="Arial" pitchFamily="34" charset="0"/>
              </a:rPr>
              <a:t>percentile</a:t>
            </a:r>
            <a:endParaRPr lang="en-US" sz="700" dirty="0">
              <a:latin typeface="Arial" pitchFamily="34" charset="0"/>
              <a:cs typeface="Arial" pitchFamily="34" charset="0"/>
            </a:endParaRPr>
          </a:p>
        </cdr:txBody>
      </cdr:sp>
      <cdr:cxnSp macro="">
        <cdr:nvCxnSpPr>
          <cdr:cNvPr id="30" name="Straight Arrow Connector 29"/>
          <cdr:cNvCxnSpPr/>
        </cdr:nvCxnSpPr>
        <cdr:spPr>
          <a:xfrm xmlns:a="http://schemas.openxmlformats.org/drawingml/2006/main">
            <a:off x="3347864"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sp macro="" textlink="">
        <cdr:nvSpPr>
          <cdr:cNvPr id="31" name="TextBox 18"/>
          <cdr:cNvSpPr txBox="1"/>
        </cdr:nvSpPr>
        <cdr:spPr>
          <a:xfrm xmlns:a="http://schemas.openxmlformats.org/drawingml/2006/main">
            <a:off x="842459" y="2057052"/>
            <a:ext cx="381845" cy="199861"/>
          </a:xfrm>
          <a:prstGeom xmlns:a="http://schemas.openxmlformats.org/drawingml/2006/main" prst="rect">
            <a:avLst/>
          </a:prstGeom>
          <a:noFill xmlns:a="http://schemas.openxmlformats.org/drawingml/2006/main"/>
        </cdr:spPr>
        <cdr:txBody>
          <a:bodyPr xmlns:a="http://schemas.openxmlformats.org/drawingml/2006/main" wrap="none" lIns="0" tIns="0" rIns="0" bIns="0" rtlCol="0">
            <a:sp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5</a:t>
            </a:r>
            <a:r>
              <a:rPr lang="en-GB" sz="700" baseline="30000" dirty="0">
                <a:latin typeface="Arial" pitchFamily="34" charset="0"/>
                <a:cs typeface="Arial" pitchFamily="34" charset="0"/>
              </a:rPr>
              <a:t>th</a:t>
            </a:r>
            <a:r>
              <a:rPr lang="en-GB" sz="700" dirty="0">
                <a:latin typeface="Arial" pitchFamily="34" charset="0"/>
                <a:cs typeface="Arial" pitchFamily="34" charset="0"/>
              </a:rPr>
              <a:t> </a:t>
            </a:r>
          </a:p>
          <a:p xmlns:a="http://schemas.openxmlformats.org/drawingml/2006/main">
            <a:pPr algn="ctr"/>
            <a:r>
              <a:rPr lang="en-GB" sz="700" dirty="0">
                <a:latin typeface="Arial" pitchFamily="34" charset="0"/>
                <a:cs typeface="Arial" pitchFamily="34" charset="0"/>
              </a:rPr>
              <a:t>percentile</a:t>
            </a:r>
            <a:endParaRPr lang="en-US" sz="700" dirty="0">
              <a:latin typeface="Arial" pitchFamily="34" charset="0"/>
              <a:cs typeface="Arial" pitchFamily="34" charset="0"/>
            </a:endParaRPr>
          </a:p>
        </cdr:txBody>
      </cdr:sp>
      <cdr:cxnSp macro="">
        <cdr:nvCxnSpPr>
          <cdr:cNvPr id="32" name="Straight Arrow Connector 31"/>
          <cdr:cNvCxnSpPr/>
        </cdr:nvCxnSpPr>
        <cdr:spPr>
          <a:xfrm xmlns:a="http://schemas.openxmlformats.org/drawingml/2006/main">
            <a:off x="1043608"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sp macro="" textlink="">
        <cdr:nvSpPr>
          <cdr:cNvPr id="33" name="Rectangle 32"/>
          <cdr:cNvSpPr/>
        </cdr:nvSpPr>
        <cdr:spPr>
          <a:xfrm xmlns:a="http://schemas.openxmlformats.org/drawingml/2006/main">
            <a:off x="1547664" y="2492896"/>
            <a:ext cx="504056" cy="72008"/>
          </a:xfrm>
          <a:prstGeom xmlns:a="http://schemas.openxmlformats.org/drawingml/2006/main" prst="rect">
            <a:avLst/>
          </a:prstGeom>
          <a:solidFill xmlns:a="http://schemas.openxmlformats.org/drawingml/2006/main">
            <a:srgbClr val="1F497D">
              <a:lumMod val="60000"/>
              <a:lumOff val="40000"/>
            </a:srgbClr>
          </a:solidFill>
          <a:ln xmlns:a="http://schemas.openxmlformats.org/drawingml/2006/main" w="25400" cap="flat" cmpd="sng" algn="ctr">
            <a:solidFill>
              <a:srgbClr val="1F497D">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sp macro="" textlink="">
        <cdr:nvSpPr>
          <cdr:cNvPr id="34" name="Rectangle 33"/>
          <cdr:cNvSpPr/>
        </cdr:nvSpPr>
        <cdr:spPr>
          <a:xfrm xmlns:a="http://schemas.openxmlformats.org/drawingml/2006/main">
            <a:off x="2339752" y="2492896"/>
            <a:ext cx="504056" cy="72008"/>
          </a:xfrm>
          <a:prstGeom xmlns:a="http://schemas.openxmlformats.org/drawingml/2006/main" prst="rect">
            <a:avLst/>
          </a:prstGeom>
          <a:solidFill xmlns:a="http://schemas.openxmlformats.org/drawingml/2006/main">
            <a:srgbClr val="1F497D">
              <a:lumMod val="60000"/>
              <a:lumOff val="40000"/>
            </a:srgbClr>
          </a:solidFill>
          <a:ln xmlns:a="http://schemas.openxmlformats.org/drawingml/2006/main" w="25400" cap="flat" cmpd="sng" algn="ctr">
            <a:solidFill>
              <a:srgbClr val="1F497D">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grpSp>
  </cdr:relSizeAnchor>
  <cdr:relSizeAnchor xmlns:cdr="http://schemas.openxmlformats.org/drawingml/2006/chartDrawing">
    <cdr:from>
      <cdr:x>0.06016</cdr:x>
      <cdr:y>0.62226</cdr:y>
    </cdr:from>
    <cdr:to>
      <cdr:x>0.94166</cdr:x>
      <cdr:y>0.66641</cdr:y>
    </cdr:to>
    <cdr:sp macro="" textlink="">
      <cdr:nvSpPr>
        <cdr:cNvPr id="3" name="Rectangle 2"/>
        <cdr:cNvSpPr/>
      </cdr:nvSpPr>
      <cdr:spPr>
        <a:xfrm xmlns:a="http://schemas.openxmlformats.org/drawingml/2006/main">
          <a:off x="357315" y="3359849"/>
          <a:ext cx="5235964" cy="238374"/>
        </a:xfrm>
        <a:prstGeom xmlns:a="http://schemas.openxmlformats.org/drawingml/2006/main" prst="rect">
          <a:avLst/>
        </a:prstGeom>
        <a:noFill xmlns:a="http://schemas.openxmlformats.org/drawingml/2006/main"/>
        <a:ln xmlns:a="http://schemas.openxmlformats.org/drawingml/2006/main" w="1270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ES"/>
        </a:p>
      </cdr:txBody>
    </cdr:sp>
  </cdr:relSizeAnchor>
</c:userShapes>
</file>

<file path=word/drawings/drawing4.xml><?xml version="1.0" encoding="utf-8"?>
<c:userShapes xmlns:c="http://schemas.openxmlformats.org/drawingml/2006/chart">
  <cdr:relSizeAnchor xmlns:cdr="http://schemas.openxmlformats.org/drawingml/2006/chartDrawing">
    <cdr:from>
      <cdr:x>0.90673</cdr:x>
      <cdr:y>0.97711</cdr:y>
    </cdr:from>
    <cdr:to>
      <cdr:x>0.95636</cdr:x>
      <cdr:y>0.99349</cdr:y>
    </cdr:to>
    <cdr:sp macro="" textlink="">
      <cdr:nvSpPr>
        <cdr:cNvPr id="2" name="TextBox 1"/>
        <cdr:cNvSpPr txBox="1"/>
      </cdr:nvSpPr>
      <cdr:spPr>
        <a:xfrm xmlns:a="http://schemas.openxmlformats.org/drawingml/2006/main">
          <a:off x="4896321" y="7035183"/>
          <a:ext cx="268022" cy="117917"/>
        </a:xfrm>
        <a:prstGeom xmlns:a="http://schemas.openxmlformats.org/drawingml/2006/main" prst="rect">
          <a:avLst/>
        </a:prstGeom>
      </cdr:spPr>
      <cdr:txBody>
        <a:bodyPr xmlns:a="http://schemas.openxmlformats.org/drawingml/2006/main" wrap="none" lIns="0" tIns="0" rIns="0" bIns="0" rtlCol="0">
          <a:sp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Arial" panose="020B0604020202020204" pitchFamily="34" charset="0"/>
              <a:cs typeface="Arial" panose="020B0604020202020204" pitchFamily="34" charset="0"/>
            </a:rPr>
            <a:t>Score</a:t>
          </a:r>
        </a:p>
      </cdr:txBody>
    </cdr:sp>
  </cdr:relSizeAnchor>
  <cdr:relSizeAnchor xmlns:cdr="http://schemas.openxmlformats.org/drawingml/2006/chartDrawing">
    <cdr:from>
      <cdr:x>0.34055</cdr:x>
      <cdr:y>0</cdr:y>
    </cdr:from>
    <cdr:to>
      <cdr:x>0.84614</cdr:x>
      <cdr:y>0.09923</cdr:y>
    </cdr:to>
    <cdr:grpSp>
      <cdr:nvGrpSpPr>
        <cdr:cNvPr id="19" name="Group 18"/>
        <cdr:cNvGrpSpPr/>
      </cdr:nvGrpSpPr>
      <cdr:grpSpPr>
        <a:xfrm xmlns:a="http://schemas.openxmlformats.org/drawingml/2006/main">
          <a:off x="1829429" y="0"/>
          <a:ext cx="2716022" cy="760269"/>
          <a:chOff x="842459" y="1844824"/>
          <a:chExt cx="2682718" cy="720080"/>
        </a:xfrm>
      </cdr:grpSpPr>
      <cdr:sp macro="" textlink="">
        <cdr:nvSpPr>
          <cdr:cNvPr id="20" name="Rectangle 19"/>
          <cdr:cNvSpPr/>
        </cdr:nvSpPr>
        <cdr:spPr>
          <a:xfrm xmlns:a="http://schemas.openxmlformats.org/drawingml/2006/main">
            <a:off x="2051720" y="2492896"/>
            <a:ext cx="288032" cy="72008"/>
          </a:xfrm>
          <a:prstGeom xmlns:a="http://schemas.openxmlformats.org/drawingml/2006/main" prst="rect">
            <a:avLst/>
          </a:prstGeom>
          <a:solidFill xmlns:a="http://schemas.openxmlformats.org/drawingml/2006/main">
            <a:srgbClr val="1F497D">
              <a:lumMod val="75000"/>
            </a:srgbClr>
          </a:solidFill>
          <a:ln xmlns:a="http://schemas.openxmlformats.org/drawingml/2006/main" w="25400" cap="flat" cmpd="sng" algn="ctr">
            <a:solidFill>
              <a:srgbClr val="1F497D">
                <a:lumMod val="75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cxnSp macro="">
        <cdr:nvCxnSpPr>
          <cdr:cNvPr id="21" name="Straight Arrow Connector 20"/>
          <cdr:cNvCxnSpPr/>
        </cdr:nvCxnSpPr>
        <cdr:spPr>
          <a:xfrm xmlns:a="http://schemas.openxmlformats.org/drawingml/2006/main">
            <a:off x="1547664"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22" name="Straight Arrow Connector 21"/>
          <cdr:cNvCxnSpPr/>
        </cdr:nvCxnSpPr>
        <cdr:spPr>
          <a:xfrm xmlns:a="http://schemas.openxmlformats.org/drawingml/2006/main">
            <a:off x="2195736"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cxnSp macro="">
        <cdr:nvCxnSpPr>
          <cdr:cNvPr id="23" name="Straight Arrow Connector 22"/>
          <cdr:cNvCxnSpPr/>
        </cdr:nvCxnSpPr>
        <cdr:spPr>
          <a:xfrm xmlns:a="http://schemas.openxmlformats.org/drawingml/2006/main">
            <a:off x="2843808"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sp macro="" textlink="">
        <cdr:nvSpPr>
          <cdr:cNvPr id="24" name="TextBox 11"/>
          <cdr:cNvSpPr txBox="1"/>
        </cdr:nvSpPr>
        <cdr:spPr>
          <a:xfrm xmlns:a="http://schemas.openxmlformats.org/drawingml/2006/main">
            <a:off x="1417030" y="2057872"/>
            <a:ext cx="381845" cy="199861"/>
          </a:xfrm>
          <a:prstGeom xmlns:a="http://schemas.openxmlformats.org/drawingml/2006/main" prst="rect">
            <a:avLst/>
          </a:prstGeom>
          <a:noFill xmlns:a="http://schemas.openxmlformats.org/drawingml/2006/main"/>
        </cdr:spPr>
        <cdr:txBody>
          <a:bodyPr xmlns:a="http://schemas.openxmlformats.org/drawingml/2006/main" wrap="none" lIns="0" tIns="0" rIns="0" bIns="0" rtlCol="0">
            <a:sp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25</a:t>
            </a:r>
            <a:r>
              <a:rPr lang="en-GB" sz="700" baseline="30000" dirty="0">
                <a:latin typeface="Arial" pitchFamily="34" charset="0"/>
                <a:cs typeface="Arial" pitchFamily="34" charset="0"/>
              </a:rPr>
              <a:t>th</a:t>
            </a:r>
            <a:r>
              <a:rPr lang="en-GB" sz="700" dirty="0">
                <a:latin typeface="Arial" pitchFamily="34" charset="0"/>
                <a:cs typeface="Arial" pitchFamily="34" charset="0"/>
              </a:rPr>
              <a:t> </a:t>
            </a:r>
          </a:p>
          <a:p xmlns:a="http://schemas.openxmlformats.org/drawingml/2006/main">
            <a:pPr algn="ctr"/>
            <a:r>
              <a:rPr lang="en-GB" sz="700" dirty="0">
                <a:latin typeface="Arial" pitchFamily="34" charset="0"/>
                <a:cs typeface="Arial" pitchFamily="34" charset="0"/>
              </a:rPr>
              <a:t>percentile</a:t>
            </a:r>
            <a:endParaRPr lang="en-US" sz="700" dirty="0">
              <a:latin typeface="Arial" pitchFamily="34" charset="0"/>
              <a:cs typeface="Arial" pitchFamily="34" charset="0"/>
            </a:endParaRPr>
          </a:p>
        </cdr:txBody>
      </cdr:sp>
      <cdr:sp macro="" textlink="">
        <cdr:nvSpPr>
          <cdr:cNvPr id="25" name="TextBox 12"/>
          <cdr:cNvSpPr txBox="1"/>
        </cdr:nvSpPr>
        <cdr:spPr>
          <a:xfrm xmlns:a="http://schemas.openxmlformats.org/drawingml/2006/main">
            <a:off x="1907704" y="1844824"/>
            <a:ext cx="648072" cy="504056"/>
          </a:xfrm>
          <a:prstGeom xmlns:a="http://schemas.openxmlformats.org/drawingml/2006/main" prst="rect">
            <a:avLst/>
          </a:prstGeom>
          <a:noFill xmlns:a="http://schemas.openxmlformats.org/drawingml/2006/main"/>
        </cdr:spPr>
        <cdr:txBody>
          <a:bodyPr xmlns:a="http://schemas.openxmlformats.org/drawingml/2006/main" wrap="square" lIns="0" tIns="0" rIns="0" bIns="0" rtlCol="0">
            <a:no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Mean and .95 confidence interval for mean</a:t>
            </a:r>
            <a:endParaRPr lang="en-US" sz="700" dirty="0">
              <a:latin typeface="Arial" pitchFamily="34" charset="0"/>
              <a:cs typeface="Arial" pitchFamily="34" charset="0"/>
            </a:endParaRPr>
          </a:p>
        </cdr:txBody>
      </cdr:sp>
      <cdr:sp macro="" textlink="">
        <cdr:nvSpPr>
          <cdr:cNvPr id="26" name="TextBox 13"/>
          <cdr:cNvSpPr txBox="1"/>
        </cdr:nvSpPr>
        <cdr:spPr>
          <a:xfrm xmlns:a="http://schemas.openxmlformats.org/drawingml/2006/main">
            <a:off x="2650512" y="2057062"/>
            <a:ext cx="381845" cy="199861"/>
          </a:xfrm>
          <a:prstGeom xmlns:a="http://schemas.openxmlformats.org/drawingml/2006/main" prst="rect">
            <a:avLst/>
          </a:prstGeom>
          <a:noFill xmlns:a="http://schemas.openxmlformats.org/drawingml/2006/main"/>
        </cdr:spPr>
        <cdr:txBody>
          <a:bodyPr xmlns:a="http://schemas.openxmlformats.org/drawingml/2006/main" wrap="none" lIns="0" tIns="0" rIns="0" bIns="0" rtlCol="0">
            <a:sp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75</a:t>
            </a:r>
            <a:r>
              <a:rPr lang="en-GB" sz="700" baseline="30000" dirty="0">
                <a:latin typeface="Arial" pitchFamily="34" charset="0"/>
                <a:cs typeface="Arial" pitchFamily="34" charset="0"/>
              </a:rPr>
              <a:t>th</a:t>
            </a:r>
            <a:r>
              <a:rPr lang="en-GB" sz="700" dirty="0">
                <a:latin typeface="Arial" pitchFamily="34" charset="0"/>
                <a:cs typeface="Arial" pitchFamily="34" charset="0"/>
              </a:rPr>
              <a:t> </a:t>
            </a:r>
          </a:p>
          <a:p xmlns:a="http://schemas.openxmlformats.org/drawingml/2006/main">
            <a:pPr algn="ctr"/>
            <a:r>
              <a:rPr lang="en-GB" sz="700" dirty="0">
                <a:latin typeface="Arial" pitchFamily="34" charset="0"/>
                <a:cs typeface="Arial" pitchFamily="34" charset="0"/>
              </a:rPr>
              <a:t>percentile</a:t>
            </a:r>
            <a:endParaRPr lang="en-US" sz="700" dirty="0">
              <a:latin typeface="Arial" pitchFamily="34" charset="0"/>
              <a:cs typeface="Arial" pitchFamily="34" charset="0"/>
            </a:endParaRPr>
          </a:p>
        </cdr:txBody>
      </cdr:sp>
      <cdr:sp macro="" textlink="">
        <cdr:nvSpPr>
          <cdr:cNvPr id="27" name="Rectangle 26"/>
          <cdr:cNvSpPr/>
        </cdr:nvSpPr>
        <cdr:spPr>
          <a:xfrm xmlns:a="http://schemas.openxmlformats.org/drawingml/2006/main">
            <a:off x="2843808" y="2492896"/>
            <a:ext cx="504056" cy="72008"/>
          </a:xfrm>
          <a:prstGeom xmlns:a="http://schemas.openxmlformats.org/drawingml/2006/main" prst="rect">
            <a:avLst/>
          </a:prstGeom>
          <a:solidFill xmlns:a="http://schemas.openxmlformats.org/drawingml/2006/main">
            <a:schemeClr val="accent3">
              <a:lumMod val="60000"/>
              <a:lumOff val="40000"/>
            </a:schemeClr>
          </a:solidFill>
          <a:ln xmlns:a="http://schemas.openxmlformats.org/drawingml/2006/main" w="25400" cap="flat" cmpd="sng" algn="ctr">
            <a:solidFill>
              <a:schemeClr val="accent3">
                <a:lumMod val="60000"/>
                <a:lumOff val="40000"/>
              </a:scheme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sp macro="" textlink="">
        <cdr:nvSpPr>
          <cdr:cNvPr id="28" name="Rectangle 27"/>
          <cdr:cNvSpPr/>
        </cdr:nvSpPr>
        <cdr:spPr>
          <a:xfrm xmlns:a="http://schemas.openxmlformats.org/drawingml/2006/main">
            <a:off x="1043608" y="2492896"/>
            <a:ext cx="504056" cy="72008"/>
          </a:xfrm>
          <a:prstGeom xmlns:a="http://schemas.openxmlformats.org/drawingml/2006/main" prst="rect">
            <a:avLst/>
          </a:prstGeom>
          <a:solidFill xmlns:a="http://schemas.openxmlformats.org/drawingml/2006/main">
            <a:schemeClr val="accent6">
              <a:lumMod val="60000"/>
              <a:lumOff val="40000"/>
            </a:schemeClr>
          </a:solidFill>
          <a:ln xmlns:a="http://schemas.openxmlformats.org/drawingml/2006/main" w="25400" cap="flat" cmpd="sng" algn="ctr">
            <a:solidFill>
              <a:schemeClr val="accent6">
                <a:lumMod val="60000"/>
                <a:lumOff val="40000"/>
              </a:scheme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sp macro="" textlink="">
        <cdr:nvSpPr>
          <cdr:cNvPr id="29" name="TextBox 16"/>
          <cdr:cNvSpPr txBox="1"/>
        </cdr:nvSpPr>
        <cdr:spPr>
          <a:xfrm xmlns:a="http://schemas.openxmlformats.org/drawingml/2006/main">
            <a:off x="3143332" y="2057052"/>
            <a:ext cx="381845" cy="199861"/>
          </a:xfrm>
          <a:prstGeom xmlns:a="http://schemas.openxmlformats.org/drawingml/2006/main" prst="rect">
            <a:avLst/>
          </a:prstGeom>
          <a:noFill xmlns:a="http://schemas.openxmlformats.org/drawingml/2006/main"/>
        </cdr:spPr>
        <cdr:txBody>
          <a:bodyPr xmlns:a="http://schemas.openxmlformats.org/drawingml/2006/main" wrap="none" lIns="0" tIns="0" rIns="0" bIns="0" rtlCol="0">
            <a:sp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95</a:t>
            </a:r>
            <a:r>
              <a:rPr lang="en-GB" sz="700" baseline="30000" dirty="0">
                <a:latin typeface="Arial" pitchFamily="34" charset="0"/>
                <a:cs typeface="Arial" pitchFamily="34" charset="0"/>
              </a:rPr>
              <a:t>th</a:t>
            </a:r>
            <a:r>
              <a:rPr lang="en-GB" sz="700" dirty="0">
                <a:latin typeface="Arial" pitchFamily="34" charset="0"/>
                <a:cs typeface="Arial" pitchFamily="34" charset="0"/>
              </a:rPr>
              <a:t> </a:t>
            </a:r>
          </a:p>
          <a:p xmlns:a="http://schemas.openxmlformats.org/drawingml/2006/main">
            <a:pPr algn="ctr"/>
            <a:r>
              <a:rPr lang="en-GB" sz="700" dirty="0">
                <a:latin typeface="Arial" pitchFamily="34" charset="0"/>
                <a:cs typeface="Arial" pitchFamily="34" charset="0"/>
              </a:rPr>
              <a:t>percentile</a:t>
            </a:r>
            <a:endParaRPr lang="en-US" sz="700" dirty="0">
              <a:latin typeface="Arial" pitchFamily="34" charset="0"/>
              <a:cs typeface="Arial" pitchFamily="34" charset="0"/>
            </a:endParaRPr>
          </a:p>
        </cdr:txBody>
      </cdr:sp>
      <cdr:cxnSp macro="">
        <cdr:nvCxnSpPr>
          <cdr:cNvPr id="30" name="Straight Arrow Connector 29"/>
          <cdr:cNvCxnSpPr/>
        </cdr:nvCxnSpPr>
        <cdr:spPr>
          <a:xfrm xmlns:a="http://schemas.openxmlformats.org/drawingml/2006/main">
            <a:off x="3347864"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sp macro="" textlink="">
        <cdr:nvSpPr>
          <cdr:cNvPr id="31" name="TextBox 18"/>
          <cdr:cNvSpPr txBox="1"/>
        </cdr:nvSpPr>
        <cdr:spPr>
          <a:xfrm xmlns:a="http://schemas.openxmlformats.org/drawingml/2006/main">
            <a:off x="842459" y="2057052"/>
            <a:ext cx="381845" cy="199861"/>
          </a:xfrm>
          <a:prstGeom xmlns:a="http://schemas.openxmlformats.org/drawingml/2006/main" prst="rect">
            <a:avLst/>
          </a:prstGeom>
          <a:noFill xmlns:a="http://schemas.openxmlformats.org/drawingml/2006/main"/>
        </cdr:spPr>
        <cdr:txBody>
          <a:bodyPr xmlns:a="http://schemas.openxmlformats.org/drawingml/2006/main" wrap="none" lIns="0" tIns="0" rIns="0" bIns="0" rtlCol="0">
            <a:spAutoFit/>
          </a:bodyPr>
          <a:lstStyle xmlns:a="http://schemas.openxmlformats.org/drawingml/2006/main">
            <a:defPPr>
              <a:defRPr lang="en-US"/>
            </a:defPPr>
            <a:lvl1pPr marL="0" algn="l" defTabSz="914400" rtl="0" eaLnBrk="1" latinLnBrk="0" hangingPunct="1">
              <a:defRPr sz="1800" kern="1200">
                <a:solidFill>
                  <a:sysClr val="windowText" lastClr="000000"/>
                </a:solidFill>
                <a:latin typeface="Calibri"/>
              </a:defRPr>
            </a:lvl1pPr>
            <a:lvl2pPr marL="457200" algn="l" defTabSz="914400" rtl="0" eaLnBrk="1" latinLnBrk="0" hangingPunct="1">
              <a:defRPr sz="1800" kern="1200">
                <a:solidFill>
                  <a:sysClr val="windowText" lastClr="000000"/>
                </a:solidFill>
                <a:latin typeface="Calibri"/>
              </a:defRPr>
            </a:lvl2pPr>
            <a:lvl3pPr marL="914400" algn="l" defTabSz="914400" rtl="0" eaLnBrk="1" latinLnBrk="0" hangingPunct="1">
              <a:defRPr sz="1800" kern="1200">
                <a:solidFill>
                  <a:sysClr val="windowText" lastClr="000000"/>
                </a:solidFill>
                <a:latin typeface="Calibri"/>
              </a:defRPr>
            </a:lvl3pPr>
            <a:lvl4pPr marL="1371600" algn="l" defTabSz="914400" rtl="0" eaLnBrk="1" latinLnBrk="0" hangingPunct="1">
              <a:defRPr sz="1800" kern="1200">
                <a:solidFill>
                  <a:sysClr val="windowText" lastClr="000000"/>
                </a:solidFill>
                <a:latin typeface="Calibri"/>
              </a:defRPr>
            </a:lvl4pPr>
            <a:lvl5pPr marL="1828800" algn="l" defTabSz="914400" rtl="0" eaLnBrk="1" latinLnBrk="0" hangingPunct="1">
              <a:defRPr sz="1800" kern="1200">
                <a:solidFill>
                  <a:sysClr val="windowText" lastClr="000000"/>
                </a:solidFill>
                <a:latin typeface="Calibri"/>
              </a:defRPr>
            </a:lvl5pPr>
            <a:lvl6pPr marL="2286000" algn="l" defTabSz="914400" rtl="0" eaLnBrk="1" latinLnBrk="0" hangingPunct="1">
              <a:defRPr sz="1800" kern="1200">
                <a:solidFill>
                  <a:sysClr val="windowText" lastClr="000000"/>
                </a:solidFill>
                <a:latin typeface="Calibri"/>
              </a:defRPr>
            </a:lvl6pPr>
            <a:lvl7pPr marL="2743200" algn="l" defTabSz="914400" rtl="0" eaLnBrk="1" latinLnBrk="0" hangingPunct="1">
              <a:defRPr sz="1800" kern="1200">
                <a:solidFill>
                  <a:sysClr val="windowText" lastClr="000000"/>
                </a:solidFill>
                <a:latin typeface="Calibri"/>
              </a:defRPr>
            </a:lvl7pPr>
            <a:lvl8pPr marL="3200400" algn="l" defTabSz="914400" rtl="0" eaLnBrk="1" latinLnBrk="0" hangingPunct="1">
              <a:defRPr sz="1800" kern="1200">
                <a:solidFill>
                  <a:sysClr val="windowText" lastClr="000000"/>
                </a:solidFill>
                <a:latin typeface="Calibri"/>
              </a:defRPr>
            </a:lvl8pPr>
            <a:lvl9pPr marL="3657600" algn="l" defTabSz="914400" rtl="0" eaLnBrk="1" latinLnBrk="0" hangingPunct="1">
              <a:defRPr sz="1800" kern="1200">
                <a:solidFill>
                  <a:sysClr val="windowText" lastClr="000000"/>
                </a:solidFill>
                <a:latin typeface="Calibri"/>
              </a:defRPr>
            </a:lvl9pPr>
          </a:lstStyle>
          <a:p xmlns:a="http://schemas.openxmlformats.org/drawingml/2006/main">
            <a:pPr algn="ctr"/>
            <a:r>
              <a:rPr lang="en-GB" sz="700" dirty="0">
                <a:latin typeface="Arial" pitchFamily="34" charset="0"/>
                <a:cs typeface="Arial" pitchFamily="34" charset="0"/>
              </a:rPr>
              <a:t>5</a:t>
            </a:r>
            <a:r>
              <a:rPr lang="en-GB" sz="700" baseline="30000" dirty="0">
                <a:latin typeface="Arial" pitchFamily="34" charset="0"/>
                <a:cs typeface="Arial" pitchFamily="34" charset="0"/>
              </a:rPr>
              <a:t>th</a:t>
            </a:r>
            <a:r>
              <a:rPr lang="en-GB" sz="700" dirty="0">
                <a:latin typeface="Arial" pitchFamily="34" charset="0"/>
                <a:cs typeface="Arial" pitchFamily="34" charset="0"/>
              </a:rPr>
              <a:t> </a:t>
            </a:r>
          </a:p>
          <a:p xmlns:a="http://schemas.openxmlformats.org/drawingml/2006/main">
            <a:pPr algn="ctr"/>
            <a:r>
              <a:rPr lang="en-GB" sz="700" dirty="0">
                <a:latin typeface="Arial" pitchFamily="34" charset="0"/>
                <a:cs typeface="Arial" pitchFamily="34" charset="0"/>
              </a:rPr>
              <a:t>percentile</a:t>
            </a:r>
            <a:endParaRPr lang="en-US" sz="700" dirty="0">
              <a:latin typeface="Arial" pitchFamily="34" charset="0"/>
              <a:cs typeface="Arial" pitchFamily="34" charset="0"/>
            </a:endParaRPr>
          </a:p>
        </cdr:txBody>
      </cdr:sp>
      <cdr:cxnSp macro="">
        <cdr:nvCxnSpPr>
          <cdr:cNvPr id="32" name="Straight Arrow Connector 31"/>
          <cdr:cNvCxnSpPr/>
        </cdr:nvCxnSpPr>
        <cdr:spPr>
          <a:xfrm xmlns:a="http://schemas.openxmlformats.org/drawingml/2006/main">
            <a:off x="1043608" y="2276872"/>
            <a:ext cx="0" cy="216024"/>
          </a:xfrm>
          <a:prstGeom xmlns:a="http://schemas.openxmlformats.org/drawingml/2006/main" prst="straightConnector1">
            <a:avLst/>
          </a:prstGeom>
          <a:noFill xmlns:a="http://schemas.openxmlformats.org/drawingml/2006/main"/>
          <a:ln xmlns:a="http://schemas.openxmlformats.org/drawingml/2006/main" w="9525" cap="flat" cmpd="sng" algn="ctr">
            <a:solidFill>
              <a:srgbClr val="4F81BD">
                <a:shade val="95000"/>
                <a:satMod val="105000"/>
              </a:srgbClr>
            </a:solidFill>
            <a:prstDash val="solid"/>
            <a:tailEnd type="arrow"/>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sp macro="" textlink="">
        <cdr:nvSpPr>
          <cdr:cNvPr id="33" name="Rectangle 32"/>
          <cdr:cNvSpPr/>
        </cdr:nvSpPr>
        <cdr:spPr>
          <a:xfrm xmlns:a="http://schemas.openxmlformats.org/drawingml/2006/main">
            <a:off x="1547664" y="2492896"/>
            <a:ext cx="504056" cy="72008"/>
          </a:xfrm>
          <a:prstGeom xmlns:a="http://schemas.openxmlformats.org/drawingml/2006/main" prst="rect">
            <a:avLst/>
          </a:prstGeom>
          <a:solidFill xmlns:a="http://schemas.openxmlformats.org/drawingml/2006/main">
            <a:srgbClr val="1F497D">
              <a:lumMod val="60000"/>
              <a:lumOff val="40000"/>
            </a:srgbClr>
          </a:solidFill>
          <a:ln xmlns:a="http://schemas.openxmlformats.org/drawingml/2006/main" w="25400" cap="flat" cmpd="sng" algn="ctr">
            <a:solidFill>
              <a:srgbClr val="1F497D">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sp macro="" textlink="">
        <cdr:nvSpPr>
          <cdr:cNvPr id="34" name="Rectangle 33"/>
          <cdr:cNvSpPr/>
        </cdr:nvSpPr>
        <cdr:spPr>
          <a:xfrm xmlns:a="http://schemas.openxmlformats.org/drawingml/2006/main">
            <a:off x="2339752" y="2492896"/>
            <a:ext cx="504056" cy="72008"/>
          </a:xfrm>
          <a:prstGeom xmlns:a="http://schemas.openxmlformats.org/drawingml/2006/main" prst="rect">
            <a:avLst/>
          </a:prstGeom>
          <a:solidFill xmlns:a="http://schemas.openxmlformats.org/drawingml/2006/main">
            <a:srgbClr val="1F497D">
              <a:lumMod val="60000"/>
              <a:lumOff val="40000"/>
            </a:srgbClr>
          </a:solidFill>
          <a:ln xmlns:a="http://schemas.openxmlformats.org/drawingml/2006/main" w="25400" cap="flat" cmpd="sng" algn="ctr">
            <a:solidFill>
              <a:srgbClr val="1F497D">
                <a:lumMod val="60000"/>
                <a:lumOff val="40000"/>
              </a:srgbClr>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defPPr>
              <a:defRPr lang="en-US"/>
            </a:defPPr>
            <a:lvl1pPr marL="0" algn="l" defTabSz="914400" rtl="0" eaLnBrk="1" latinLnBrk="0" hangingPunct="1">
              <a:defRPr sz="1800" kern="1200">
                <a:solidFill>
                  <a:sysClr val="window" lastClr="FFFFFF"/>
                </a:solidFill>
                <a:latin typeface="Calibri"/>
              </a:defRPr>
            </a:lvl1pPr>
            <a:lvl2pPr marL="457200" algn="l" defTabSz="914400" rtl="0" eaLnBrk="1" latinLnBrk="0" hangingPunct="1">
              <a:defRPr sz="1800" kern="1200">
                <a:solidFill>
                  <a:sysClr val="window" lastClr="FFFFFF"/>
                </a:solidFill>
                <a:latin typeface="Calibri"/>
              </a:defRPr>
            </a:lvl2pPr>
            <a:lvl3pPr marL="914400" algn="l" defTabSz="914400" rtl="0" eaLnBrk="1" latinLnBrk="0" hangingPunct="1">
              <a:defRPr sz="1800" kern="1200">
                <a:solidFill>
                  <a:sysClr val="window" lastClr="FFFFFF"/>
                </a:solidFill>
                <a:latin typeface="Calibri"/>
              </a:defRPr>
            </a:lvl3pPr>
            <a:lvl4pPr marL="1371600" algn="l" defTabSz="914400" rtl="0" eaLnBrk="1" latinLnBrk="0" hangingPunct="1">
              <a:defRPr sz="1800" kern="1200">
                <a:solidFill>
                  <a:sysClr val="window" lastClr="FFFFFF"/>
                </a:solidFill>
                <a:latin typeface="Calibri"/>
              </a:defRPr>
            </a:lvl4pPr>
            <a:lvl5pPr marL="1828800" algn="l" defTabSz="914400" rtl="0" eaLnBrk="1" latinLnBrk="0" hangingPunct="1">
              <a:defRPr sz="1800" kern="1200">
                <a:solidFill>
                  <a:sysClr val="window" lastClr="FFFFFF"/>
                </a:solidFill>
                <a:latin typeface="Calibri"/>
              </a:defRPr>
            </a:lvl5pPr>
            <a:lvl6pPr marL="2286000" algn="l" defTabSz="914400" rtl="0" eaLnBrk="1" latinLnBrk="0" hangingPunct="1">
              <a:defRPr sz="1800" kern="1200">
                <a:solidFill>
                  <a:sysClr val="window" lastClr="FFFFFF"/>
                </a:solidFill>
                <a:latin typeface="Calibri"/>
              </a:defRPr>
            </a:lvl6pPr>
            <a:lvl7pPr marL="2743200" algn="l" defTabSz="914400" rtl="0" eaLnBrk="1" latinLnBrk="0" hangingPunct="1">
              <a:defRPr sz="1800" kern="1200">
                <a:solidFill>
                  <a:sysClr val="window" lastClr="FFFFFF"/>
                </a:solidFill>
                <a:latin typeface="Calibri"/>
              </a:defRPr>
            </a:lvl7pPr>
            <a:lvl8pPr marL="3200400" algn="l" defTabSz="914400" rtl="0" eaLnBrk="1" latinLnBrk="0" hangingPunct="1">
              <a:defRPr sz="1800" kern="1200">
                <a:solidFill>
                  <a:sysClr val="window" lastClr="FFFFFF"/>
                </a:solidFill>
                <a:latin typeface="Calibri"/>
              </a:defRPr>
            </a:lvl8pPr>
            <a:lvl9pPr marL="3657600" algn="l" defTabSz="914400" rtl="0" eaLnBrk="1" latinLnBrk="0" hangingPunct="1">
              <a:defRPr sz="1800" kern="1200">
                <a:solidFill>
                  <a:sysClr val="window" lastClr="FFFFFF"/>
                </a:solidFill>
                <a:latin typeface="Calibri"/>
              </a:defRPr>
            </a:lvl9pPr>
          </a:lstStyle>
          <a:p xmlns:a="http://schemas.openxmlformats.org/drawingml/2006/main">
            <a:pPr algn="ctr"/>
            <a:endParaRPr lang="en-US">
              <a:latin typeface="Arial" pitchFamily="34" charset="0"/>
              <a:cs typeface="Arial" pitchFamily="34" charset="0"/>
            </a:endParaRPr>
          </a:p>
        </cdr:txBody>
      </cdr:sp>
    </cdr:grpSp>
  </cdr:relSizeAnchor>
  <cdr:relSizeAnchor xmlns:cdr="http://schemas.openxmlformats.org/drawingml/2006/chartDrawing">
    <cdr:from>
      <cdr:x>0.04963</cdr:x>
      <cdr:y>0.43782</cdr:y>
    </cdr:from>
    <cdr:to>
      <cdr:x>0.95626</cdr:x>
      <cdr:y>0.48544</cdr:y>
    </cdr:to>
    <cdr:sp macro="" textlink="">
      <cdr:nvSpPr>
        <cdr:cNvPr id="3" name="Rectangle 2"/>
        <cdr:cNvSpPr/>
      </cdr:nvSpPr>
      <cdr:spPr>
        <a:xfrm xmlns:a="http://schemas.openxmlformats.org/drawingml/2006/main">
          <a:off x="294787" y="2363981"/>
          <a:ext cx="5385192" cy="257120"/>
        </a:xfrm>
        <a:prstGeom xmlns:a="http://schemas.openxmlformats.org/drawingml/2006/main" prst="rect">
          <a:avLst/>
        </a:prstGeom>
        <a:noFill xmlns:a="http://schemas.openxmlformats.org/drawingml/2006/main"/>
        <a:ln xmlns:a="http://schemas.openxmlformats.org/drawingml/2006/main" w="9525"/>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ES"/>
        </a:p>
      </cdr:txBody>
    </cdr:sp>
  </cdr:relSizeAnchor>
</c:userShapes>
</file>

<file path=word/drawings/drawing5.xml><?xml version="1.0" encoding="utf-8"?>
<c:userShapes xmlns:c="http://schemas.openxmlformats.org/drawingml/2006/chart">
  <cdr:relSizeAnchor xmlns:cdr="http://schemas.openxmlformats.org/drawingml/2006/chartDrawing">
    <cdr:from>
      <cdr:x>0.05335</cdr:x>
      <cdr:y>0.03387</cdr:y>
    </cdr:from>
    <cdr:to>
      <cdr:x>0.26215</cdr:x>
      <cdr:y>0.23924</cdr:y>
    </cdr:to>
    <cdr:sp macro="" textlink="">
      <cdr:nvSpPr>
        <cdr:cNvPr id="4" name="TextBox 3"/>
        <cdr:cNvSpPr txBox="1"/>
      </cdr:nvSpPr>
      <cdr:spPr>
        <a:xfrm xmlns:a="http://schemas.openxmlformats.org/drawingml/2006/main">
          <a:off x="316888" y="121926"/>
          <a:ext cx="1240228" cy="739294"/>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vertOverflow="clip" wrap="square" rtlCol="0" anchor="t"/>
        <a:lstStyle xmlns:a="http://schemas.openxmlformats.org/drawingml/2006/main"/>
        <a:p xmlns:a="http://schemas.openxmlformats.org/drawingml/2006/main">
          <a:pPr algn="l"/>
          <a:r>
            <a:rPr lang="en-GB" sz="1000" b="1"/>
            <a:t>Below</a:t>
          </a:r>
          <a:r>
            <a:rPr lang="en-GB" sz="1000" b="0" baseline="0"/>
            <a:t> </a:t>
          </a:r>
          <a:r>
            <a:rPr lang="en-GB" sz="1000"/>
            <a:t>average mean</a:t>
          </a:r>
          <a:r>
            <a:rPr lang="en-GB" sz="1000" baseline="0"/>
            <a:t> score </a:t>
          </a:r>
        </a:p>
        <a:p xmlns:a="http://schemas.openxmlformats.org/drawingml/2006/main">
          <a:pPr algn="l"/>
          <a:r>
            <a:rPr lang="en-GB" sz="1000" b="1" baseline="0"/>
            <a:t>Below</a:t>
          </a:r>
          <a:r>
            <a:rPr lang="en-GB" sz="1000" b="0" baseline="0"/>
            <a:t> </a:t>
          </a:r>
          <a:r>
            <a:rPr lang="en-GB" sz="1000" baseline="0"/>
            <a:t>average equity</a:t>
          </a:r>
        </a:p>
      </cdr:txBody>
    </cdr:sp>
  </cdr:relSizeAnchor>
  <cdr:relSizeAnchor xmlns:cdr="http://schemas.openxmlformats.org/drawingml/2006/chartDrawing">
    <cdr:from>
      <cdr:x>0.65902</cdr:x>
      <cdr:y>0.76204</cdr:y>
    </cdr:from>
    <cdr:to>
      <cdr:x>0.96742</cdr:x>
      <cdr:y>0.90972</cdr:y>
    </cdr:to>
    <cdr:sp macro="" textlink="">
      <cdr:nvSpPr>
        <cdr:cNvPr id="5" name="TextBox 1"/>
        <cdr:cNvSpPr txBox="1"/>
      </cdr:nvSpPr>
      <cdr:spPr>
        <a:xfrm xmlns:a="http://schemas.openxmlformats.org/drawingml/2006/main">
          <a:off x="3795593" y="2743200"/>
          <a:ext cx="1776207" cy="531628"/>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Above</a:t>
          </a:r>
          <a:r>
            <a:rPr lang="en-GB" sz="1000" b="0" baseline="0"/>
            <a:t> </a:t>
          </a:r>
          <a:r>
            <a:rPr lang="en-GB" sz="1000"/>
            <a:t>average mean</a:t>
          </a:r>
          <a:r>
            <a:rPr lang="en-GB" sz="1000" baseline="0"/>
            <a:t> score</a:t>
          </a:r>
          <a:r>
            <a:rPr lang="en-GB" sz="1000"/>
            <a:t> </a:t>
          </a:r>
          <a:r>
            <a:rPr lang="en-GB" sz="1000" baseline="0"/>
            <a:t>   </a:t>
          </a:r>
          <a:r>
            <a:rPr lang="en-GB" sz="1000" b="1" baseline="0"/>
            <a:t>Above </a:t>
          </a:r>
          <a:r>
            <a:rPr lang="en-GB" sz="1000" baseline="0"/>
            <a:t>average equity</a:t>
          </a:r>
          <a:endParaRPr lang="en-GB" sz="1000"/>
        </a:p>
      </cdr:txBody>
    </cdr:sp>
  </cdr:relSizeAnchor>
  <cdr:relSizeAnchor xmlns:cdr="http://schemas.openxmlformats.org/drawingml/2006/chartDrawing">
    <cdr:from>
      <cdr:x>0.75506</cdr:x>
      <cdr:y>0.03556</cdr:y>
    </cdr:from>
    <cdr:to>
      <cdr:x>0.96327</cdr:x>
      <cdr:y>0.23334</cdr:y>
    </cdr:to>
    <cdr:sp macro="" textlink="">
      <cdr:nvSpPr>
        <cdr:cNvPr id="6" name="TextBox 1"/>
        <cdr:cNvSpPr txBox="1"/>
      </cdr:nvSpPr>
      <cdr:spPr>
        <a:xfrm xmlns:a="http://schemas.openxmlformats.org/drawingml/2006/main">
          <a:off x="4348715" y="128009"/>
          <a:ext cx="1199189" cy="711963"/>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Above</a:t>
          </a:r>
          <a:r>
            <a:rPr lang="en-GB" sz="1000" b="0" baseline="0"/>
            <a:t> </a:t>
          </a:r>
          <a:r>
            <a:rPr lang="en-GB" sz="1000"/>
            <a:t>average mean</a:t>
          </a:r>
          <a:r>
            <a:rPr lang="en-GB" sz="1000" baseline="0"/>
            <a:t> score   </a:t>
          </a:r>
        </a:p>
        <a:p xmlns:a="http://schemas.openxmlformats.org/drawingml/2006/main">
          <a:pPr algn="l"/>
          <a:r>
            <a:rPr lang="en-GB" sz="1000" b="1" baseline="0"/>
            <a:t>Below</a:t>
          </a:r>
          <a:r>
            <a:rPr lang="en-GB" sz="1000" b="0" baseline="0"/>
            <a:t> </a:t>
          </a:r>
          <a:r>
            <a:rPr lang="en-GB" sz="1000" baseline="0"/>
            <a:t>average equity</a:t>
          </a:r>
          <a:endParaRPr lang="en-GB" sz="1000"/>
        </a:p>
      </cdr:txBody>
    </cdr:sp>
  </cdr:relSizeAnchor>
  <cdr:relSizeAnchor xmlns:cdr="http://schemas.openxmlformats.org/drawingml/2006/chartDrawing">
    <cdr:from>
      <cdr:x>0.04984</cdr:x>
      <cdr:y>0.75909</cdr:y>
    </cdr:from>
    <cdr:to>
      <cdr:x>0.36244</cdr:x>
      <cdr:y>0.91858</cdr:y>
    </cdr:to>
    <cdr:sp macro="" textlink="">
      <cdr:nvSpPr>
        <cdr:cNvPr id="7" name="TextBox 1"/>
        <cdr:cNvSpPr txBox="1"/>
      </cdr:nvSpPr>
      <cdr:spPr>
        <a:xfrm xmlns:a="http://schemas.openxmlformats.org/drawingml/2006/main">
          <a:off x="296039" y="2732584"/>
          <a:ext cx="1856778" cy="574134"/>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Below</a:t>
          </a:r>
          <a:r>
            <a:rPr lang="en-GB" sz="1000" b="0" baseline="0"/>
            <a:t> </a:t>
          </a:r>
          <a:r>
            <a:rPr lang="en-GB" sz="1000"/>
            <a:t>average mean</a:t>
          </a:r>
          <a:r>
            <a:rPr lang="en-GB" sz="1000" baseline="0"/>
            <a:t> score   </a:t>
          </a:r>
          <a:r>
            <a:rPr lang="en-GB" sz="1000" b="1" baseline="0"/>
            <a:t>Above</a:t>
          </a:r>
          <a:r>
            <a:rPr lang="en-GB" sz="1000" b="0" baseline="0"/>
            <a:t> </a:t>
          </a:r>
          <a:r>
            <a:rPr lang="en-GB" sz="1000" baseline="0"/>
            <a:t>average equity</a:t>
          </a:r>
        </a:p>
      </cdr:txBody>
    </cdr:sp>
  </cdr:relSizeAnchor>
  <cdr:relSizeAnchor xmlns:cdr="http://schemas.openxmlformats.org/drawingml/2006/chartDrawing">
    <cdr:from>
      <cdr:x>0.52614</cdr:x>
      <cdr:y>0.48144</cdr:y>
    </cdr:from>
    <cdr:to>
      <cdr:x>0.52859</cdr:x>
      <cdr:y>0.51634</cdr:y>
    </cdr:to>
    <cdr:cxnSp macro="">
      <cdr:nvCxnSpPr>
        <cdr:cNvPr id="3" name="Straight Connector 2"/>
        <cdr:cNvCxnSpPr/>
      </cdr:nvCxnSpPr>
      <cdr:spPr>
        <a:xfrm xmlns:a="http://schemas.openxmlformats.org/drawingml/2006/main" flipH="1" flipV="1">
          <a:off x="3030279" y="1733107"/>
          <a:ext cx="14109" cy="125622"/>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0.55309</cdr:x>
      <cdr:y>0.48366</cdr:y>
    </cdr:from>
    <cdr:to>
      <cdr:x>0.5706</cdr:x>
      <cdr:y>0.5098</cdr:y>
    </cdr:to>
    <cdr:cxnSp macro="">
      <cdr:nvCxnSpPr>
        <cdr:cNvPr id="12" name="Straight Connector 11"/>
        <cdr:cNvCxnSpPr/>
      </cdr:nvCxnSpPr>
      <cdr:spPr>
        <a:xfrm xmlns:a="http://schemas.openxmlformats.org/drawingml/2006/main" flipH="1" flipV="1">
          <a:off x="3009900" y="2114550"/>
          <a:ext cx="95250" cy="11430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0.1403</cdr:x>
      <cdr:y>0.50212</cdr:y>
    </cdr:from>
    <cdr:to>
      <cdr:x>0.16061</cdr:x>
      <cdr:y>0.50507</cdr:y>
    </cdr:to>
    <cdr:cxnSp macro="">
      <cdr:nvCxnSpPr>
        <cdr:cNvPr id="8" name="Straight Connector 7"/>
        <cdr:cNvCxnSpPr/>
      </cdr:nvCxnSpPr>
      <cdr:spPr>
        <a:xfrm xmlns:a="http://schemas.openxmlformats.org/drawingml/2006/main" flipH="1" flipV="1">
          <a:off x="833353" y="1807539"/>
          <a:ext cx="120637" cy="10620"/>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6.xml><?xml version="1.0" encoding="utf-8"?>
<c:userShapes xmlns:c="http://schemas.openxmlformats.org/drawingml/2006/chart">
  <cdr:relSizeAnchor xmlns:cdr="http://schemas.openxmlformats.org/drawingml/2006/chartDrawing">
    <cdr:from>
      <cdr:x>0.05397</cdr:x>
      <cdr:y>0.03387</cdr:y>
    </cdr:from>
    <cdr:to>
      <cdr:x>0.3569</cdr:x>
      <cdr:y>0.1799</cdr:y>
    </cdr:to>
    <cdr:sp macro="" textlink="">
      <cdr:nvSpPr>
        <cdr:cNvPr id="4" name="TextBox 3"/>
        <cdr:cNvSpPr txBox="1"/>
      </cdr:nvSpPr>
      <cdr:spPr>
        <a:xfrm xmlns:a="http://schemas.openxmlformats.org/drawingml/2006/main">
          <a:off x="310838" y="134120"/>
          <a:ext cx="1744710" cy="578262"/>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vertOverflow="clip" wrap="square" rtlCol="0" anchor="t"/>
        <a:lstStyle xmlns:a="http://schemas.openxmlformats.org/drawingml/2006/main"/>
        <a:p xmlns:a="http://schemas.openxmlformats.org/drawingml/2006/main">
          <a:pPr algn="l"/>
          <a:r>
            <a:rPr lang="en-GB" sz="1000" b="1"/>
            <a:t>Below</a:t>
          </a:r>
          <a:r>
            <a:rPr lang="en-GB" sz="1000" b="0" baseline="0"/>
            <a:t> </a:t>
          </a:r>
          <a:r>
            <a:rPr lang="en-GB" sz="1000"/>
            <a:t>average mean</a:t>
          </a:r>
          <a:r>
            <a:rPr lang="en-GB" sz="1000" baseline="0"/>
            <a:t> score, </a:t>
          </a:r>
          <a:r>
            <a:rPr lang="en-GB" sz="1000" b="1" baseline="0"/>
            <a:t>Below</a:t>
          </a:r>
          <a:r>
            <a:rPr lang="en-GB" sz="1000" b="0" baseline="0"/>
            <a:t> </a:t>
          </a:r>
          <a:r>
            <a:rPr lang="en-GB" sz="1000" baseline="0"/>
            <a:t>average equity</a:t>
          </a:r>
          <a:endParaRPr lang="en-GB" sz="1000"/>
        </a:p>
      </cdr:txBody>
    </cdr:sp>
  </cdr:relSizeAnchor>
  <cdr:relSizeAnchor xmlns:cdr="http://schemas.openxmlformats.org/drawingml/2006/chartDrawing">
    <cdr:from>
      <cdr:x>0.65919</cdr:x>
      <cdr:y>0.76525</cdr:y>
    </cdr:from>
    <cdr:to>
      <cdr:x>0.9602</cdr:x>
      <cdr:y>0.9183</cdr:y>
    </cdr:to>
    <cdr:sp macro="" textlink="">
      <cdr:nvSpPr>
        <cdr:cNvPr id="5" name="TextBox 1"/>
        <cdr:cNvSpPr txBox="1"/>
      </cdr:nvSpPr>
      <cdr:spPr>
        <a:xfrm xmlns:a="http://schemas.openxmlformats.org/drawingml/2006/main">
          <a:off x="3796572" y="3030280"/>
          <a:ext cx="1733652" cy="606055"/>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Above</a:t>
          </a:r>
          <a:r>
            <a:rPr lang="en-GB" sz="1000" b="0" baseline="0"/>
            <a:t> </a:t>
          </a:r>
          <a:r>
            <a:rPr lang="en-GB" sz="1000"/>
            <a:t>average mean</a:t>
          </a:r>
          <a:r>
            <a:rPr lang="en-GB" sz="1000" baseline="0"/>
            <a:t> score</a:t>
          </a:r>
          <a:r>
            <a:rPr lang="en-GB" sz="1000"/>
            <a:t> </a:t>
          </a:r>
          <a:r>
            <a:rPr lang="en-GB" sz="1000" baseline="0"/>
            <a:t>   </a:t>
          </a:r>
        </a:p>
        <a:p xmlns:a="http://schemas.openxmlformats.org/drawingml/2006/main">
          <a:pPr algn="l"/>
          <a:r>
            <a:rPr lang="en-GB" sz="1000" b="1" baseline="0"/>
            <a:t>Above</a:t>
          </a:r>
          <a:r>
            <a:rPr lang="en-GB" sz="1000" b="0" baseline="0"/>
            <a:t> </a:t>
          </a:r>
          <a:r>
            <a:rPr lang="en-GB" sz="1000" baseline="0"/>
            <a:t>average  equity</a:t>
          </a:r>
          <a:endParaRPr lang="en-GB" sz="1000"/>
        </a:p>
      </cdr:txBody>
    </cdr:sp>
  </cdr:relSizeAnchor>
  <cdr:relSizeAnchor xmlns:cdr="http://schemas.openxmlformats.org/drawingml/2006/chartDrawing">
    <cdr:from>
      <cdr:x>0.65919</cdr:x>
      <cdr:y>0.02879</cdr:y>
    </cdr:from>
    <cdr:to>
      <cdr:x>0.96327</cdr:x>
      <cdr:y>0.1795</cdr:y>
    </cdr:to>
    <cdr:sp macro="" textlink="">
      <cdr:nvSpPr>
        <cdr:cNvPr id="6" name="TextBox 1"/>
        <cdr:cNvSpPr txBox="1"/>
      </cdr:nvSpPr>
      <cdr:spPr>
        <a:xfrm xmlns:a="http://schemas.openxmlformats.org/drawingml/2006/main">
          <a:off x="3796589" y="124357"/>
          <a:ext cx="1751316" cy="651053"/>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Above</a:t>
          </a:r>
          <a:r>
            <a:rPr lang="en-GB" sz="1000" b="0" baseline="0"/>
            <a:t> </a:t>
          </a:r>
          <a:r>
            <a:rPr lang="en-GB" sz="1000"/>
            <a:t>average mean</a:t>
          </a:r>
          <a:r>
            <a:rPr lang="en-GB" sz="1000" baseline="0"/>
            <a:t> score   </a:t>
          </a:r>
          <a:r>
            <a:rPr lang="en-GB" sz="1000" b="1" baseline="0"/>
            <a:t>Below</a:t>
          </a:r>
          <a:r>
            <a:rPr lang="en-GB" sz="1000" b="0" baseline="0"/>
            <a:t> </a:t>
          </a:r>
          <a:r>
            <a:rPr lang="en-GB" sz="1000" baseline="0"/>
            <a:t>average equity</a:t>
          </a:r>
          <a:endParaRPr lang="en-GB" sz="1000"/>
        </a:p>
      </cdr:txBody>
    </cdr:sp>
  </cdr:relSizeAnchor>
  <cdr:relSizeAnchor xmlns:cdr="http://schemas.openxmlformats.org/drawingml/2006/chartDrawing">
    <cdr:from>
      <cdr:x>0.0508</cdr:x>
      <cdr:y>0.76525</cdr:y>
    </cdr:from>
    <cdr:to>
      <cdr:x>0.35944</cdr:x>
      <cdr:y>0.91561</cdr:y>
    </cdr:to>
    <cdr:sp macro="" textlink="">
      <cdr:nvSpPr>
        <cdr:cNvPr id="7" name="TextBox 1"/>
        <cdr:cNvSpPr txBox="1"/>
      </cdr:nvSpPr>
      <cdr:spPr>
        <a:xfrm xmlns:a="http://schemas.openxmlformats.org/drawingml/2006/main">
          <a:off x="292580" y="3030281"/>
          <a:ext cx="1777597" cy="595422"/>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Below</a:t>
          </a:r>
          <a:r>
            <a:rPr lang="en-GB" sz="1000" b="0" baseline="0"/>
            <a:t> </a:t>
          </a:r>
          <a:r>
            <a:rPr lang="en-GB" sz="1000"/>
            <a:t>average mean</a:t>
          </a:r>
          <a:r>
            <a:rPr lang="en-GB" sz="1000" baseline="0"/>
            <a:t> score   </a:t>
          </a:r>
          <a:r>
            <a:rPr lang="en-GB" sz="1000" b="1" baseline="0"/>
            <a:t>Above</a:t>
          </a:r>
          <a:r>
            <a:rPr lang="en-GB" sz="1000" b="0" baseline="0"/>
            <a:t> </a:t>
          </a:r>
          <a:r>
            <a:rPr lang="en-GB" sz="1000" baseline="0"/>
            <a:t>average equity</a:t>
          </a:r>
        </a:p>
        <a:p xmlns:a="http://schemas.openxmlformats.org/drawingml/2006/main">
          <a:pPr algn="l"/>
          <a:endParaRPr lang="en-GB" sz="700" baseline="0"/>
        </a:p>
      </cdr:txBody>
    </cdr:sp>
  </cdr:relSizeAnchor>
  <cdr:relSizeAnchor xmlns:cdr="http://schemas.openxmlformats.org/drawingml/2006/chartDrawing">
    <cdr:from>
      <cdr:x>0.17065</cdr:x>
      <cdr:y>0.56187</cdr:y>
    </cdr:from>
    <cdr:to>
      <cdr:x>0.18086</cdr:x>
      <cdr:y>0.59343</cdr:y>
    </cdr:to>
    <cdr:cxnSp macro="">
      <cdr:nvCxnSpPr>
        <cdr:cNvPr id="3" name="Straight Connector 2"/>
        <cdr:cNvCxnSpPr/>
      </cdr:nvCxnSpPr>
      <cdr:spPr>
        <a:xfrm xmlns:a="http://schemas.openxmlformats.org/drawingml/2006/main" flipH="1">
          <a:off x="928687" y="2119312"/>
          <a:ext cx="55564" cy="119062"/>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7.xml><?xml version="1.0" encoding="utf-8"?>
<c:userShapes xmlns:c="http://schemas.openxmlformats.org/drawingml/2006/chart">
  <cdr:relSizeAnchor xmlns:cdr="http://schemas.openxmlformats.org/drawingml/2006/chartDrawing">
    <cdr:from>
      <cdr:x>0.62696</cdr:x>
      <cdr:y>0.04362</cdr:y>
    </cdr:from>
    <cdr:to>
      <cdr:x>0.66152</cdr:x>
      <cdr:y>0.99938</cdr:y>
    </cdr:to>
    <cdr:sp macro="" textlink="">
      <cdr:nvSpPr>
        <cdr:cNvPr id="2" name="Rectangle 1"/>
        <cdr:cNvSpPr/>
      </cdr:nvSpPr>
      <cdr:spPr>
        <a:xfrm xmlns:a="http://schemas.openxmlformats.org/drawingml/2006/main" rot="16200000">
          <a:off x="2248436" y="1495960"/>
          <a:ext cx="2924073" cy="199055"/>
        </a:xfrm>
        <a:prstGeom xmlns:a="http://schemas.openxmlformats.org/drawingml/2006/main" prst="rect">
          <a:avLst/>
        </a:prstGeom>
        <a:noFill xmlns:a="http://schemas.openxmlformats.org/drawingml/2006/main"/>
        <a:ln xmlns:a="http://schemas.openxmlformats.org/drawingml/2006/main" w="19050">
          <a:solidFill>
            <a:schemeClr val="accent2"/>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userShapes>
</file>

<file path=word/drawings/drawing8.xml><?xml version="1.0" encoding="utf-8"?>
<c:userShapes xmlns:c="http://schemas.openxmlformats.org/drawingml/2006/chart">
  <cdr:relSizeAnchor xmlns:cdr="http://schemas.openxmlformats.org/drawingml/2006/chartDrawing">
    <cdr:from>
      <cdr:x>0.33684</cdr:x>
      <cdr:y>0.01941</cdr:y>
    </cdr:from>
    <cdr:to>
      <cdr:x>0.36908</cdr:x>
      <cdr:y>0.85174</cdr:y>
    </cdr:to>
    <cdr:sp macro="" textlink="">
      <cdr:nvSpPr>
        <cdr:cNvPr id="2" name="Rectangle 1"/>
        <cdr:cNvSpPr/>
      </cdr:nvSpPr>
      <cdr:spPr>
        <a:xfrm xmlns:a="http://schemas.openxmlformats.org/drawingml/2006/main" rot="16200000">
          <a:off x="759618" y="1239773"/>
          <a:ext cx="2546462" cy="185670"/>
        </a:xfrm>
        <a:prstGeom xmlns:a="http://schemas.openxmlformats.org/drawingml/2006/main" prst="rect">
          <a:avLst/>
        </a:prstGeom>
        <a:noFill xmlns:a="http://schemas.openxmlformats.org/drawingml/2006/main"/>
        <a:ln xmlns:a="http://schemas.openxmlformats.org/drawingml/2006/main" w="19050">
          <a:solidFill>
            <a:schemeClr val="accent2"/>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sp>
  </cdr:relSizeAnchor>
</c:userShapes>
</file>

<file path=word/drawings/drawing9.xml><?xml version="1.0" encoding="utf-8"?>
<c:userShapes xmlns:c="http://schemas.openxmlformats.org/drawingml/2006/chart">
  <cdr:relSizeAnchor xmlns:cdr="http://schemas.openxmlformats.org/drawingml/2006/chartDrawing">
    <cdr:from>
      <cdr:x>0.57114</cdr:x>
      <cdr:y>0.5773</cdr:y>
    </cdr:from>
    <cdr:to>
      <cdr:x>0.59589</cdr:x>
      <cdr:y>0.63008</cdr:y>
    </cdr:to>
    <cdr:cxnSp macro="">
      <cdr:nvCxnSpPr>
        <cdr:cNvPr id="8" name="Straight Connector 7"/>
        <cdr:cNvCxnSpPr/>
      </cdr:nvCxnSpPr>
      <cdr:spPr>
        <a:xfrm xmlns:a="http://schemas.openxmlformats.org/drawingml/2006/main" flipH="1" flipV="1">
          <a:off x="3289465" y="2078182"/>
          <a:ext cx="142505" cy="190006"/>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0.71165</cdr:x>
      <cdr:y>0.05086</cdr:y>
    </cdr:from>
    <cdr:to>
      <cdr:x>0.95014</cdr:x>
      <cdr:y>0.18893</cdr:y>
    </cdr:to>
    <cdr:sp macro="" textlink="">
      <cdr:nvSpPr>
        <cdr:cNvPr id="12" name="TextBox 1"/>
        <cdr:cNvSpPr txBox="1"/>
      </cdr:nvSpPr>
      <cdr:spPr>
        <a:xfrm xmlns:a="http://schemas.openxmlformats.org/drawingml/2006/main">
          <a:off x="4098713" y="201397"/>
          <a:ext cx="1373571" cy="546747"/>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t"/>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Above</a:t>
          </a:r>
          <a:r>
            <a:rPr lang="en-GB" sz="1000" b="0"/>
            <a:t>-</a:t>
          </a:r>
          <a:r>
            <a:rPr lang="en-GB" sz="1000"/>
            <a:t>average IALS </a:t>
          </a:r>
          <a:r>
            <a:rPr lang="en-GB" sz="1000" baseline="0"/>
            <a:t>   </a:t>
          </a:r>
          <a:r>
            <a:rPr lang="en-GB" sz="1000" b="1" baseline="0"/>
            <a:t>Above</a:t>
          </a:r>
          <a:r>
            <a:rPr lang="en-GB" sz="1000" baseline="0"/>
            <a:t>-average PIAAC </a:t>
          </a:r>
          <a:endParaRPr lang="en-GB" sz="1000"/>
        </a:p>
      </cdr:txBody>
    </cdr:sp>
  </cdr:relSizeAnchor>
  <cdr:relSizeAnchor xmlns:cdr="http://schemas.openxmlformats.org/drawingml/2006/chartDrawing">
    <cdr:from>
      <cdr:x>0.06358</cdr:x>
      <cdr:y>0.79862</cdr:y>
    </cdr:from>
    <cdr:to>
      <cdr:x>0.30098</cdr:x>
      <cdr:y>0.93282</cdr:y>
    </cdr:to>
    <cdr:sp macro="" textlink="">
      <cdr:nvSpPr>
        <cdr:cNvPr id="13" name="TextBox 1"/>
        <cdr:cNvSpPr txBox="1"/>
      </cdr:nvSpPr>
      <cdr:spPr>
        <a:xfrm xmlns:a="http://schemas.openxmlformats.org/drawingml/2006/main">
          <a:off x="366175" y="3162421"/>
          <a:ext cx="1367294" cy="531413"/>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b"/>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Below</a:t>
          </a:r>
          <a:r>
            <a:rPr lang="en-GB" sz="1000" b="0"/>
            <a:t>-</a:t>
          </a:r>
          <a:r>
            <a:rPr lang="en-GB" sz="1000"/>
            <a:t>average IALS </a:t>
          </a:r>
          <a:r>
            <a:rPr lang="en-GB" sz="1000" baseline="0"/>
            <a:t>   </a:t>
          </a:r>
          <a:r>
            <a:rPr lang="en-GB" sz="1000" b="1" baseline="0"/>
            <a:t>Below</a:t>
          </a:r>
          <a:r>
            <a:rPr lang="en-GB" sz="1000" baseline="0"/>
            <a:t>-average PIAAC </a:t>
          </a:r>
          <a:endParaRPr lang="en-GB" sz="1000"/>
        </a:p>
      </cdr:txBody>
    </cdr:sp>
  </cdr:relSizeAnchor>
  <cdr:relSizeAnchor xmlns:cdr="http://schemas.openxmlformats.org/drawingml/2006/chartDrawing">
    <cdr:from>
      <cdr:x>0.71445</cdr:x>
      <cdr:y>0.79172</cdr:y>
    </cdr:from>
    <cdr:to>
      <cdr:x>0.95207</cdr:x>
      <cdr:y>0.93358</cdr:y>
    </cdr:to>
    <cdr:sp macro="" textlink="">
      <cdr:nvSpPr>
        <cdr:cNvPr id="14" name="TextBox 1"/>
        <cdr:cNvSpPr txBox="1"/>
      </cdr:nvSpPr>
      <cdr:spPr>
        <a:xfrm xmlns:a="http://schemas.openxmlformats.org/drawingml/2006/main">
          <a:off x="4114839" y="2850047"/>
          <a:ext cx="1368561" cy="510670"/>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b"/>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Above</a:t>
          </a:r>
          <a:r>
            <a:rPr lang="en-GB" sz="1000" b="0"/>
            <a:t>-</a:t>
          </a:r>
          <a:r>
            <a:rPr lang="en-GB" sz="1000"/>
            <a:t>average IALS </a:t>
          </a:r>
          <a:r>
            <a:rPr lang="en-GB" sz="1000" baseline="0"/>
            <a:t>   </a:t>
          </a:r>
          <a:r>
            <a:rPr lang="en-GB" sz="1000" b="1" baseline="0"/>
            <a:t>Below</a:t>
          </a:r>
          <a:r>
            <a:rPr lang="en-GB" sz="1000" baseline="0"/>
            <a:t>-average PIAAC </a:t>
          </a:r>
          <a:endParaRPr lang="en-GB" sz="1000"/>
        </a:p>
      </cdr:txBody>
    </cdr:sp>
  </cdr:relSizeAnchor>
  <cdr:relSizeAnchor xmlns:cdr="http://schemas.openxmlformats.org/drawingml/2006/chartDrawing">
    <cdr:from>
      <cdr:x>0.06564</cdr:x>
      <cdr:y>0.05006</cdr:y>
    </cdr:from>
    <cdr:to>
      <cdr:x>0.30161</cdr:x>
      <cdr:y>0.18474</cdr:y>
    </cdr:to>
    <cdr:sp macro="" textlink="">
      <cdr:nvSpPr>
        <cdr:cNvPr id="15" name="TextBox 1"/>
        <cdr:cNvSpPr txBox="1"/>
      </cdr:nvSpPr>
      <cdr:spPr>
        <a:xfrm xmlns:a="http://schemas.openxmlformats.org/drawingml/2006/main">
          <a:off x="378050" y="180206"/>
          <a:ext cx="1359058" cy="484811"/>
        </a:xfrm>
        <a:prstGeom xmlns:a="http://schemas.openxmlformats.org/drawingml/2006/main" prst="rect">
          <a:avLst/>
        </a:prstGeom>
        <a:solidFill xmlns:a="http://schemas.openxmlformats.org/drawingml/2006/main">
          <a:schemeClr val="bg1">
            <a:lumMod val="85000"/>
          </a:schemeClr>
        </a:solidFill>
      </cdr:spPr>
      <cdr:txBody>
        <a:bodyPr xmlns:a="http://schemas.openxmlformats.org/drawingml/2006/main" wrap="square" rtlCol="0" anchor="b"/>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l"/>
          <a:r>
            <a:rPr lang="en-GB" sz="1000" b="1"/>
            <a:t>Below</a:t>
          </a:r>
          <a:r>
            <a:rPr lang="en-GB" sz="1000" b="0"/>
            <a:t>-</a:t>
          </a:r>
          <a:r>
            <a:rPr lang="en-GB" sz="1000"/>
            <a:t>average IALS </a:t>
          </a:r>
          <a:r>
            <a:rPr lang="en-GB" sz="1000" baseline="0"/>
            <a:t>   </a:t>
          </a:r>
          <a:r>
            <a:rPr lang="en-GB" sz="1000" b="1" baseline="0"/>
            <a:t>Above</a:t>
          </a:r>
          <a:r>
            <a:rPr lang="en-GB" sz="1000" baseline="0"/>
            <a:t>-average PIAAC </a:t>
          </a:r>
          <a:endParaRPr lang="en-GB" sz="10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EC34BEBC28A9840B9D23A71B838C372" ma:contentTypeVersion="0" ma:contentTypeDescription="Create a new document." ma:contentTypeScope="" ma:versionID="84f83ac8781b75304bde790749700025">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C2EFC1-4562-439D-B420-65DF949255C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CF6D827-F603-4C6B-ACB6-9726CAA5D8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9EC3AEB-FDF5-467E-AE6C-5CFABBE563E3}">
  <ds:schemaRefs>
    <ds:schemaRef ds:uri="http://schemas.microsoft.com/sharepoint/v3/contenttype/forms"/>
  </ds:schemaRefs>
</ds:datastoreItem>
</file>

<file path=customXml/itemProps4.xml><?xml version="1.0" encoding="utf-8"?>
<ds:datastoreItem xmlns:ds="http://schemas.openxmlformats.org/officeDocument/2006/customXml" ds:itemID="{3C7E3F64-2912-4C59-8B75-76A306EEA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01.colour_EMPL_word doc template_EN.dot</Template>
  <TotalTime>0</TotalTime>
  <Pages>3</Pages>
  <Words>38891</Words>
  <Characters>221683</Characters>
  <Application>Microsoft Office Word</Application>
  <DocSecurity>0</DocSecurity>
  <Lines>1847</Lines>
  <Paragraphs>520</Paragraphs>
  <ScaleCrop>false</ScaleCrop>
  <HeadingPairs>
    <vt:vector size="2" baseType="variant">
      <vt:variant>
        <vt:lpstr>Title</vt:lpstr>
      </vt:variant>
      <vt:variant>
        <vt:i4>1</vt:i4>
      </vt:variant>
    </vt:vector>
  </HeadingPairs>
  <TitlesOfParts>
    <vt:vector size="1" baseType="lpstr">
      <vt:lpstr>study template</vt:lpstr>
    </vt:vector>
  </TitlesOfParts>
  <Company>European Commission</Company>
  <LinksUpToDate>false</LinksUpToDate>
  <CharactersWithSpaces>260054</CharactersWithSpaces>
  <SharedDoc>false</SharedDoc>
  <HLinks>
    <vt:vector size="78" baseType="variant">
      <vt:variant>
        <vt:i4>4718719</vt:i4>
      </vt:variant>
      <vt:variant>
        <vt:i4>69</vt:i4>
      </vt:variant>
      <vt:variant>
        <vt:i4>0</vt:i4>
      </vt:variant>
      <vt:variant>
        <vt:i4>5</vt:i4>
      </vt:variant>
      <vt:variant>
        <vt:lpwstr>http://europa.eu.int/citizensrights/signpost/about/index_en.htm</vt:lpwstr>
      </vt:variant>
      <vt:variant>
        <vt:lpwstr>note1#note1</vt:lpwstr>
      </vt:variant>
      <vt:variant>
        <vt:i4>1769528</vt:i4>
      </vt:variant>
      <vt:variant>
        <vt:i4>66</vt:i4>
      </vt:variant>
      <vt:variant>
        <vt:i4>0</vt:i4>
      </vt:variant>
      <vt:variant>
        <vt:i4>5</vt:i4>
      </vt:variant>
      <vt:variant>
        <vt:lpwstr/>
      </vt:variant>
      <vt:variant>
        <vt:lpwstr>_Headings_and_subheadings</vt:lpwstr>
      </vt:variant>
      <vt:variant>
        <vt:i4>1900602</vt:i4>
      </vt:variant>
      <vt:variant>
        <vt:i4>59</vt:i4>
      </vt:variant>
      <vt:variant>
        <vt:i4>0</vt:i4>
      </vt:variant>
      <vt:variant>
        <vt:i4>5</vt:i4>
      </vt:variant>
      <vt:variant>
        <vt:lpwstr/>
      </vt:variant>
      <vt:variant>
        <vt:lpwstr>_Toc271882178</vt:lpwstr>
      </vt:variant>
      <vt:variant>
        <vt:i4>1900602</vt:i4>
      </vt:variant>
      <vt:variant>
        <vt:i4>53</vt:i4>
      </vt:variant>
      <vt:variant>
        <vt:i4>0</vt:i4>
      </vt:variant>
      <vt:variant>
        <vt:i4>5</vt:i4>
      </vt:variant>
      <vt:variant>
        <vt:lpwstr/>
      </vt:variant>
      <vt:variant>
        <vt:lpwstr>_Toc271882177</vt:lpwstr>
      </vt:variant>
      <vt:variant>
        <vt:i4>1900602</vt:i4>
      </vt:variant>
      <vt:variant>
        <vt:i4>47</vt:i4>
      </vt:variant>
      <vt:variant>
        <vt:i4>0</vt:i4>
      </vt:variant>
      <vt:variant>
        <vt:i4>5</vt:i4>
      </vt:variant>
      <vt:variant>
        <vt:lpwstr/>
      </vt:variant>
      <vt:variant>
        <vt:lpwstr>_Toc271882176</vt:lpwstr>
      </vt:variant>
      <vt:variant>
        <vt:i4>1900602</vt:i4>
      </vt:variant>
      <vt:variant>
        <vt:i4>41</vt:i4>
      </vt:variant>
      <vt:variant>
        <vt:i4>0</vt:i4>
      </vt:variant>
      <vt:variant>
        <vt:i4>5</vt:i4>
      </vt:variant>
      <vt:variant>
        <vt:lpwstr/>
      </vt:variant>
      <vt:variant>
        <vt:lpwstr>_Toc271882175</vt:lpwstr>
      </vt:variant>
      <vt:variant>
        <vt:i4>1900602</vt:i4>
      </vt:variant>
      <vt:variant>
        <vt:i4>35</vt:i4>
      </vt:variant>
      <vt:variant>
        <vt:i4>0</vt:i4>
      </vt:variant>
      <vt:variant>
        <vt:i4>5</vt:i4>
      </vt:variant>
      <vt:variant>
        <vt:lpwstr/>
      </vt:variant>
      <vt:variant>
        <vt:lpwstr>_Toc271882174</vt:lpwstr>
      </vt:variant>
      <vt:variant>
        <vt:i4>1900602</vt:i4>
      </vt:variant>
      <vt:variant>
        <vt:i4>29</vt:i4>
      </vt:variant>
      <vt:variant>
        <vt:i4>0</vt:i4>
      </vt:variant>
      <vt:variant>
        <vt:i4>5</vt:i4>
      </vt:variant>
      <vt:variant>
        <vt:lpwstr/>
      </vt:variant>
      <vt:variant>
        <vt:lpwstr>_Toc271882173</vt:lpwstr>
      </vt:variant>
      <vt:variant>
        <vt:i4>1900602</vt:i4>
      </vt:variant>
      <vt:variant>
        <vt:i4>23</vt:i4>
      </vt:variant>
      <vt:variant>
        <vt:i4>0</vt:i4>
      </vt:variant>
      <vt:variant>
        <vt:i4>5</vt:i4>
      </vt:variant>
      <vt:variant>
        <vt:lpwstr/>
      </vt:variant>
      <vt:variant>
        <vt:lpwstr>_Toc271882172</vt:lpwstr>
      </vt:variant>
      <vt:variant>
        <vt:i4>1900602</vt:i4>
      </vt:variant>
      <vt:variant>
        <vt:i4>17</vt:i4>
      </vt:variant>
      <vt:variant>
        <vt:i4>0</vt:i4>
      </vt:variant>
      <vt:variant>
        <vt:i4>5</vt:i4>
      </vt:variant>
      <vt:variant>
        <vt:lpwstr/>
      </vt:variant>
      <vt:variant>
        <vt:lpwstr>_Toc271882171</vt:lpwstr>
      </vt:variant>
      <vt:variant>
        <vt:i4>1900602</vt:i4>
      </vt:variant>
      <vt:variant>
        <vt:i4>11</vt:i4>
      </vt:variant>
      <vt:variant>
        <vt:i4>0</vt:i4>
      </vt:variant>
      <vt:variant>
        <vt:i4>5</vt:i4>
      </vt:variant>
      <vt:variant>
        <vt:lpwstr/>
      </vt:variant>
      <vt:variant>
        <vt:lpwstr>_Toc271882170</vt:lpwstr>
      </vt:variant>
      <vt:variant>
        <vt:i4>1835066</vt:i4>
      </vt:variant>
      <vt:variant>
        <vt:i4>5</vt:i4>
      </vt:variant>
      <vt:variant>
        <vt:i4>0</vt:i4>
      </vt:variant>
      <vt:variant>
        <vt:i4>5</vt:i4>
      </vt:variant>
      <vt:variant>
        <vt:lpwstr/>
      </vt:variant>
      <vt:variant>
        <vt:lpwstr>_Toc271882169</vt:lpwstr>
      </vt:variant>
      <vt:variant>
        <vt:i4>4718719</vt:i4>
      </vt:variant>
      <vt:variant>
        <vt:i4>0</vt:i4>
      </vt:variant>
      <vt:variant>
        <vt:i4>0</vt:i4>
      </vt:variant>
      <vt:variant>
        <vt:i4>5</vt:i4>
      </vt:variant>
      <vt:variant>
        <vt:lpwstr>http://europa.eu.int/citizensrights/signpost/about/index_en.htm</vt:lpwstr>
      </vt:variant>
      <vt:variant>
        <vt:lpwstr>note1#note1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study template</dc:title>
  <dc:creator>ANDERLIN Valérie</dc:creator>
  <cp:lastModifiedBy>Nicola Pensiero</cp:lastModifiedBy>
  <cp:revision>2</cp:revision>
  <cp:lastPrinted>2015-11-20T17:34:00Z</cp:lastPrinted>
  <dcterms:created xsi:type="dcterms:W3CDTF">2025-03-07T14:02:00Z</dcterms:created>
  <dcterms:modified xsi:type="dcterms:W3CDTF">2025-03-07T14:02:00Z</dcterms:modified>
</cp:coreProperties>
</file>