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3A394A" w14:textId="77777777" w:rsidR="0014536C" w:rsidRPr="0014536C" w:rsidRDefault="0014536C" w:rsidP="0014536C">
      <w:pPr>
        <w:tabs>
          <w:tab w:val="left" w:pos="4678"/>
        </w:tabs>
        <w:jc w:val="center"/>
        <w:rPr>
          <w:rFonts w:ascii="Calibri" w:hAnsi="Calibri" w:cs="Calibri"/>
          <w:b/>
          <w:i/>
          <w:color w:val="006699"/>
          <w:sz w:val="26"/>
          <w:szCs w:val="26"/>
          <w:lang w:val="en-GB"/>
        </w:rPr>
      </w:pPr>
      <w:bookmarkStart w:id="0" w:name="_Hlk130308250"/>
      <w:r w:rsidRPr="0014536C">
        <w:rPr>
          <w:rFonts w:ascii="Calibri" w:hAnsi="Calibri" w:cs="Calibri"/>
          <w:b/>
          <w:i/>
          <w:color w:val="006699"/>
          <w:sz w:val="26"/>
          <w:szCs w:val="26"/>
          <w:lang w:val="en-GB"/>
        </w:rPr>
        <w:t xml:space="preserve">“Novel leads and drugs for vector borne diseases: Targets and off targets </w:t>
      </w:r>
    </w:p>
    <w:p w14:paraId="3CB487FA" w14:textId="77777777" w:rsidR="006C122E" w:rsidRPr="0014536C" w:rsidRDefault="0014536C" w:rsidP="0014536C">
      <w:pPr>
        <w:tabs>
          <w:tab w:val="left" w:pos="4678"/>
        </w:tabs>
        <w:jc w:val="center"/>
        <w:rPr>
          <w:rFonts w:ascii="Calibri" w:hAnsi="Calibri" w:cs="Calibri"/>
          <w:b/>
          <w:i/>
          <w:color w:val="006699"/>
          <w:sz w:val="26"/>
          <w:szCs w:val="26"/>
          <w:lang w:val="en-GB"/>
        </w:rPr>
      </w:pPr>
      <w:r w:rsidRPr="0014536C">
        <w:rPr>
          <w:rFonts w:ascii="Calibri" w:hAnsi="Calibri" w:cs="Calibri"/>
          <w:b/>
          <w:i/>
          <w:color w:val="006699"/>
          <w:sz w:val="26"/>
          <w:szCs w:val="26"/>
          <w:lang w:val="en-GB"/>
        </w:rPr>
        <w:t>(toxicity and ecotoxicity) and mechanism of action”</w:t>
      </w:r>
    </w:p>
    <w:p w14:paraId="74D14F38" w14:textId="77777777" w:rsidR="0014536C" w:rsidRPr="0014536C" w:rsidRDefault="0014536C" w:rsidP="0014536C">
      <w:pPr>
        <w:tabs>
          <w:tab w:val="left" w:pos="4678"/>
        </w:tabs>
        <w:jc w:val="center"/>
        <w:rPr>
          <w:rFonts w:ascii="Calibri" w:hAnsi="Calibri" w:cs="Calibri"/>
          <w:b/>
          <w:color w:val="006699"/>
          <w:lang w:val="en-GB"/>
        </w:rPr>
      </w:pPr>
      <w:r w:rsidRPr="0014536C">
        <w:rPr>
          <w:rFonts w:ascii="Calibri" w:hAnsi="Calibri" w:cs="Calibri"/>
          <w:b/>
          <w:color w:val="006699"/>
          <w:lang w:val="en-GB"/>
        </w:rPr>
        <w:t>19-20 September 2024</w:t>
      </w:r>
    </w:p>
    <w:p w14:paraId="1CD90989" w14:textId="77777777" w:rsidR="0014536C" w:rsidRPr="0014536C" w:rsidRDefault="0014536C" w:rsidP="0014536C">
      <w:pPr>
        <w:tabs>
          <w:tab w:val="left" w:pos="4678"/>
        </w:tabs>
        <w:spacing w:line="276" w:lineRule="auto"/>
        <w:jc w:val="center"/>
        <w:rPr>
          <w:rFonts w:ascii="Calibri" w:hAnsi="Calibri" w:cs="Calibri"/>
          <w:b/>
          <w:color w:val="000000" w:themeColor="text1"/>
          <w:sz w:val="26"/>
          <w:szCs w:val="26"/>
          <w:lang w:val="en-GB"/>
        </w:rPr>
      </w:pPr>
    </w:p>
    <w:bookmarkEnd w:id="0"/>
    <w:p w14:paraId="22C18F3E" w14:textId="618F82C8" w:rsidR="00A2697F" w:rsidRDefault="00E647EA" w:rsidP="00A2697F">
      <w:pPr>
        <w:spacing w:after="120"/>
        <w:ind w:left="-142"/>
        <w:jc w:val="center"/>
        <w:rPr>
          <w:rFonts w:ascii="Calibri" w:hAnsi="Calibri" w:cs="Calibri"/>
          <w:b/>
          <w:color w:val="006699"/>
        </w:rPr>
      </w:pPr>
      <w:r w:rsidRPr="00E647EA">
        <w:rPr>
          <w:rFonts w:ascii="Calibri" w:hAnsi="Calibri" w:cs="Calibri"/>
          <w:b/>
          <w:color w:val="006699"/>
        </w:rPr>
        <w:t>Drug Discovery and</w:t>
      </w:r>
      <w:r w:rsidR="00A2697F">
        <w:rPr>
          <w:rFonts w:ascii="Calibri" w:hAnsi="Calibri" w:cs="Calibri"/>
          <w:b/>
          <w:color w:val="006699"/>
        </w:rPr>
        <w:t xml:space="preserve"> preclinical</w:t>
      </w:r>
      <w:r w:rsidRPr="00E647EA">
        <w:rPr>
          <w:rFonts w:ascii="Calibri" w:hAnsi="Calibri" w:cs="Calibri"/>
          <w:b/>
          <w:color w:val="006699"/>
        </w:rPr>
        <w:t xml:space="preserve"> Development for Human </w:t>
      </w:r>
      <w:r w:rsidR="00FD1666">
        <w:rPr>
          <w:rFonts w:ascii="Calibri" w:hAnsi="Calibri" w:cs="Calibri"/>
          <w:b/>
          <w:color w:val="006699"/>
        </w:rPr>
        <w:t xml:space="preserve">and Animal </w:t>
      </w:r>
      <w:r w:rsidRPr="00E647EA">
        <w:rPr>
          <w:rFonts w:ascii="Calibri" w:hAnsi="Calibri" w:cs="Calibri"/>
          <w:b/>
          <w:color w:val="006699"/>
        </w:rPr>
        <w:t>African Trypanosomiasis</w:t>
      </w:r>
      <w:r>
        <w:rPr>
          <w:rFonts w:ascii="Calibri" w:hAnsi="Calibri" w:cs="Calibri"/>
          <w:b/>
          <w:color w:val="006699"/>
        </w:rPr>
        <w:t xml:space="preserve">: </w:t>
      </w:r>
      <w:r w:rsidR="00A2697F">
        <w:rPr>
          <w:rFonts w:ascii="Calibri" w:hAnsi="Calibri" w:cs="Calibri"/>
          <w:b/>
          <w:color w:val="006699"/>
        </w:rPr>
        <w:t>P</w:t>
      </w:r>
      <w:r w:rsidR="00A2697F" w:rsidRPr="00A2697F">
        <w:rPr>
          <w:rFonts w:ascii="Calibri" w:hAnsi="Calibri" w:cs="Calibri"/>
          <w:b/>
          <w:color w:val="006699"/>
        </w:rPr>
        <w:t xml:space="preserve">rofiling </w:t>
      </w:r>
      <w:r w:rsidR="00A2697F">
        <w:rPr>
          <w:rFonts w:ascii="Calibri" w:hAnsi="Calibri" w:cs="Calibri"/>
          <w:b/>
          <w:color w:val="006699"/>
        </w:rPr>
        <w:t>of a</w:t>
      </w:r>
      <w:r w:rsidR="00A2697F" w:rsidRPr="00A2697F">
        <w:rPr>
          <w:rFonts w:ascii="Calibri" w:hAnsi="Calibri" w:cs="Calibri"/>
          <w:b/>
          <w:color w:val="006699"/>
        </w:rPr>
        <w:t xml:space="preserve"> </w:t>
      </w:r>
      <w:r w:rsidR="00A2697F">
        <w:rPr>
          <w:rFonts w:ascii="Calibri" w:hAnsi="Calibri" w:cs="Calibri"/>
          <w:b/>
          <w:color w:val="006699"/>
        </w:rPr>
        <w:t xml:space="preserve">collection of Natural Compounds </w:t>
      </w:r>
      <w:r w:rsidR="00A2697F" w:rsidRPr="00A2697F">
        <w:rPr>
          <w:rFonts w:ascii="Calibri" w:hAnsi="Calibri" w:cs="Calibri"/>
          <w:b/>
          <w:color w:val="006699"/>
        </w:rPr>
        <w:t>with ADME-(Eco)Toxicity properties</w:t>
      </w:r>
    </w:p>
    <w:p w14:paraId="02AF0C3F" w14:textId="646A293C" w:rsidR="006D1F49" w:rsidRPr="00E647EA" w:rsidRDefault="00047EAF" w:rsidP="00E647EA">
      <w:pPr>
        <w:jc w:val="center"/>
        <w:rPr>
          <w:rFonts w:ascii="Calibri" w:hAnsi="Calibri" w:cs="Calibri"/>
          <w:lang w:val="it-IT"/>
        </w:rPr>
      </w:pPr>
      <w:r w:rsidRPr="00E647EA">
        <w:rPr>
          <w:rFonts w:ascii="Calibri" w:hAnsi="Calibri" w:cs="Calibri"/>
          <w:color w:val="000000"/>
          <w:u w:val="single"/>
          <w:lang w:val="it-IT"/>
        </w:rPr>
        <w:t>Bertarini L</w:t>
      </w:r>
      <w:r w:rsidR="009B3E9A">
        <w:rPr>
          <w:rFonts w:ascii="Calibri" w:hAnsi="Calibri" w:cs="Calibri"/>
          <w:color w:val="000000"/>
          <w:u w:val="single"/>
          <w:lang w:val="it-IT"/>
        </w:rPr>
        <w:t>.</w:t>
      </w:r>
      <w:r w:rsidR="002E2215" w:rsidRPr="00E647EA">
        <w:rPr>
          <w:rFonts w:ascii="Calibri" w:hAnsi="Calibri" w:cs="Calibri"/>
          <w:color w:val="000000"/>
          <w:u w:val="single"/>
          <w:lang w:val="it-IT"/>
        </w:rPr>
        <w:t xml:space="preserve">, </w:t>
      </w:r>
      <w:r w:rsidR="00FD1666" w:rsidRPr="00E647EA">
        <w:rPr>
          <w:rFonts w:ascii="Calibri" w:hAnsi="Calibri" w:cs="Calibri"/>
          <w:color w:val="000000"/>
          <w:vertAlign w:val="superscript"/>
          <w:lang w:val="it-IT"/>
        </w:rPr>
        <w:t>a</w:t>
      </w:r>
      <w:r w:rsidR="00FD1666">
        <w:rPr>
          <w:rFonts w:ascii="Calibri" w:hAnsi="Calibri" w:cs="Calibri"/>
          <w:color w:val="000000"/>
          <w:vertAlign w:val="superscript"/>
          <w:lang w:val="it-IT"/>
        </w:rPr>
        <w:t>, b</w:t>
      </w:r>
      <w:r w:rsidR="00C520C7" w:rsidRPr="00E647EA">
        <w:rPr>
          <w:rFonts w:ascii="Calibri" w:hAnsi="Calibri" w:cs="Calibri"/>
          <w:color w:val="000000"/>
          <w:lang w:val="it-IT"/>
        </w:rPr>
        <w:t xml:space="preserve"> </w:t>
      </w:r>
      <w:r w:rsidRPr="00E647EA">
        <w:rPr>
          <w:rFonts w:ascii="Calibri" w:hAnsi="Calibri" w:cs="Calibri"/>
          <w:color w:val="000000"/>
          <w:lang w:val="it-IT"/>
        </w:rPr>
        <w:t>Pellati F</w:t>
      </w:r>
      <w:r w:rsidR="009B3E9A">
        <w:rPr>
          <w:rFonts w:ascii="Calibri" w:hAnsi="Calibri" w:cs="Calibri"/>
          <w:color w:val="000000"/>
          <w:lang w:val="it-IT"/>
        </w:rPr>
        <w:t>.</w:t>
      </w:r>
      <w:r w:rsidR="00E647EA">
        <w:rPr>
          <w:rFonts w:ascii="Calibri" w:hAnsi="Calibri" w:cs="Calibri"/>
          <w:color w:val="000000"/>
          <w:lang w:val="it-IT"/>
        </w:rPr>
        <w:t xml:space="preserve">, </w:t>
      </w:r>
      <w:r w:rsidR="00C520C7" w:rsidRPr="00E647EA">
        <w:rPr>
          <w:rFonts w:ascii="Calibri" w:hAnsi="Calibri" w:cs="Calibri"/>
          <w:color w:val="000000"/>
          <w:vertAlign w:val="superscript"/>
          <w:lang w:val="it-IT"/>
        </w:rPr>
        <w:t>a</w:t>
      </w:r>
      <w:r w:rsidR="00291717" w:rsidRPr="00E647EA">
        <w:rPr>
          <w:rFonts w:ascii="Calibri" w:hAnsi="Calibri" w:cs="Calibri"/>
          <w:color w:val="000000"/>
          <w:lang w:val="it-IT"/>
        </w:rPr>
        <w:t xml:space="preserve"> </w:t>
      </w:r>
      <w:r w:rsidRPr="00E647EA">
        <w:rPr>
          <w:rFonts w:ascii="Calibri" w:hAnsi="Calibri" w:cs="Calibri"/>
          <w:color w:val="000000"/>
          <w:lang w:val="it-IT"/>
        </w:rPr>
        <w:t>Costi M.</w:t>
      </w:r>
      <w:r w:rsidR="00E647EA">
        <w:rPr>
          <w:rFonts w:ascii="Calibri" w:hAnsi="Calibri" w:cs="Calibri"/>
          <w:color w:val="000000"/>
          <w:lang w:val="it-IT"/>
        </w:rPr>
        <w:t xml:space="preserve"> </w:t>
      </w:r>
      <w:r w:rsidRPr="00E647EA">
        <w:rPr>
          <w:rFonts w:ascii="Calibri" w:hAnsi="Calibri" w:cs="Calibri"/>
          <w:color w:val="000000"/>
          <w:lang w:val="it-IT"/>
        </w:rPr>
        <w:t>P</w:t>
      </w:r>
      <w:r w:rsidR="009B3E9A">
        <w:rPr>
          <w:rFonts w:ascii="Calibri" w:hAnsi="Calibri" w:cs="Calibri"/>
          <w:color w:val="000000"/>
          <w:lang w:val="it-IT"/>
        </w:rPr>
        <w:t>.</w:t>
      </w:r>
      <w:r w:rsidR="00E647EA">
        <w:rPr>
          <w:rFonts w:ascii="Calibri" w:hAnsi="Calibri" w:cs="Calibri"/>
          <w:color w:val="000000"/>
          <w:lang w:val="it-IT"/>
        </w:rPr>
        <w:t xml:space="preserve"> </w:t>
      </w:r>
      <w:r w:rsidRPr="00E647EA">
        <w:rPr>
          <w:rFonts w:ascii="Calibri" w:hAnsi="Calibri" w:cs="Calibri"/>
          <w:color w:val="000000"/>
          <w:vertAlign w:val="superscript"/>
          <w:lang w:val="it-IT"/>
        </w:rPr>
        <w:t>a</w:t>
      </w:r>
    </w:p>
    <w:p w14:paraId="10757B6C" w14:textId="6BB88FA9" w:rsidR="00F42B7C" w:rsidRPr="00E647EA" w:rsidRDefault="00F42B7C" w:rsidP="00F42B7C">
      <w:pPr>
        <w:jc w:val="center"/>
        <w:rPr>
          <w:rFonts w:asciiTheme="minorHAnsi" w:hAnsiTheme="minorHAnsi" w:cstheme="minorHAnsi"/>
          <w:color w:val="000000"/>
          <w:lang w:val="en-GB"/>
        </w:rPr>
      </w:pPr>
      <w:r w:rsidRPr="00E647EA">
        <w:rPr>
          <w:rFonts w:asciiTheme="minorHAnsi" w:hAnsiTheme="minorHAnsi" w:cstheme="minorHAnsi"/>
          <w:color w:val="000000"/>
          <w:vertAlign w:val="superscript"/>
          <w:lang w:val="en-GB"/>
        </w:rPr>
        <w:t xml:space="preserve">a </w:t>
      </w:r>
      <w:r w:rsidR="00E647EA" w:rsidRPr="00E647EA">
        <w:rPr>
          <w:rFonts w:asciiTheme="minorHAnsi" w:hAnsiTheme="minorHAnsi" w:cstheme="minorHAnsi"/>
        </w:rPr>
        <w:t xml:space="preserve">Department of Life Sciences, University of Modena and Reggio Emilia, Modena, Italy.  </w:t>
      </w:r>
      <w:r w:rsidR="00E647EA" w:rsidRPr="00E647EA">
        <w:rPr>
          <w:rFonts w:asciiTheme="minorHAnsi" w:hAnsiTheme="minorHAnsi" w:cstheme="minorHAnsi"/>
          <w:vertAlign w:val="superscript"/>
        </w:rPr>
        <w:t>b</w:t>
      </w:r>
      <w:r w:rsidR="009B3E9A">
        <w:rPr>
          <w:rFonts w:asciiTheme="minorHAnsi" w:hAnsiTheme="minorHAnsi" w:cstheme="minorHAnsi"/>
          <w:vertAlign w:val="superscript"/>
        </w:rPr>
        <w:t xml:space="preserve"> </w:t>
      </w:r>
      <w:r w:rsidR="00E647EA" w:rsidRPr="00E647EA">
        <w:rPr>
          <w:rFonts w:asciiTheme="minorHAnsi" w:hAnsiTheme="minorHAnsi" w:cstheme="minorHAnsi"/>
        </w:rPr>
        <w:t xml:space="preserve">Clinical and Experimental Medicine PhD Program, Department of Biomedical, Metabolic and Neural Sciences, University of Modena and Reggio Emilia, Modena, Italy. </w:t>
      </w:r>
    </w:p>
    <w:p w14:paraId="2A16C91D" w14:textId="218523ED" w:rsidR="00153E94" w:rsidRDefault="00000000" w:rsidP="009B3E9A">
      <w:pPr>
        <w:jc w:val="center"/>
        <w:rPr>
          <w:rFonts w:ascii="Calibri" w:hAnsi="Calibri" w:cs="Calibri"/>
          <w:color w:val="000000"/>
          <w:sz w:val="22"/>
          <w:szCs w:val="22"/>
        </w:rPr>
      </w:pPr>
      <w:hyperlink r:id="rId8" w:history="1">
        <w:r w:rsidR="009B3E9A" w:rsidRPr="006824E4">
          <w:rPr>
            <w:rStyle w:val="Collegamentoipertestuale"/>
            <w:rFonts w:ascii="Calibri" w:hAnsi="Calibri" w:cs="Calibri"/>
            <w:sz w:val="22"/>
            <w:szCs w:val="22"/>
          </w:rPr>
          <w:t>laura.bertarini@unimore.it</w:t>
        </w:r>
      </w:hyperlink>
    </w:p>
    <w:p w14:paraId="3A26892C" w14:textId="77777777" w:rsidR="009B3E9A" w:rsidRPr="009B3E9A" w:rsidRDefault="009B3E9A" w:rsidP="008C75FA">
      <w:pPr>
        <w:jc w:val="both"/>
        <w:rPr>
          <w:rFonts w:ascii="Calibri" w:hAnsi="Calibri" w:cs="Calibri"/>
          <w:color w:val="000000"/>
          <w:sz w:val="22"/>
          <w:szCs w:val="22"/>
        </w:rPr>
      </w:pPr>
    </w:p>
    <w:p w14:paraId="0E05105F" w14:textId="1AAD7279" w:rsidR="00A36076" w:rsidRPr="008C75FA" w:rsidRDefault="00B42179" w:rsidP="008C75FA">
      <w:pPr>
        <w:jc w:val="both"/>
        <w:rPr>
          <w:rFonts w:asciiTheme="minorHAnsi" w:hAnsiTheme="minorHAnsi" w:cstheme="minorHAnsi"/>
          <w:sz w:val="22"/>
          <w:szCs w:val="22"/>
        </w:rPr>
      </w:pPr>
      <w:r w:rsidRPr="00B42179">
        <w:rPr>
          <w:rFonts w:asciiTheme="minorHAnsi" w:hAnsiTheme="minorHAnsi" w:cstheme="minorHAnsi"/>
          <w:sz w:val="22"/>
          <w:szCs w:val="22"/>
        </w:rPr>
        <w:t xml:space="preserve">Human African trypanosomiasis (HAT), also known as sleeping sickness, and Animal African trypanosomiasis (AAT) are life-threatening neglected tropical diseases generally caused by </w:t>
      </w:r>
      <w:r w:rsidRPr="008C75FA">
        <w:rPr>
          <w:rFonts w:asciiTheme="minorHAnsi" w:hAnsiTheme="minorHAnsi" w:cstheme="minorHAnsi"/>
          <w:sz w:val="22"/>
          <w:szCs w:val="22"/>
        </w:rPr>
        <w:t>the</w:t>
      </w:r>
      <w:r w:rsidRPr="00B42179">
        <w:rPr>
          <w:rFonts w:asciiTheme="minorHAnsi" w:hAnsiTheme="minorHAnsi" w:cstheme="minorHAnsi"/>
          <w:sz w:val="22"/>
          <w:szCs w:val="22"/>
        </w:rPr>
        <w:t xml:space="preserve"> </w:t>
      </w:r>
      <w:r w:rsidRPr="00B42179">
        <w:rPr>
          <w:rFonts w:asciiTheme="minorHAnsi" w:hAnsiTheme="minorHAnsi" w:cstheme="minorHAnsi"/>
          <w:i/>
          <w:iCs/>
          <w:sz w:val="22"/>
          <w:szCs w:val="22"/>
        </w:rPr>
        <w:t>Trypanosoma brucei</w:t>
      </w:r>
      <w:r w:rsidRPr="008C75FA">
        <w:rPr>
          <w:rFonts w:asciiTheme="minorHAnsi" w:hAnsiTheme="minorHAnsi" w:cstheme="minorHAnsi"/>
          <w:i/>
          <w:iCs/>
          <w:sz w:val="22"/>
          <w:szCs w:val="22"/>
        </w:rPr>
        <w:t xml:space="preserve"> </w:t>
      </w:r>
      <w:r w:rsidRPr="008C75FA">
        <w:rPr>
          <w:rFonts w:asciiTheme="minorHAnsi" w:hAnsiTheme="minorHAnsi" w:cstheme="minorHAnsi"/>
          <w:sz w:val="22"/>
          <w:szCs w:val="22"/>
        </w:rPr>
        <w:t>subspecies</w:t>
      </w:r>
      <w:r w:rsidRPr="00B42179">
        <w:rPr>
          <w:rFonts w:asciiTheme="minorHAnsi" w:hAnsiTheme="minorHAnsi" w:cstheme="minorHAnsi"/>
          <w:sz w:val="22"/>
          <w:szCs w:val="22"/>
        </w:rPr>
        <w:t>. HAT represents a critical public health issue in 36 African countries, with approximately 65 million people at risk, predominantly affecting impoverished communities in sub-Saharan Africa, where it poses a significant health and economic burden</w:t>
      </w:r>
      <w:r w:rsidRPr="008C75FA">
        <w:rPr>
          <w:rFonts w:asciiTheme="minorHAnsi" w:hAnsiTheme="minorHAnsi" w:cstheme="minorHAnsi"/>
          <w:sz w:val="22"/>
          <w:szCs w:val="22"/>
          <w:vertAlign w:val="superscript"/>
        </w:rPr>
        <w:t>1</w:t>
      </w:r>
      <w:r w:rsidRPr="00B42179">
        <w:rPr>
          <w:rFonts w:asciiTheme="minorHAnsi" w:hAnsiTheme="minorHAnsi" w:cstheme="minorHAnsi"/>
          <w:sz w:val="22"/>
          <w:szCs w:val="22"/>
        </w:rPr>
        <w:t>. AAT, similarly, affects livestock, leading to severe economic losses due to decreased</w:t>
      </w:r>
      <w:r w:rsidR="008C75FA">
        <w:rPr>
          <w:rFonts w:asciiTheme="minorHAnsi" w:hAnsiTheme="minorHAnsi" w:cstheme="minorHAnsi"/>
          <w:sz w:val="22"/>
          <w:szCs w:val="22"/>
        </w:rPr>
        <w:t xml:space="preserve"> </w:t>
      </w:r>
      <w:r w:rsidRPr="00B42179">
        <w:rPr>
          <w:rFonts w:asciiTheme="minorHAnsi" w:hAnsiTheme="minorHAnsi" w:cstheme="minorHAnsi"/>
          <w:sz w:val="22"/>
          <w:szCs w:val="22"/>
        </w:rPr>
        <w:t>productivity and increased mortality in affected animals.</w:t>
      </w:r>
      <w:r w:rsidR="00A36076" w:rsidRPr="008C75FA">
        <w:rPr>
          <w:rFonts w:asciiTheme="minorHAnsi" w:hAnsiTheme="minorHAnsi" w:cstheme="minorHAnsi"/>
          <w:sz w:val="22"/>
          <w:szCs w:val="22"/>
        </w:rPr>
        <w:t xml:space="preserve"> </w:t>
      </w:r>
      <w:r w:rsidRPr="008C75FA">
        <w:rPr>
          <w:rFonts w:asciiTheme="minorHAnsi" w:hAnsiTheme="minorHAnsi" w:cstheme="minorHAnsi"/>
          <w:sz w:val="22"/>
          <w:szCs w:val="22"/>
        </w:rPr>
        <w:t xml:space="preserve">Despite advances in reducing HAT cases and improving treatments, AAT remains a reservoir of infection, making its control crucial as part of the One Health approach. </w:t>
      </w:r>
      <w:r w:rsidR="00A36076" w:rsidRPr="008C75FA">
        <w:rPr>
          <w:rFonts w:asciiTheme="minorHAnsi" w:hAnsiTheme="minorHAnsi" w:cstheme="minorHAnsi"/>
          <w:sz w:val="22"/>
          <w:szCs w:val="22"/>
        </w:rPr>
        <w:t xml:space="preserve">Current treatments, </w:t>
      </w:r>
      <w:r w:rsidR="009B3E9A" w:rsidRPr="008C75FA">
        <w:rPr>
          <w:rFonts w:asciiTheme="minorHAnsi" w:hAnsiTheme="minorHAnsi" w:cstheme="minorHAnsi"/>
          <w:sz w:val="22"/>
          <w:szCs w:val="22"/>
        </w:rPr>
        <w:t xml:space="preserve">including </w:t>
      </w:r>
      <w:r w:rsidR="00A36076" w:rsidRPr="008C75FA">
        <w:rPr>
          <w:rFonts w:asciiTheme="minorHAnsi" w:hAnsiTheme="minorHAnsi" w:cstheme="minorHAnsi"/>
          <w:sz w:val="22"/>
          <w:szCs w:val="22"/>
        </w:rPr>
        <w:t xml:space="preserve">suramin, pentamidine, </w:t>
      </w:r>
      <w:proofErr w:type="spellStart"/>
      <w:r w:rsidR="00A36076" w:rsidRPr="008C75FA">
        <w:rPr>
          <w:rFonts w:asciiTheme="minorHAnsi" w:hAnsiTheme="minorHAnsi" w:cstheme="minorHAnsi"/>
          <w:sz w:val="22"/>
          <w:szCs w:val="22"/>
        </w:rPr>
        <w:t>melarsoprol</w:t>
      </w:r>
      <w:proofErr w:type="spellEnd"/>
      <w:r w:rsidR="00A36076" w:rsidRPr="008C75FA">
        <w:rPr>
          <w:rFonts w:asciiTheme="minorHAnsi" w:hAnsiTheme="minorHAnsi" w:cstheme="minorHAnsi"/>
          <w:sz w:val="22"/>
          <w:szCs w:val="22"/>
        </w:rPr>
        <w:t xml:space="preserve">, eflornithine, and the recent nifurtimox-eflornithine combination therapy, are associated with </w:t>
      </w:r>
      <w:r w:rsidR="009B3E9A" w:rsidRPr="008C75FA">
        <w:rPr>
          <w:rFonts w:asciiTheme="minorHAnsi" w:hAnsiTheme="minorHAnsi" w:cstheme="minorHAnsi"/>
          <w:sz w:val="22"/>
          <w:szCs w:val="22"/>
        </w:rPr>
        <w:t xml:space="preserve">several </w:t>
      </w:r>
      <w:r w:rsidR="00A36076" w:rsidRPr="008C75FA">
        <w:rPr>
          <w:rFonts w:asciiTheme="minorHAnsi" w:hAnsiTheme="minorHAnsi" w:cstheme="minorHAnsi"/>
          <w:sz w:val="22"/>
          <w:szCs w:val="22"/>
        </w:rPr>
        <w:t>drawbacks</w:t>
      </w:r>
      <w:r w:rsidR="009B3E9A" w:rsidRPr="008C75FA">
        <w:rPr>
          <w:rFonts w:asciiTheme="minorHAnsi" w:hAnsiTheme="minorHAnsi" w:cstheme="minorHAnsi"/>
          <w:sz w:val="22"/>
          <w:szCs w:val="22"/>
        </w:rPr>
        <w:t>,</w:t>
      </w:r>
      <w:r w:rsidR="00A36076" w:rsidRPr="008C75FA">
        <w:rPr>
          <w:rFonts w:asciiTheme="minorHAnsi" w:hAnsiTheme="minorHAnsi" w:cstheme="minorHAnsi"/>
          <w:sz w:val="22"/>
          <w:szCs w:val="22"/>
        </w:rPr>
        <w:t xml:space="preserve"> like toxicity, high cost, and emerging drug resistance</w:t>
      </w:r>
      <w:r w:rsidR="000742E9" w:rsidRPr="008C75FA">
        <w:rPr>
          <w:rFonts w:asciiTheme="minorHAnsi" w:hAnsiTheme="minorHAnsi" w:cstheme="minorHAnsi"/>
          <w:sz w:val="22"/>
          <w:szCs w:val="22"/>
        </w:rPr>
        <w:fldChar w:fldCharType="begin"/>
      </w:r>
      <w:r w:rsidR="000742E9" w:rsidRPr="008C75FA">
        <w:rPr>
          <w:rFonts w:asciiTheme="minorHAnsi" w:hAnsiTheme="minorHAnsi" w:cstheme="minorHAnsi"/>
          <w:sz w:val="22"/>
          <w:szCs w:val="22"/>
        </w:rPr>
        <w:instrText xml:space="preserve"> ADDIN ZOTERO_ITEM CSL_CITATION {"citationID":"jcHx95nO","properties":{"formattedCitation":"\\super 2\\nosupersub{}","plainCitation":"2","noteIndex":0},"citationItems":[{"id":688,"uris":["http://zotero.org/users/6557974/items/6LBQIV6J"],"itemData":{"id":688,"type":"article-journal","abstract":"Human African Trypanosomiasis (HAT, sleeping sickness) and Animal African Trypanosomiasis (AAT) are neglected tropical diseases generally caused by the same etiological agent, Trypanosoma brucei. Despite important advances in the reduction or disappearance of HAT cases, AAT represents a risky reservoir of the infections. There is a strong need to control AAT, as is claimed by the European Commission in a recent document on the reservation of antimicrobials for human use. Control of AAT is considered part of the One Health approach established by the FAO program against African Trypanosomiasis. Under the umbrella of the One Health concepts, in this work, by analyzing the pharmacological properties of the therapeutic options against Trypanosoma brucei spp., we underline the need for clearer and more defined guidelines in the employment of drugs designed for HAT and AAT. Essential requirements are addressed to meet the challenge of drug use and drug resistance development. This approach shall avoid inter-species cross-resistance phenomena and retain drugs therapeutic activity.","container-title":"Microorganisms","DOI":"10.3390/microorganisms10071298","ISSN":"2076-2607","issue":"7","journalAbbreviation":"Microorganisms","note":"PMID: 35889018\nPMCID: PMC9321528","page":"1298","source":"PubMed Central","title":"Current Treatments to Control African Trypanosomiasis and One Health Perspective","volume":"10","author":[{"family":"Venturelli","given":"Alberto"},{"family":"Tagliazucchi","given":"Lorenzo"},{"family":"Lima","given":"Clara"},{"family":"Venuti","given":"Federica"},{"family":"Malpezzi","given":"Giulia"},{"family":"Magoulas","given":"George E."},{"family":"Santarem","given":"Nuno"},{"family":"Calogeropoulou","given":"Theodora"},{"family":"Cordeiro-da-Silva","given":"Anabela"},{"family":"Costi","given":"Maria Paola"}],"issued":{"date-parts":[["2022",6,27]]}}}],"schema":"https://github.com/citation-style-language/schema/raw/master/csl-citation.json"} </w:instrText>
      </w:r>
      <w:r w:rsidR="000742E9" w:rsidRPr="008C75FA">
        <w:rPr>
          <w:rFonts w:asciiTheme="minorHAnsi" w:hAnsiTheme="minorHAnsi" w:cstheme="minorHAnsi"/>
          <w:sz w:val="22"/>
          <w:szCs w:val="22"/>
        </w:rPr>
        <w:fldChar w:fldCharType="separate"/>
      </w:r>
      <w:r w:rsidR="000742E9" w:rsidRPr="008C75FA">
        <w:rPr>
          <w:rFonts w:asciiTheme="minorHAnsi" w:hAnsiTheme="minorHAnsi" w:cstheme="minorHAnsi"/>
          <w:sz w:val="22"/>
          <w:szCs w:val="22"/>
          <w:vertAlign w:val="superscript"/>
        </w:rPr>
        <w:t>2</w:t>
      </w:r>
      <w:r w:rsidR="000742E9" w:rsidRPr="008C75FA">
        <w:rPr>
          <w:rFonts w:asciiTheme="minorHAnsi" w:hAnsiTheme="minorHAnsi" w:cstheme="minorHAnsi"/>
          <w:sz w:val="22"/>
          <w:szCs w:val="22"/>
        </w:rPr>
        <w:fldChar w:fldCharType="end"/>
      </w:r>
      <w:r w:rsidR="00A36076" w:rsidRPr="008C75FA">
        <w:rPr>
          <w:rFonts w:asciiTheme="minorHAnsi" w:hAnsiTheme="minorHAnsi" w:cstheme="minorHAnsi"/>
          <w:sz w:val="22"/>
          <w:szCs w:val="22"/>
        </w:rPr>
        <w:t xml:space="preserve">. Given these limitations, there is an urgent need for new, effective and safe </w:t>
      </w:r>
      <w:proofErr w:type="spellStart"/>
      <w:r w:rsidR="00A36076" w:rsidRPr="008C75FA">
        <w:rPr>
          <w:rFonts w:asciiTheme="minorHAnsi" w:hAnsiTheme="minorHAnsi" w:cstheme="minorHAnsi"/>
          <w:sz w:val="22"/>
          <w:szCs w:val="22"/>
        </w:rPr>
        <w:t>trypanocidal</w:t>
      </w:r>
      <w:proofErr w:type="spellEnd"/>
      <w:r w:rsidR="00A36076" w:rsidRPr="008C75FA">
        <w:rPr>
          <w:rFonts w:asciiTheme="minorHAnsi" w:hAnsiTheme="minorHAnsi" w:cstheme="minorHAnsi"/>
          <w:sz w:val="22"/>
          <w:szCs w:val="22"/>
        </w:rPr>
        <w:t xml:space="preserve"> drugs. </w:t>
      </w:r>
    </w:p>
    <w:p w14:paraId="0AC50588" w14:textId="774F8600" w:rsidR="00DA4C85" w:rsidRDefault="00A36076" w:rsidP="002674E6">
      <w:pPr>
        <w:spacing w:after="120"/>
        <w:jc w:val="both"/>
        <w:rPr>
          <w:rFonts w:asciiTheme="minorHAnsi" w:hAnsiTheme="minorHAnsi" w:cstheme="minorHAnsi"/>
          <w:sz w:val="22"/>
          <w:szCs w:val="22"/>
        </w:rPr>
      </w:pPr>
      <w:r w:rsidRPr="008C75FA">
        <w:rPr>
          <w:rFonts w:asciiTheme="minorHAnsi" w:hAnsiTheme="minorHAnsi" w:cstheme="minorHAnsi"/>
          <w:sz w:val="22"/>
          <w:szCs w:val="22"/>
        </w:rPr>
        <w:t>Natural products, with their unique chemical structures</w:t>
      </w:r>
      <w:r w:rsidR="009B3E9A" w:rsidRPr="008C75FA">
        <w:rPr>
          <w:rFonts w:asciiTheme="minorHAnsi" w:hAnsiTheme="minorHAnsi" w:cstheme="minorHAnsi"/>
          <w:sz w:val="22"/>
          <w:szCs w:val="22"/>
        </w:rPr>
        <w:t xml:space="preserve"> and bioactivity</w:t>
      </w:r>
      <w:r w:rsidRPr="008C75FA">
        <w:rPr>
          <w:rFonts w:asciiTheme="minorHAnsi" w:hAnsiTheme="minorHAnsi" w:cstheme="minorHAnsi"/>
          <w:sz w:val="22"/>
          <w:szCs w:val="22"/>
        </w:rPr>
        <w:t>, represent a promising resource for drug discovery</w:t>
      </w:r>
      <w:r w:rsidR="000742E9" w:rsidRPr="008C75FA">
        <w:rPr>
          <w:rFonts w:asciiTheme="minorHAnsi" w:hAnsiTheme="minorHAnsi" w:cstheme="minorHAnsi"/>
          <w:sz w:val="22"/>
          <w:szCs w:val="22"/>
        </w:rPr>
        <w:fldChar w:fldCharType="begin"/>
      </w:r>
      <w:r w:rsidR="000742E9" w:rsidRPr="008C75FA">
        <w:rPr>
          <w:rFonts w:asciiTheme="minorHAnsi" w:hAnsiTheme="minorHAnsi" w:cstheme="minorHAnsi"/>
          <w:sz w:val="22"/>
          <w:szCs w:val="22"/>
        </w:rPr>
        <w:instrText xml:space="preserve"> ADDIN ZOTERO_ITEM CSL_CITATION {"citationID":"3Yb3S6SF","properties":{"formattedCitation":"\\super 3\\nosupersub{}","plainCitation":"3","noteIndex":0},"citationItems":[{"id":685,"uris":["http://zotero.org/users/6557974/items/IPY9BFNT"],"itemData":{"id":685,"type":"article-journal","abstract":"Endemic in 149 tropical and subtropical countries, neglected tropical diseases (NTDs) affect more than 1 billion people annually, including 875 million children in developing economies. These diseases are also responsible for over 500,000 deaths per year and are characterized by long-term disability and severe pain. The impact of the combined NTDs closely rivals that of malaria and tuberculosis. Current treatment options are associated with various limitations including widespread drug resistance, severe adverse effects, lengthy treatment duration, unfavorable toxicity profiles, and complicated drug administration procedures. Natural products have been a valuable source of drug regimens that form the cornerstone of modern pharmaceutical care. In this review, we highlight the potential that remains untapped in natural products as drug leads for NTDs. We cover natural products from plant, marine, and microbial sources including natural-product-inspired semi-synthetic derivatives which have been evaluated against the various causative agents of NTDs. Our coverage is limited to four major NTDs which include human African trypanosomiasis (sleeping sickness), leishmaniasis, schistosomiasis and lymphatic filariasis.","container-title":"Molecules : A Journal of Synthetic Chemistry and Natural Product Chemistry","DOI":"10.3390/molecules22010058","ISSN":"1420-3049","issue":"1","journalAbbreviation":"Molecules","note":"PMID: 28042865\nPMCID: PMC6155950","page":"58","source":"PubMed Central","title":"The Role of Natural Products in Drug Discovery and Development against Neglected Tropical Diseases","volume":"22","author":[{"family":"Cheuka","given":"Peter Mubanga"},{"family":"Mayoka","given":"Godfrey"},{"family":"Mutai","given":"Peggoty"},{"family":"Chibale","given":"Kelly"}],"issued":{"date-parts":[["2016",12,31]]}}}],"schema":"https://github.com/citation-style-language/schema/raw/master/csl-citation.json"} </w:instrText>
      </w:r>
      <w:r w:rsidR="000742E9" w:rsidRPr="008C75FA">
        <w:rPr>
          <w:rFonts w:asciiTheme="minorHAnsi" w:hAnsiTheme="minorHAnsi" w:cstheme="minorHAnsi"/>
          <w:sz w:val="22"/>
          <w:szCs w:val="22"/>
        </w:rPr>
        <w:fldChar w:fldCharType="separate"/>
      </w:r>
      <w:r w:rsidR="000742E9" w:rsidRPr="008C75FA">
        <w:rPr>
          <w:rFonts w:asciiTheme="minorHAnsi" w:hAnsiTheme="minorHAnsi" w:cstheme="minorHAnsi"/>
          <w:sz w:val="22"/>
          <w:szCs w:val="22"/>
          <w:vertAlign w:val="superscript"/>
        </w:rPr>
        <w:t>3</w:t>
      </w:r>
      <w:r w:rsidR="000742E9" w:rsidRPr="008C75FA">
        <w:rPr>
          <w:rFonts w:asciiTheme="minorHAnsi" w:hAnsiTheme="minorHAnsi" w:cstheme="minorHAnsi"/>
          <w:sz w:val="22"/>
          <w:szCs w:val="22"/>
        </w:rPr>
        <w:fldChar w:fldCharType="end"/>
      </w:r>
      <w:r w:rsidRPr="008C75FA">
        <w:rPr>
          <w:rFonts w:asciiTheme="minorHAnsi" w:hAnsiTheme="minorHAnsi" w:cstheme="minorHAnsi"/>
          <w:sz w:val="22"/>
          <w:szCs w:val="22"/>
        </w:rPr>
        <w:t xml:space="preserve">. However, information on natural compounds with </w:t>
      </w:r>
      <w:proofErr w:type="spellStart"/>
      <w:r w:rsidRPr="008C75FA">
        <w:rPr>
          <w:rFonts w:asciiTheme="minorHAnsi" w:hAnsiTheme="minorHAnsi" w:cstheme="minorHAnsi"/>
          <w:sz w:val="22"/>
          <w:szCs w:val="22"/>
        </w:rPr>
        <w:t>trypanocidal</w:t>
      </w:r>
      <w:proofErr w:type="spellEnd"/>
      <w:r w:rsidRPr="008C75FA">
        <w:rPr>
          <w:rFonts w:asciiTheme="minorHAnsi" w:hAnsiTheme="minorHAnsi" w:cstheme="minorHAnsi"/>
          <w:sz w:val="22"/>
          <w:szCs w:val="22"/>
        </w:rPr>
        <w:t xml:space="preserve"> activity is often fragmented, with existing reviews typically focusing on a single class of molecules and often outdated</w:t>
      </w:r>
      <w:r w:rsidR="009B3E9A" w:rsidRPr="008C75FA">
        <w:rPr>
          <w:rFonts w:asciiTheme="minorHAnsi" w:hAnsiTheme="minorHAnsi" w:cstheme="minorHAnsi"/>
          <w:sz w:val="22"/>
          <w:szCs w:val="22"/>
        </w:rPr>
        <w:t>. E</w:t>
      </w:r>
      <w:r w:rsidRPr="008C75FA">
        <w:rPr>
          <w:rFonts w:asciiTheme="minorHAnsi" w:hAnsiTheme="minorHAnsi" w:cstheme="minorHAnsi"/>
          <w:sz w:val="22"/>
          <w:szCs w:val="22"/>
        </w:rPr>
        <w:t xml:space="preserve">stablishing a comprehensive database of natural candidates with proven </w:t>
      </w:r>
      <w:proofErr w:type="spellStart"/>
      <w:r w:rsidRPr="008C75FA">
        <w:rPr>
          <w:rFonts w:asciiTheme="minorHAnsi" w:hAnsiTheme="minorHAnsi" w:cstheme="minorHAnsi"/>
          <w:sz w:val="22"/>
          <w:szCs w:val="22"/>
        </w:rPr>
        <w:t>trypanocidal</w:t>
      </w:r>
      <w:proofErr w:type="spellEnd"/>
      <w:r w:rsidRPr="008C75FA">
        <w:rPr>
          <w:rFonts w:asciiTheme="minorHAnsi" w:hAnsiTheme="minorHAnsi" w:cstheme="minorHAnsi"/>
          <w:sz w:val="22"/>
          <w:szCs w:val="22"/>
        </w:rPr>
        <w:t xml:space="preserve"> activity is crucial</w:t>
      </w:r>
      <w:r w:rsidR="009B3E9A" w:rsidRPr="008C75FA">
        <w:rPr>
          <w:rFonts w:asciiTheme="minorHAnsi" w:hAnsiTheme="minorHAnsi" w:cstheme="minorHAnsi"/>
          <w:sz w:val="22"/>
          <w:szCs w:val="22"/>
        </w:rPr>
        <w:t xml:space="preserve"> to </w:t>
      </w:r>
      <w:r w:rsidR="008C75FA">
        <w:rPr>
          <w:rFonts w:asciiTheme="minorHAnsi" w:hAnsiTheme="minorHAnsi" w:cstheme="minorHAnsi"/>
          <w:sz w:val="22"/>
          <w:szCs w:val="22"/>
        </w:rPr>
        <w:t xml:space="preserve">identify promising scaffolds and </w:t>
      </w:r>
      <w:r w:rsidR="009B3E9A" w:rsidRPr="008C75FA">
        <w:rPr>
          <w:rFonts w:asciiTheme="minorHAnsi" w:hAnsiTheme="minorHAnsi" w:cstheme="minorHAnsi"/>
          <w:sz w:val="22"/>
          <w:szCs w:val="22"/>
        </w:rPr>
        <w:t>accelerate the discovery of new</w:t>
      </w:r>
      <w:r w:rsidR="00147D42" w:rsidRPr="008C75FA">
        <w:rPr>
          <w:rFonts w:asciiTheme="minorHAnsi" w:hAnsiTheme="minorHAnsi" w:cstheme="minorHAnsi"/>
          <w:sz w:val="22"/>
          <w:szCs w:val="22"/>
        </w:rPr>
        <w:t xml:space="preserve"> hits/leads</w:t>
      </w:r>
      <w:r w:rsidRPr="008C75FA">
        <w:rPr>
          <w:rFonts w:asciiTheme="minorHAnsi" w:hAnsiTheme="minorHAnsi" w:cstheme="minorHAnsi"/>
          <w:sz w:val="22"/>
          <w:szCs w:val="22"/>
        </w:rPr>
        <w:t xml:space="preserve">. The database </w:t>
      </w:r>
      <w:r w:rsidR="009B3E9A" w:rsidRPr="008C75FA">
        <w:rPr>
          <w:rFonts w:asciiTheme="minorHAnsi" w:hAnsiTheme="minorHAnsi" w:cstheme="minorHAnsi"/>
          <w:sz w:val="22"/>
          <w:szCs w:val="22"/>
        </w:rPr>
        <w:t>built in this work include</w:t>
      </w:r>
      <w:r w:rsidR="008C75FA">
        <w:rPr>
          <w:rFonts w:asciiTheme="minorHAnsi" w:hAnsiTheme="minorHAnsi" w:cstheme="minorHAnsi"/>
          <w:sz w:val="22"/>
          <w:szCs w:val="22"/>
        </w:rPr>
        <w:t>s</w:t>
      </w:r>
      <w:r w:rsidR="009B3E9A" w:rsidRPr="008C75FA">
        <w:rPr>
          <w:rFonts w:asciiTheme="minorHAnsi" w:hAnsiTheme="minorHAnsi" w:cstheme="minorHAnsi"/>
          <w:sz w:val="22"/>
          <w:szCs w:val="22"/>
        </w:rPr>
        <w:t xml:space="preserve"> </w:t>
      </w:r>
      <w:r w:rsidR="00147D42" w:rsidRPr="008C75FA">
        <w:rPr>
          <w:rFonts w:asciiTheme="minorHAnsi" w:hAnsiTheme="minorHAnsi" w:cstheme="minorHAnsi"/>
          <w:sz w:val="22"/>
          <w:szCs w:val="22"/>
        </w:rPr>
        <w:t xml:space="preserve">relevant </w:t>
      </w:r>
      <w:r w:rsidRPr="008C75FA">
        <w:rPr>
          <w:rFonts w:asciiTheme="minorHAnsi" w:hAnsiTheme="minorHAnsi" w:cstheme="minorHAnsi"/>
          <w:sz w:val="22"/>
          <w:szCs w:val="22"/>
        </w:rPr>
        <w:t xml:space="preserve">data on natural </w:t>
      </w:r>
      <w:r w:rsidR="00147D42" w:rsidRPr="008C75FA">
        <w:rPr>
          <w:rFonts w:asciiTheme="minorHAnsi" w:hAnsiTheme="minorHAnsi" w:cstheme="minorHAnsi"/>
          <w:sz w:val="22"/>
          <w:szCs w:val="22"/>
        </w:rPr>
        <w:t>compounds</w:t>
      </w:r>
      <w:r w:rsidRPr="008C75FA">
        <w:rPr>
          <w:rFonts w:asciiTheme="minorHAnsi" w:hAnsiTheme="minorHAnsi" w:cstheme="minorHAnsi"/>
          <w:sz w:val="22"/>
          <w:szCs w:val="22"/>
        </w:rPr>
        <w:t xml:space="preserve"> active against </w:t>
      </w:r>
      <w:r w:rsidRPr="008C75FA">
        <w:rPr>
          <w:rFonts w:asciiTheme="minorHAnsi" w:hAnsiTheme="minorHAnsi" w:cstheme="minorHAnsi"/>
          <w:i/>
          <w:iCs/>
          <w:sz w:val="22"/>
          <w:szCs w:val="22"/>
        </w:rPr>
        <w:t>T.</w:t>
      </w:r>
      <w:r w:rsidR="00147D42" w:rsidRPr="008C75FA">
        <w:rPr>
          <w:rFonts w:asciiTheme="minorHAnsi" w:hAnsiTheme="minorHAnsi" w:cstheme="minorHAnsi"/>
          <w:i/>
          <w:iCs/>
          <w:sz w:val="22"/>
          <w:szCs w:val="22"/>
        </w:rPr>
        <w:t xml:space="preserve"> </w:t>
      </w:r>
      <w:r w:rsidRPr="008C75FA">
        <w:rPr>
          <w:rFonts w:asciiTheme="minorHAnsi" w:hAnsiTheme="minorHAnsi" w:cstheme="minorHAnsi"/>
          <w:i/>
          <w:iCs/>
          <w:sz w:val="22"/>
          <w:szCs w:val="22"/>
        </w:rPr>
        <w:t>brucei</w:t>
      </w:r>
      <w:r w:rsidRPr="008C75FA">
        <w:rPr>
          <w:rFonts w:asciiTheme="minorHAnsi" w:hAnsiTheme="minorHAnsi" w:cstheme="minorHAnsi"/>
          <w:sz w:val="22"/>
          <w:szCs w:val="22"/>
        </w:rPr>
        <w:t>,</w:t>
      </w:r>
      <w:r w:rsidR="00660634" w:rsidRPr="00660634">
        <w:t xml:space="preserve"> </w:t>
      </w:r>
      <w:r w:rsidR="00660634" w:rsidRPr="00660634">
        <w:rPr>
          <w:rFonts w:asciiTheme="minorHAnsi" w:hAnsiTheme="minorHAnsi" w:cstheme="minorHAnsi"/>
          <w:sz w:val="22"/>
          <w:szCs w:val="22"/>
        </w:rPr>
        <w:t>incorporating literature data from 2019 to 2024</w:t>
      </w:r>
      <w:r w:rsidR="00660634">
        <w:rPr>
          <w:rFonts w:asciiTheme="minorHAnsi" w:hAnsiTheme="minorHAnsi" w:cstheme="minorHAnsi"/>
          <w:sz w:val="22"/>
          <w:szCs w:val="22"/>
        </w:rPr>
        <w:t>,</w:t>
      </w:r>
      <w:r w:rsidRPr="008C75FA">
        <w:rPr>
          <w:rFonts w:asciiTheme="minorHAnsi" w:hAnsiTheme="minorHAnsi" w:cstheme="minorHAnsi"/>
          <w:sz w:val="22"/>
          <w:szCs w:val="22"/>
        </w:rPr>
        <w:t xml:space="preserve"> </w:t>
      </w:r>
      <w:r w:rsidR="009B3E9A" w:rsidRPr="008C75FA">
        <w:rPr>
          <w:rFonts w:asciiTheme="minorHAnsi" w:hAnsiTheme="minorHAnsi" w:cstheme="minorHAnsi"/>
          <w:sz w:val="22"/>
          <w:szCs w:val="22"/>
        </w:rPr>
        <w:t xml:space="preserve">with </w:t>
      </w:r>
      <w:r w:rsidRPr="008C75FA">
        <w:rPr>
          <w:rFonts w:asciiTheme="minorHAnsi" w:hAnsiTheme="minorHAnsi" w:cstheme="minorHAnsi"/>
          <w:sz w:val="22"/>
          <w:szCs w:val="22"/>
        </w:rPr>
        <w:t xml:space="preserve">their </w:t>
      </w:r>
      <w:r w:rsidR="009B3E9A" w:rsidRPr="008C75FA">
        <w:rPr>
          <w:rFonts w:asciiTheme="minorHAnsi" w:hAnsiTheme="minorHAnsi" w:cstheme="minorHAnsi"/>
          <w:sz w:val="22"/>
          <w:szCs w:val="22"/>
        </w:rPr>
        <w:t xml:space="preserve">chemical structure, </w:t>
      </w:r>
      <w:r w:rsidRPr="008C75FA">
        <w:rPr>
          <w:rFonts w:asciiTheme="minorHAnsi" w:hAnsiTheme="minorHAnsi" w:cstheme="minorHAnsi"/>
          <w:sz w:val="22"/>
          <w:szCs w:val="22"/>
        </w:rPr>
        <w:t>biological activity, cytotoxicity and, when</w:t>
      </w:r>
      <w:r w:rsidR="009B3E9A" w:rsidRPr="008C75FA">
        <w:rPr>
          <w:rFonts w:asciiTheme="minorHAnsi" w:hAnsiTheme="minorHAnsi" w:cstheme="minorHAnsi"/>
          <w:sz w:val="22"/>
          <w:szCs w:val="22"/>
        </w:rPr>
        <w:t xml:space="preserve"> described</w:t>
      </w:r>
      <w:r w:rsidRPr="008C75FA">
        <w:rPr>
          <w:rFonts w:asciiTheme="minorHAnsi" w:hAnsiTheme="minorHAnsi" w:cstheme="minorHAnsi"/>
          <w:sz w:val="22"/>
          <w:szCs w:val="22"/>
        </w:rPr>
        <w:t xml:space="preserve"> in </w:t>
      </w:r>
      <w:r w:rsidR="009B3E9A" w:rsidRPr="008C75FA">
        <w:rPr>
          <w:rFonts w:asciiTheme="minorHAnsi" w:hAnsiTheme="minorHAnsi" w:cstheme="minorHAnsi"/>
          <w:sz w:val="22"/>
          <w:szCs w:val="22"/>
        </w:rPr>
        <w:t xml:space="preserve">the </w:t>
      </w:r>
      <w:r w:rsidRPr="008C75FA">
        <w:rPr>
          <w:rFonts w:asciiTheme="minorHAnsi" w:hAnsiTheme="minorHAnsi" w:cstheme="minorHAnsi"/>
          <w:sz w:val="22"/>
          <w:szCs w:val="22"/>
        </w:rPr>
        <w:t>literature, molecular target</w:t>
      </w:r>
      <w:r w:rsidR="009B3E9A" w:rsidRPr="008C75FA">
        <w:rPr>
          <w:rFonts w:asciiTheme="minorHAnsi" w:hAnsiTheme="minorHAnsi" w:cstheme="minorHAnsi"/>
          <w:sz w:val="22"/>
          <w:szCs w:val="22"/>
        </w:rPr>
        <w:t>/s</w:t>
      </w:r>
      <w:r w:rsidRPr="008C75FA">
        <w:rPr>
          <w:rFonts w:asciiTheme="minorHAnsi" w:hAnsiTheme="minorHAnsi" w:cstheme="minorHAnsi"/>
          <w:sz w:val="22"/>
          <w:szCs w:val="22"/>
        </w:rPr>
        <w:t xml:space="preserve">. By systematically </w:t>
      </w:r>
      <w:r w:rsidR="009B3E9A" w:rsidRPr="008C75FA">
        <w:rPr>
          <w:rFonts w:asciiTheme="minorHAnsi" w:hAnsiTheme="minorHAnsi" w:cstheme="minorHAnsi"/>
          <w:sz w:val="22"/>
          <w:szCs w:val="22"/>
        </w:rPr>
        <w:t>classifying natural</w:t>
      </w:r>
      <w:r w:rsidRPr="008C75FA">
        <w:rPr>
          <w:rFonts w:asciiTheme="minorHAnsi" w:hAnsiTheme="minorHAnsi" w:cstheme="minorHAnsi"/>
          <w:sz w:val="22"/>
          <w:szCs w:val="22"/>
        </w:rPr>
        <w:t xml:space="preserve"> products with anti-</w:t>
      </w:r>
      <w:proofErr w:type="spellStart"/>
      <w:r w:rsidRPr="008C75FA">
        <w:rPr>
          <w:rFonts w:asciiTheme="minorHAnsi" w:hAnsiTheme="minorHAnsi" w:cstheme="minorHAnsi"/>
          <w:sz w:val="22"/>
          <w:szCs w:val="22"/>
        </w:rPr>
        <w:t>trypanosomal</w:t>
      </w:r>
      <w:proofErr w:type="spellEnd"/>
      <w:r w:rsidRPr="008C75FA">
        <w:rPr>
          <w:rFonts w:asciiTheme="minorHAnsi" w:hAnsiTheme="minorHAnsi" w:cstheme="minorHAnsi"/>
          <w:sz w:val="22"/>
          <w:szCs w:val="22"/>
        </w:rPr>
        <w:t xml:space="preserve"> properties, this database</w:t>
      </w:r>
      <w:r w:rsidR="009B3E9A" w:rsidRPr="008C75FA">
        <w:rPr>
          <w:rFonts w:asciiTheme="minorHAnsi" w:hAnsiTheme="minorHAnsi" w:cstheme="minorHAnsi"/>
          <w:sz w:val="22"/>
          <w:szCs w:val="22"/>
        </w:rPr>
        <w:t>, properly integrated with ADME and ECOTOX parameters,</w:t>
      </w:r>
      <w:r w:rsidRPr="008C75FA">
        <w:rPr>
          <w:rFonts w:asciiTheme="minorHAnsi" w:hAnsiTheme="minorHAnsi" w:cstheme="minorHAnsi"/>
          <w:sz w:val="22"/>
          <w:szCs w:val="22"/>
        </w:rPr>
        <w:t xml:space="preserve"> represents a first </w:t>
      </w:r>
      <w:r w:rsidR="00147D42" w:rsidRPr="008C75FA">
        <w:rPr>
          <w:rFonts w:asciiTheme="minorHAnsi" w:hAnsiTheme="minorHAnsi" w:cstheme="minorHAnsi"/>
          <w:sz w:val="22"/>
          <w:szCs w:val="22"/>
        </w:rPr>
        <w:t xml:space="preserve">crucial </w:t>
      </w:r>
      <w:r w:rsidRPr="008C75FA">
        <w:rPr>
          <w:rFonts w:asciiTheme="minorHAnsi" w:hAnsiTheme="minorHAnsi" w:cstheme="minorHAnsi"/>
          <w:sz w:val="22"/>
          <w:szCs w:val="22"/>
        </w:rPr>
        <w:t xml:space="preserve">step </w:t>
      </w:r>
      <w:r w:rsidR="009B3E9A" w:rsidRPr="008C75FA">
        <w:rPr>
          <w:rFonts w:asciiTheme="minorHAnsi" w:hAnsiTheme="minorHAnsi" w:cstheme="minorHAnsi"/>
          <w:sz w:val="22"/>
          <w:szCs w:val="22"/>
        </w:rPr>
        <w:t>to disclose new</w:t>
      </w:r>
      <w:r w:rsidRPr="008C75FA">
        <w:rPr>
          <w:rFonts w:asciiTheme="minorHAnsi" w:hAnsiTheme="minorHAnsi" w:cstheme="minorHAnsi"/>
          <w:sz w:val="22"/>
          <w:szCs w:val="22"/>
        </w:rPr>
        <w:t xml:space="preserve"> effective treatments for </w:t>
      </w:r>
      <w:r w:rsidR="008C0846">
        <w:rPr>
          <w:rFonts w:asciiTheme="minorHAnsi" w:hAnsiTheme="minorHAnsi" w:cstheme="minorHAnsi"/>
          <w:sz w:val="22"/>
          <w:szCs w:val="22"/>
        </w:rPr>
        <w:t xml:space="preserve">both </w:t>
      </w:r>
      <w:r w:rsidRPr="008C75FA">
        <w:rPr>
          <w:rFonts w:asciiTheme="minorHAnsi" w:hAnsiTheme="minorHAnsi" w:cstheme="minorHAnsi"/>
          <w:sz w:val="22"/>
          <w:szCs w:val="22"/>
        </w:rPr>
        <w:t>HAT</w:t>
      </w:r>
      <w:r w:rsidR="008C0846">
        <w:rPr>
          <w:rFonts w:asciiTheme="minorHAnsi" w:hAnsiTheme="minorHAnsi" w:cstheme="minorHAnsi"/>
          <w:sz w:val="22"/>
          <w:szCs w:val="22"/>
        </w:rPr>
        <w:t xml:space="preserve"> and AAT</w:t>
      </w:r>
      <w:r w:rsidRPr="008C75FA">
        <w:rPr>
          <w:rFonts w:asciiTheme="minorHAnsi" w:hAnsiTheme="minorHAnsi" w:cstheme="minorHAnsi"/>
          <w:sz w:val="22"/>
          <w:szCs w:val="22"/>
        </w:rPr>
        <w:t>, thus significantly contributing to the global effort to control and eradicate trypanosomiasis.</w:t>
      </w:r>
    </w:p>
    <w:p w14:paraId="02480F64" w14:textId="77777777" w:rsidR="002E2215" w:rsidRPr="008C0846" w:rsidRDefault="002E2215" w:rsidP="002E2215">
      <w:pPr>
        <w:rPr>
          <w:rFonts w:ascii="Calibri" w:hAnsi="Calibri" w:cs="Calibri"/>
          <w:b/>
          <w:bCs/>
          <w:sz w:val="22"/>
          <w:szCs w:val="22"/>
        </w:rPr>
      </w:pPr>
      <w:r w:rsidRPr="008C0846">
        <w:rPr>
          <w:rFonts w:ascii="Calibri" w:hAnsi="Calibri" w:cs="Calibri"/>
          <w:b/>
          <w:bCs/>
          <w:sz w:val="22"/>
          <w:szCs w:val="22"/>
        </w:rPr>
        <w:t>References</w:t>
      </w:r>
    </w:p>
    <w:p w14:paraId="29F631BE" w14:textId="0921DACF" w:rsidR="00147D42" w:rsidRPr="008C0846" w:rsidRDefault="000742E9" w:rsidP="00147D42">
      <w:pPr>
        <w:pStyle w:val="Bibliografia"/>
        <w:tabs>
          <w:tab w:val="clear" w:pos="264"/>
          <w:tab w:val="left" w:pos="0"/>
        </w:tabs>
        <w:spacing w:after="0"/>
        <w:ind w:left="0" w:firstLine="0"/>
        <w:jc w:val="both"/>
        <w:rPr>
          <w:rFonts w:ascii="Calibri" w:hAnsi="Calibri" w:cs="Calibri"/>
          <w:sz w:val="22"/>
          <w:szCs w:val="22"/>
        </w:rPr>
      </w:pPr>
      <w:r w:rsidRPr="008C0846">
        <w:rPr>
          <w:rFonts w:ascii="Calibri" w:hAnsi="Calibri" w:cs="Calibri"/>
          <w:spacing w:val="2"/>
          <w:sz w:val="22"/>
          <w:szCs w:val="22"/>
          <w:shd w:val="clear" w:color="auto" w:fill="FFFFFF"/>
          <w:lang w:val="en-GB"/>
        </w:rPr>
        <w:t>[</w:t>
      </w:r>
      <w:r w:rsidR="00A36076" w:rsidRPr="008C0846">
        <w:rPr>
          <w:rFonts w:ascii="Calibri" w:hAnsi="Calibri" w:cs="Calibri"/>
          <w:spacing w:val="2"/>
          <w:sz w:val="22"/>
          <w:szCs w:val="22"/>
          <w:shd w:val="clear" w:color="auto" w:fill="FFFFFF"/>
        </w:rPr>
        <w:fldChar w:fldCharType="begin"/>
      </w:r>
      <w:r w:rsidRPr="008C0846">
        <w:rPr>
          <w:rFonts w:ascii="Calibri" w:hAnsi="Calibri" w:cs="Calibri"/>
          <w:spacing w:val="2"/>
          <w:sz w:val="22"/>
          <w:szCs w:val="22"/>
          <w:shd w:val="clear" w:color="auto" w:fill="FFFFFF"/>
          <w:lang w:val="en-GB"/>
        </w:rPr>
        <w:instrText xml:space="preserve"> ADDIN ZOTERO_BIBL {"uncited":[],"omitted":[],"custom":[]} CSL_BIBLIOGRAPHY </w:instrText>
      </w:r>
      <w:r w:rsidR="00A36076" w:rsidRPr="008C0846">
        <w:rPr>
          <w:rFonts w:ascii="Calibri" w:hAnsi="Calibri" w:cs="Calibri"/>
          <w:spacing w:val="2"/>
          <w:sz w:val="22"/>
          <w:szCs w:val="22"/>
          <w:shd w:val="clear" w:color="auto" w:fill="FFFFFF"/>
        </w:rPr>
        <w:fldChar w:fldCharType="separate"/>
      </w:r>
      <w:r w:rsidRPr="008C0846">
        <w:rPr>
          <w:rFonts w:ascii="Calibri" w:hAnsi="Calibri" w:cs="Calibri"/>
          <w:sz w:val="22"/>
          <w:szCs w:val="22"/>
          <w:lang w:val="en-GB"/>
        </w:rPr>
        <w:t xml:space="preserve">1] Lejon V, et al. Human African trypanosomiasis. </w:t>
      </w:r>
      <w:r w:rsidRPr="008C0846">
        <w:rPr>
          <w:rFonts w:ascii="Calibri" w:hAnsi="Calibri" w:cs="Calibri"/>
          <w:i/>
          <w:iCs/>
          <w:sz w:val="22"/>
          <w:szCs w:val="22"/>
        </w:rPr>
        <w:t>Handb Clin Neurol</w:t>
      </w:r>
      <w:r w:rsidRPr="008C0846">
        <w:rPr>
          <w:rFonts w:ascii="Calibri" w:hAnsi="Calibri" w:cs="Calibri"/>
          <w:sz w:val="22"/>
          <w:szCs w:val="22"/>
        </w:rPr>
        <w:t>.</w:t>
      </w:r>
      <w:r w:rsidR="00147D42" w:rsidRPr="008C0846">
        <w:rPr>
          <w:rFonts w:ascii="Calibri" w:hAnsi="Calibri" w:cs="Calibri"/>
          <w:sz w:val="22"/>
          <w:szCs w:val="22"/>
        </w:rPr>
        <w:t xml:space="preserve"> </w:t>
      </w:r>
      <w:r w:rsidRPr="008C0846">
        <w:rPr>
          <w:rFonts w:ascii="Calibri" w:hAnsi="Calibri" w:cs="Calibri"/>
          <w:sz w:val="22"/>
          <w:szCs w:val="22"/>
        </w:rPr>
        <w:t>2013;114:169-181. doi:10.1016/B978-0-444-53490-3.00011-X</w:t>
      </w:r>
      <w:r w:rsidR="00147D42" w:rsidRPr="008C0846">
        <w:rPr>
          <w:rFonts w:ascii="Calibri" w:hAnsi="Calibri" w:cs="Calibri"/>
          <w:sz w:val="22"/>
          <w:szCs w:val="22"/>
        </w:rPr>
        <w:t>.</w:t>
      </w:r>
      <w:r w:rsidRPr="008C0846">
        <w:rPr>
          <w:rFonts w:ascii="Calibri" w:hAnsi="Calibri" w:cs="Calibri"/>
          <w:sz w:val="22"/>
          <w:szCs w:val="22"/>
        </w:rPr>
        <w:br/>
        <w:t xml:space="preserve">[2] Venturelli A, et al. Current Treatments to Control African Trypanosomiasis and One Health Perspective. </w:t>
      </w:r>
      <w:r w:rsidRPr="008C0846">
        <w:rPr>
          <w:rFonts w:ascii="Calibri" w:hAnsi="Calibri" w:cs="Calibri"/>
          <w:i/>
          <w:iCs/>
          <w:sz w:val="22"/>
          <w:szCs w:val="22"/>
        </w:rPr>
        <w:t>Microorganisms</w:t>
      </w:r>
      <w:r w:rsidRPr="008C0846">
        <w:rPr>
          <w:rFonts w:ascii="Calibri" w:hAnsi="Calibri" w:cs="Calibri"/>
          <w:sz w:val="22"/>
          <w:szCs w:val="22"/>
        </w:rPr>
        <w:t>. 2022;10(7):1298. doi:10.3390/microorganisms10071298</w:t>
      </w:r>
      <w:r w:rsidR="00147D42" w:rsidRPr="008C0846">
        <w:rPr>
          <w:rFonts w:ascii="Calibri" w:hAnsi="Calibri" w:cs="Calibri"/>
          <w:sz w:val="22"/>
          <w:szCs w:val="22"/>
        </w:rPr>
        <w:t>.</w:t>
      </w:r>
    </w:p>
    <w:p w14:paraId="0CB2E823" w14:textId="29B38E35" w:rsidR="008F54F4" w:rsidRDefault="000742E9" w:rsidP="005127E8">
      <w:pPr>
        <w:pStyle w:val="Bibliografia"/>
        <w:tabs>
          <w:tab w:val="clear" w:pos="264"/>
          <w:tab w:val="left" w:pos="0"/>
        </w:tabs>
        <w:spacing w:after="0"/>
        <w:ind w:left="0" w:firstLine="0"/>
        <w:jc w:val="both"/>
        <w:rPr>
          <w:rFonts w:ascii="Calibri" w:hAnsi="Calibri" w:cs="Calibri"/>
          <w:spacing w:val="2"/>
          <w:sz w:val="22"/>
          <w:szCs w:val="22"/>
          <w:shd w:val="clear" w:color="auto" w:fill="FFFFFF"/>
        </w:rPr>
      </w:pPr>
      <w:r w:rsidRPr="008C0846">
        <w:rPr>
          <w:rFonts w:ascii="Calibri" w:hAnsi="Calibri" w:cs="Calibri"/>
          <w:sz w:val="22"/>
          <w:szCs w:val="22"/>
        </w:rPr>
        <w:t>[3]</w:t>
      </w:r>
      <w:r w:rsidR="007E3088" w:rsidRPr="008C0846">
        <w:rPr>
          <w:rFonts w:ascii="Calibri" w:hAnsi="Calibri" w:cs="Calibri"/>
          <w:sz w:val="22"/>
          <w:szCs w:val="22"/>
        </w:rPr>
        <w:t xml:space="preserve"> </w:t>
      </w:r>
      <w:r w:rsidRPr="008C0846">
        <w:rPr>
          <w:rFonts w:ascii="Calibri" w:hAnsi="Calibri" w:cs="Calibri"/>
          <w:sz w:val="22"/>
          <w:szCs w:val="22"/>
        </w:rPr>
        <w:t xml:space="preserve">Cheuka PM, et al. The Role of Natural Products in Drug Discovery and Development against Neglected Tropical Diseases. </w:t>
      </w:r>
      <w:r w:rsidRPr="008C0846">
        <w:rPr>
          <w:rFonts w:ascii="Calibri" w:hAnsi="Calibri" w:cs="Calibri"/>
          <w:i/>
          <w:iCs/>
          <w:sz w:val="22"/>
          <w:szCs w:val="22"/>
        </w:rPr>
        <w:t>Mol J Synth Chem Nat Prod Chem</w:t>
      </w:r>
      <w:r w:rsidRPr="008C0846">
        <w:rPr>
          <w:rFonts w:ascii="Calibri" w:hAnsi="Calibri" w:cs="Calibri"/>
          <w:sz w:val="22"/>
          <w:szCs w:val="22"/>
        </w:rPr>
        <w:t>. 2016;22(1):58. doi:10.3390/molecules22010058</w:t>
      </w:r>
      <w:r w:rsidR="00147D42" w:rsidRPr="008C0846">
        <w:rPr>
          <w:rFonts w:ascii="Calibri" w:hAnsi="Calibri" w:cs="Calibri"/>
          <w:sz w:val="22"/>
          <w:szCs w:val="22"/>
        </w:rPr>
        <w:t>.</w:t>
      </w:r>
      <w:r w:rsidR="00A36076" w:rsidRPr="008C0846">
        <w:rPr>
          <w:rFonts w:ascii="Calibri" w:hAnsi="Calibri" w:cs="Calibri"/>
          <w:spacing w:val="2"/>
          <w:sz w:val="22"/>
          <w:szCs w:val="22"/>
          <w:shd w:val="clear" w:color="auto" w:fill="FFFFFF"/>
        </w:rPr>
        <w:fldChar w:fldCharType="end"/>
      </w:r>
    </w:p>
    <w:sectPr w:rsidR="008F54F4" w:rsidSect="00AE68CF">
      <w:headerReference w:type="even" r:id="rId9"/>
      <w:headerReference w:type="default" r:id="rId10"/>
      <w:footerReference w:type="even" r:id="rId11"/>
      <w:footerReference w:type="default" r:id="rId12"/>
      <w:headerReference w:type="first" r:id="rId13"/>
      <w:footerReference w:type="first" r:id="rId14"/>
      <w:pgSz w:w="11899" w:h="16838" w:code="9"/>
      <w:pgMar w:top="2268" w:right="1701" w:bottom="1134"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6E6C39" w14:textId="77777777" w:rsidR="00DC0F61" w:rsidRDefault="00DC0F61">
      <w:r>
        <w:separator/>
      </w:r>
    </w:p>
  </w:endnote>
  <w:endnote w:type="continuationSeparator" w:id="0">
    <w:p w14:paraId="1A14BBBD" w14:textId="77777777" w:rsidR="00DC0F61" w:rsidRDefault="00DC0F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930DD0" w14:textId="77777777" w:rsidR="0039084A" w:rsidRDefault="0039084A">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3E85CC57" w14:textId="77777777" w:rsidR="0039084A" w:rsidRDefault="0039084A">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6B0668" w14:textId="77777777" w:rsidR="00D31D58" w:rsidRDefault="00D31D58">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2CED08" w14:textId="77777777" w:rsidR="00D31D58" w:rsidRDefault="00D31D5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B1A056" w14:textId="77777777" w:rsidR="00DC0F61" w:rsidRDefault="00DC0F61">
      <w:r>
        <w:separator/>
      </w:r>
    </w:p>
  </w:footnote>
  <w:footnote w:type="continuationSeparator" w:id="0">
    <w:p w14:paraId="71ACB035" w14:textId="77777777" w:rsidR="00DC0F61" w:rsidRDefault="00DC0F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710A19" w14:textId="77777777" w:rsidR="00D31D58" w:rsidRDefault="00D31D58">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122893" w14:textId="77777777" w:rsidR="007C3A47" w:rsidRDefault="0014536C" w:rsidP="007C3A47">
    <w:pPr>
      <w:pStyle w:val="Intestazione"/>
      <w:tabs>
        <w:tab w:val="clear" w:pos="4536"/>
        <w:tab w:val="clear" w:pos="9072"/>
        <w:tab w:val="right" w:pos="8497"/>
      </w:tabs>
    </w:pPr>
    <w:r>
      <w:rPr>
        <w:rFonts w:ascii="Cambria" w:hAnsi="Cambria" w:cs="Calibri"/>
        <w:noProof/>
        <w:spacing w:val="60"/>
        <w:kern w:val="1"/>
        <w:sz w:val="18"/>
        <w:szCs w:val="18"/>
      </w:rPr>
      <w:drawing>
        <wp:inline distT="0" distB="0" distL="0" distR="0" wp14:anchorId="16D90579" wp14:editId="1EB3B32C">
          <wp:extent cx="4493260" cy="609600"/>
          <wp:effectExtent l="0" t="0" r="0" b="0"/>
          <wp:docPr id="1" name="Immagine 636731017" descr="Immagine che contiene testo, Carattere, schermata, log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636731017" descr="Immagine che contiene testo, Carattere, schermata, logo&#10;&#10;Descrizione generata automaticamente"/>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93260" cy="609600"/>
                  </a:xfrm>
                  <a:prstGeom prst="rect">
                    <a:avLst/>
                  </a:prstGeom>
                  <a:noFill/>
                  <a:ln>
                    <a:noFill/>
                  </a:ln>
                </pic:spPr>
              </pic:pic>
            </a:graphicData>
          </a:graphic>
        </wp:inline>
      </w:drawing>
    </w:r>
    <w:r w:rsidR="007C3A47">
      <w:tab/>
    </w:r>
  </w:p>
  <w:p w14:paraId="64AB7753" w14:textId="77777777" w:rsidR="007C3A47" w:rsidRDefault="007C3A47" w:rsidP="007C3A47">
    <w:pPr>
      <w:pStyle w:val="Intestazione"/>
      <w:tabs>
        <w:tab w:val="clear" w:pos="4536"/>
        <w:tab w:val="clear" w:pos="9072"/>
        <w:tab w:val="right" w:pos="8497"/>
      </w:tabs>
    </w:pPr>
  </w:p>
  <w:p w14:paraId="210DA8E2" w14:textId="77777777" w:rsidR="00D31D58" w:rsidRPr="00C5016A" w:rsidRDefault="00D31D58" w:rsidP="00D31D58">
    <w:pPr>
      <w:jc w:val="center"/>
      <w:rPr>
        <w:rFonts w:ascii="Cambria" w:hAnsi="Cambria" w:cs="Calibri"/>
        <w:sz w:val="18"/>
        <w:szCs w:val="18"/>
        <w:lang w:val="en-GB"/>
      </w:rPr>
    </w:pPr>
    <w:r w:rsidRPr="00C5016A">
      <w:rPr>
        <w:rFonts w:ascii="Cambria" w:hAnsi="Cambria" w:cs="Calibri"/>
        <w:sz w:val="18"/>
        <w:szCs w:val="18"/>
        <w:lang w:val="en-GB"/>
      </w:rPr>
      <w:t>One Health drugs against parasitic vector borne diseases in Europe and beyond</w:t>
    </w:r>
  </w:p>
  <w:p w14:paraId="2414B800" w14:textId="77777777" w:rsidR="00D31D58" w:rsidRDefault="00D31D58" w:rsidP="00D31D58">
    <w:pPr>
      <w:jc w:val="center"/>
      <w:rPr>
        <w:rFonts w:ascii="Cambria" w:hAnsi="Cambria" w:cs="Calibri"/>
        <w:b/>
        <w:bCs/>
        <w:sz w:val="18"/>
        <w:szCs w:val="18"/>
      </w:rPr>
    </w:pPr>
    <w:proofErr w:type="spellStart"/>
    <w:r>
      <w:rPr>
        <w:rFonts w:ascii="Cambria" w:hAnsi="Cambria" w:cs="Calibri"/>
        <w:b/>
        <w:bCs/>
        <w:sz w:val="18"/>
        <w:szCs w:val="18"/>
      </w:rPr>
      <w:t>OneHealth</w:t>
    </w:r>
    <w:r>
      <w:rPr>
        <w:rFonts w:ascii="Cambria" w:hAnsi="Cambria" w:cs="Calibri"/>
        <w:b/>
        <w:bCs/>
        <w:i/>
        <w:iCs/>
        <w:sz w:val="18"/>
        <w:szCs w:val="18"/>
      </w:rPr>
      <w:t>drugs</w:t>
    </w:r>
    <w:proofErr w:type="spellEnd"/>
    <w:r w:rsidR="0014536C">
      <w:rPr>
        <w:noProof/>
      </w:rPr>
      <mc:AlternateContent>
        <mc:Choice Requires="wps">
          <w:drawing>
            <wp:anchor distT="4294967295" distB="4294967295" distL="114300" distR="114300" simplePos="0" relativeHeight="251657728" behindDoc="1" locked="0" layoutInCell="1" allowOverlap="1" wp14:anchorId="6EED6C02" wp14:editId="25557E71">
              <wp:simplePos x="0" y="0"/>
              <wp:positionH relativeFrom="column">
                <wp:posOffset>-685800</wp:posOffset>
              </wp:positionH>
              <wp:positionV relativeFrom="paragraph">
                <wp:posOffset>225424</wp:posOffset>
              </wp:positionV>
              <wp:extent cx="6972300"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972300" cy="0"/>
                      </a:xfrm>
                      <a:prstGeom prst="line">
                        <a:avLst/>
                      </a:prstGeom>
                      <a:noFill/>
                      <a:ln w="9360">
                        <a:solidFill>
                          <a:srgbClr val="000000"/>
                        </a:solidFill>
                        <a:miter lim="800000"/>
                        <a:headEnd/>
                        <a:tailEnd/>
                      </a:ln>
                      <a:effectLst/>
                    </wps:spPr>
                    <wps:bodyPr/>
                  </wps:wsp>
                </a:graphicData>
              </a:graphic>
              <wp14:sizeRelH relativeFrom="page">
                <wp14:pctWidth>0</wp14:pctWidth>
              </wp14:sizeRelH>
              <wp14:sizeRelV relativeFrom="page">
                <wp14:pctHeight>0</wp14:pctHeight>
              </wp14:sizeRelV>
            </wp:anchor>
          </w:drawing>
        </mc:Choice>
        <mc:Fallback>
          <w:pict>
            <v:line w14:anchorId="03FBDBDA" id="Straight Connector 2" o:spid="_x0000_s1026" style="position:absolute;z-index:-251658752;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54pt,17.75pt" to="49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" strokeweight=".26mm">
              <v:stroke joinstyle="miter"/>
              <o:lock v:ext="edit" shapetype="f"/>
            </v:line>
          </w:pict>
        </mc:Fallback>
      </mc:AlternateContent>
    </w:r>
    <w:r>
      <w:rPr>
        <w:rFonts w:ascii="Cambria" w:hAnsi="Cambria" w:cs="Calibri"/>
        <w:b/>
        <w:bCs/>
        <w:i/>
        <w:iCs/>
        <w:sz w:val="18"/>
        <w:szCs w:val="18"/>
      </w:rPr>
      <w:tab/>
    </w:r>
    <w:r>
      <w:rPr>
        <w:rFonts w:ascii="Cambria" w:hAnsi="Cambria" w:cs="Calibri"/>
        <w:b/>
        <w:bCs/>
        <w:i/>
        <w:iCs/>
        <w:sz w:val="18"/>
        <w:szCs w:val="18"/>
      </w:rPr>
      <w:tab/>
    </w:r>
    <w:r>
      <w:rPr>
        <w:rFonts w:ascii="Cambria" w:hAnsi="Cambria" w:cs="Calibri"/>
        <w:b/>
        <w:bCs/>
        <w:i/>
        <w:iCs/>
        <w:sz w:val="18"/>
        <w:szCs w:val="18"/>
      </w:rPr>
      <w:tab/>
    </w:r>
    <w:r>
      <w:rPr>
        <w:rFonts w:ascii="Cambria" w:hAnsi="Cambria" w:cs="Calibri"/>
        <w:b/>
        <w:bCs/>
        <w:i/>
        <w:iCs/>
        <w:sz w:val="18"/>
        <w:szCs w:val="18"/>
      </w:rPr>
      <w:tab/>
    </w:r>
    <w:r>
      <w:rPr>
        <w:rFonts w:ascii="Cambria" w:hAnsi="Cambria" w:cs="Calibri"/>
        <w:b/>
        <w:bCs/>
        <w:i/>
        <w:iCs/>
        <w:sz w:val="18"/>
        <w:szCs w:val="18"/>
      </w:rPr>
      <w:tab/>
    </w:r>
    <w:r>
      <w:rPr>
        <w:rFonts w:ascii="Cambria" w:hAnsi="Cambria" w:cs="Calibri"/>
        <w:b/>
        <w:bCs/>
        <w:sz w:val="18"/>
        <w:szCs w:val="18"/>
      </w:rPr>
      <w:t>Cost Action CA21111</w:t>
    </w:r>
  </w:p>
  <w:p w14:paraId="49E39FEE" w14:textId="77777777" w:rsidR="007C3A47" w:rsidRDefault="007C3A47">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5CAC6B" w14:textId="77777777" w:rsidR="00D31D58" w:rsidRDefault="00D31D58">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576A58"/>
    <w:multiLevelType w:val="multilevel"/>
    <w:tmpl w:val="F3DE25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3BF0328"/>
    <w:multiLevelType w:val="multilevel"/>
    <w:tmpl w:val="88DE50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07B6EFB"/>
    <w:multiLevelType w:val="hybridMultilevel"/>
    <w:tmpl w:val="E2D6DC7E"/>
    <w:lvl w:ilvl="0" w:tplc="56300018">
      <w:numFmt w:val="bullet"/>
      <w:lvlText w:val=""/>
      <w:lvlJc w:val="left"/>
      <w:pPr>
        <w:tabs>
          <w:tab w:val="num" w:pos="720"/>
        </w:tabs>
        <w:ind w:left="720" w:hanging="360"/>
      </w:pPr>
      <w:rPr>
        <w:rFonts w:ascii="Symbol" w:eastAsia="Times New Roman" w:hAnsi="Symbol" w:hint="default"/>
      </w:rPr>
    </w:lvl>
    <w:lvl w:ilvl="1" w:tplc="FC2CD35C" w:tentative="1">
      <w:start w:val="1"/>
      <w:numFmt w:val="bullet"/>
      <w:lvlText w:val="o"/>
      <w:lvlJc w:val="left"/>
      <w:pPr>
        <w:tabs>
          <w:tab w:val="num" w:pos="1440"/>
        </w:tabs>
        <w:ind w:left="1440" w:hanging="360"/>
      </w:pPr>
      <w:rPr>
        <w:rFonts w:ascii="Courier New" w:hAnsi="Courier New" w:hint="default"/>
      </w:rPr>
    </w:lvl>
    <w:lvl w:ilvl="2" w:tplc="FB6E715E" w:tentative="1">
      <w:start w:val="1"/>
      <w:numFmt w:val="bullet"/>
      <w:lvlText w:val=""/>
      <w:lvlJc w:val="left"/>
      <w:pPr>
        <w:tabs>
          <w:tab w:val="num" w:pos="2160"/>
        </w:tabs>
        <w:ind w:left="2160" w:hanging="360"/>
      </w:pPr>
      <w:rPr>
        <w:rFonts w:ascii="Wingdings" w:hAnsi="Wingdings" w:hint="default"/>
      </w:rPr>
    </w:lvl>
    <w:lvl w:ilvl="3" w:tplc="92C032C4" w:tentative="1">
      <w:start w:val="1"/>
      <w:numFmt w:val="bullet"/>
      <w:lvlText w:val=""/>
      <w:lvlJc w:val="left"/>
      <w:pPr>
        <w:tabs>
          <w:tab w:val="num" w:pos="2880"/>
        </w:tabs>
        <w:ind w:left="2880" w:hanging="360"/>
      </w:pPr>
      <w:rPr>
        <w:rFonts w:ascii="Symbol" w:hAnsi="Symbol" w:hint="default"/>
      </w:rPr>
    </w:lvl>
    <w:lvl w:ilvl="4" w:tplc="D48C82AA" w:tentative="1">
      <w:start w:val="1"/>
      <w:numFmt w:val="bullet"/>
      <w:lvlText w:val="o"/>
      <w:lvlJc w:val="left"/>
      <w:pPr>
        <w:tabs>
          <w:tab w:val="num" w:pos="3600"/>
        </w:tabs>
        <w:ind w:left="3600" w:hanging="360"/>
      </w:pPr>
      <w:rPr>
        <w:rFonts w:ascii="Courier New" w:hAnsi="Courier New" w:hint="default"/>
      </w:rPr>
    </w:lvl>
    <w:lvl w:ilvl="5" w:tplc="1A78AED0" w:tentative="1">
      <w:start w:val="1"/>
      <w:numFmt w:val="bullet"/>
      <w:lvlText w:val=""/>
      <w:lvlJc w:val="left"/>
      <w:pPr>
        <w:tabs>
          <w:tab w:val="num" w:pos="4320"/>
        </w:tabs>
        <w:ind w:left="4320" w:hanging="360"/>
      </w:pPr>
      <w:rPr>
        <w:rFonts w:ascii="Wingdings" w:hAnsi="Wingdings" w:hint="default"/>
      </w:rPr>
    </w:lvl>
    <w:lvl w:ilvl="6" w:tplc="CEE255EE" w:tentative="1">
      <w:start w:val="1"/>
      <w:numFmt w:val="bullet"/>
      <w:lvlText w:val=""/>
      <w:lvlJc w:val="left"/>
      <w:pPr>
        <w:tabs>
          <w:tab w:val="num" w:pos="5040"/>
        </w:tabs>
        <w:ind w:left="5040" w:hanging="360"/>
      </w:pPr>
      <w:rPr>
        <w:rFonts w:ascii="Symbol" w:hAnsi="Symbol" w:hint="default"/>
      </w:rPr>
    </w:lvl>
    <w:lvl w:ilvl="7" w:tplc="164CD78E" w:tentative="1">
      <w:start w:val="1"/>
      <w:numFmt w:val="bullet"/>
      <w:lvlText w:val="o"/>
      <w:lvlJc w:val="left"/>
      <w:pPr>
        <w:tabs>
          <w:tab w:val="num" w:pos="5760"/>
        </w:tabs>
        <w:ind w:left="5760" w:hanging="360"/>
      </w:pPr>
      <w:rPr>
        <w:rFonts w:ascii="Courier New" w:hAnsi="Courier New" w:hint="default"/>
      </w:rPr>
    </w:lvl>
    <w:lvl w:ilvl="8" w:tplc="E7CE7C8A"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72A6026"/>
    <w:multiLevelType w:val="hybridMultilevel"/>
    <w:tmpl w:val="D278C668"/>
    <w:lvl w:ilvl="0" w:tplc="7188F446">
      <w:start w:val="5"/>
      <w:numFmt w:val="bullet"/>
      <w:lvlText w:val=""/>
      <w:lvlJc w:val="left"/>
      <w:pPr>
        <w:tabs>
          <w:tab w:val="num" w:pos="720"/>
        </w:tabs>
        <w:ind w:left="720" w:hanging="360"/>
      </w:pPr>
      <w:rPr>
        <w:rFonts w:ascii="Wingdings" w:eastAsia="Times New Roman" w:hAnsi="Wingdings" w:hint="default"/>
      </w:rPr>
    </w:lvl>
    <w:lvl w:ilvl="1" w:tplc="A14C6696" w:tentative="1">
      <w:start w:val="1"/>
      <w:numFmt w:val="bullet"/>
      <w:lvlText w:val="o"/>
      <w:lvlJc w:val="left"/>
      <w:pPr>
        <w:tabs>
          <w:tab w:val="num" w:pos="1440"/>
        </w:tabs>
        <w:ind w:left="1440" w:hanging="360"/>
      </w:pPr>
      <w:rPr>
        <w:rFonts w:ascii="Courier New" w:hAnsi="Courier New" w:hint="default"/>
      </w:rPr>
    </w:lvl>
    <w:lvl w:ilvl="2" w:tplc="128246C2" w:tentative="1">
      <w:start w:val="1"/>
      <w:numFmt w:val="bullet"/>
      <w:lvlText w:val=""/>
      <w:lvlJc w:val="left"/>
      <w:pPr>
        <w:tabs>
          <w:tab w:val="num" w:pos="2160"/>
        </w:tabs>
        <w:ind w:left="2160" w:hanging="360"/>
      </w:pPr>
      <w:rPr>
        <w:rFonts w:ascii="Wingdings" w:hAnsi="Wingdings" w:hint="default"/>
      </w:rPr>
    </w:lvl>
    <w:lvl w:ilvl="3" w:tplc="08480676" w:tentative="1">
      <w:start w:val="1"/>
      <w:numFmt w:val="bullet"/>
      <w:lvlText w:val=""/>
      <w:lvlJc w:val="left"/>
      <w:pPr>
        <w:tabs>
          <w:tab w:val="num" w:pos="2880"/>
        </w:tabs>
        <w:ind w:left="2880" w:hanging="360"/>
      </w:pPr>
      <w:rPr>
        <w:rFonts w:ascii="Symbol" w:hAnsi="Symbol" w:hint="default"/>
      </w:rPr>
    </w:lvl>
    <w:lvl w:ilvl="4" w:tplc="5420CE8A" w:tentative="1">
      <w:start w:val="1"/>
      <w:numFmt w:val="bullet"/>
      <w:lvlText w:val="o"/>
      <w:lvlJc w:val="left"/>
      <w:pPr>
        <w:tabs>
          <w:tab w:val="num" w:pos="3600"/>
        </w:tabs>
        <w:ind w:left="3600" w:hanging="360"/>
      </w:pPr>
      <w:rPr>
        <w:rFonts w:ascii="Courier New" w:hAnsi="Courier New" w:hint="default"/>
      </w:rPr>
    </w:lvl>
    <w:lvl w:ilvl="5" w:tplc="1DE2BE8C" w:tentative="1">
      <w:start w:val="1"/>
      <w:numFmt w:val="bullet"/>
      <w:lvlText w:val=""/>
      <w:lvlJc w:val="left"/>
      <w:pPr>
        <w:tabs>
          <w:tab w:val="num" w:pos="4320"/>
        </w:tabs>
        <w:ind w:left="4320" w:hanging="360"/>
      </w:pPr>
      <w:rPr>
        <w:rFonts w:ascii="Wingdings" w:hAnsi="Wingdings" w:hint="default"/>
      </w:rPr>
    </w:lvl>
    <w:lvl w:ilvl="6" w:tplc="9A1CA3DE" w:tentative="1">
      <w:start w:val="1"/>
      <w:numFmt w:val="bullet"/>
      <w:lvlText w:val=""/>
      <w:lvlJc w:val="left"/>
      <w:pPr>
        <w:tabs>
          <w:tab w:val="num" w:pos="5040"/>
        </w:tabs>
        <w:ind w:left="5040" w:hanging="360"/>
      </w:pPr>
      <w:rPr>
        <w:rFonts w:ascii="Symbol" w:hAnsi="Symbol" w:hint="default"/>
      </w:rPr>
    </w:lvl>
    <w:lvl w:ilvl="7" w:tplc="2C8C6E22" w:tentative="1">
      <w:start w:val="1"/>
      <w:numFmt w:val="bullet"/>
      <w:lvlText w:val="o"/>
      <w:lvlJc w:val="left"/>
      <w:pPr>
        <w:tabs>
          <w:tab w:val="num" w:pos="5760"/>
        </w:tabs>
        <w:ind w:left="5760" w:hanging="360"/>
      </w:pPr>
      <w:rPr>
        <w:rFonts w:ascii="Courier New" w:hAnsi="Courier New" w:hint="default"/>
      </w:rPr>
    </w:lvl>
    <w:lvl w:ilvl="8" w:tplc="8D82513C" w:tentative="1">
      <w:start w:val="1"/>
      <w:numFmt w:val="bullet"/>
      <w:lvlText w:val=""/>
      <w:lvlJc w:val="left"/>
      <w:pPr>
        <w:tabs>
          <w:tab w:val="num" w:pos="6480"/>
        </w:tabs>
        <w:ind w:left="6480" w:hanging="360"/>
      </w:pPr>
      <w:rPr>
        <w:rFonts w:ascii="Wingdings" w:hAnsi="Wingdings" w:hint="default"/>
      </w:rPr>
    </w:lvl>
  </w:abstractNum>
  <w:num w:numId="1" w16cid:durableId="1011371321">
    <w:abstractNumId w:val="2"/>
  </w:num>
  <w:num w:numId="2" w16cid:durableId="423917502">
    <w:abstractNumId w:val="3"/>
  </w:num>
  <w:num w:numId="3" w16cid:durableId="412169237">
    <w:abstractNumId w:val="1"/>
  </w:num>
  <w:num w:numId="4" w16cid:durableId="3852263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rawingGridHorizontalSpacing w:val="120"/>
  <w:drawingGridVerticalSpacing w:val="1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Y0NLE0NjQ2MTY3NDFV0lEKTi0uzszPAykwrAUAeO/YDywAAAA="/>
  </w:docVars>
  <w:rsids>
    <w:rsidRoot w:val="00B16BFA"/>
    <w:rsid w:val="00027A38"/>
    <w:rsid w:val="00047EAF"/>
    <w:rsid w:val="00072982"/>
    <w:rsid w:val="000742E9"/>
    <w:rsid w:val="00080017"/>
    <w:rsid w:val="0009034E"/>
    <w:rsid w:val="000E08B4"/>
    <w:rsid w:val="00142B7D"/>
    <w:rsid w:val="0014536C"/>
    <w:rsid w:val="00147D42"/>
    <w:rsid w:val="00153E94"/>
    <w:rsid w:val="00164F1D"/>
    <w:rsid w:val="00173121"/>
    <w:rsid w:val="00173B3C"/>
    <w:rsid w:val="001906BD"/>
    <w:rsid w:val="001F1E64"/>
    <w:rsid w:val="00221223"/>
    <w:rsid w:val="00224EDF"/>
    <w:rsid w:val="002447AD"/>
    <w:rsid w:val="002674E6"/>
    <w:rsid w:val="00291717"/>
    <w:rsid w:val="002939B6"/>
    <w:rsid w:val="002A0075"/>
    <w:rsid w:val="002B76D3"/>
    <w:rsid w:val="002D30EA"/>
    <w:rsid w:val="002E2215"/>
    <w:rsid w:val="002F36DC"/>
    <w:rsid w:val="00354FA3"/>
    <w:rsid w:val="0039084A"/>
    <w:rsid w:val="00396807"/>
    <w:rsid w:val="003B0D7D"/>
    <w:rsid w:val="003E21FB"/>
    <w:rsid w:val="00422B0C"/>
    <w:rsid w:val="00437CF9"/>
    <w:rsid w:val="0045592C"/>
    <w:rsid w:val="00470C56"/>
    <w:rsid w:val="004D77A4"/>
    <w:rsid w:val="004F3127"/>
    <w:rsid w:val="005127E8"/>
    <w:rsid w:val="00515143"/>
    <w:rsid w:val="00565661"/>
    <w:rsid w:val="0058758E"/>
    <w:rsid w:val="005A2452"/>
    <w:rsid w:val="005E0E15"/>
    <w:rsid w:val="005F6F41"/>
    <w:rsid w:val="0065346E"/>
    <w:rsid w:val="00660634"/>
    <w:rsid w:val="006A6131"/>
    <w:rsid w:val="006A6264"/>
    <w:rsid w:val="006C122E"/>
    <w:rsid w:val="006D1F49"/>
    <w:rsid w:val="00706A50"/>
    <w:rsid w:val="0071509B"/>
    <w:rsid w:val="00731AAD"/>
    <w:rsid w:val="007375C5"/>
    <w:rsid w:val="00751D22"/>
    <w:rsid w:val="00761045"/>
    <w:rsid w:val="00791ED3"/>
    <w:rsid w:val="007C3A47"/>
    <w:rsid w:val="007E3088"/>
    <w:rsid w:val="007F6C04"/>
    <w:rsid w:val="00866048"/>
    <w:rsid w:val="0089119F"/>
    <w:rsid w:val="008929BF"/>
    <w:rsid w:val="00895350"/>
    <w:rsid w:val="008A2851"/>
    <w:rsid w:val="008C0846"/>
    <w:rsid w:val="008C215C"/>
    <w:rsid w:val="008C75FA"/>
    <w:rsid w:val="008C7807"/>
    <w:rsid w:val="008F2569"/>
    <w:rsid w:val="008F54F4"/>
    <w:rsid w:val="00933528"/>
    <w:rsid w:val="00950A4C"/>
    <w:rsid w:val="009752ED"/>
    <w:rsid w:val="00984CCA"/>
    <w:rsid w:val="00986538"/>
    <w:rsid w:val="00993BE9"/>
    <w:rsid w:val="009B03E4"/>
    <w:rsid w:val="009B3E9A"/>
    <w:rsid w:val="009D4622"/>
    <w:rsid w:val="00A020CF"/>
    <w:rsid w:val="00A15503"/>
    <w:rsid w:val="00A26649"/>
    <w:rsid w:val="00A2697F"/>
    <w:rsid w:val="00A317A1"/>
    <w:rsid w:val="00A36076"/>
    <w:rsid w:val="00A36ADE"/>
    <w:rsid w:val="00A45C3B"/>
    <w:rsid w:val="00A7629C"/>
    <w:rsid w:val="00A772AB"/>
    <w:rsid w:val="00A94A73"/>
    <w:rsid w:val="00AC18E5"/>
    <w:rsid w:val="00AD6E08"/>
    <w:rsid w:val="00AE18A5"/>
    <w:rsid w:val="00AE68CF"/>
    <w:rsid w:val="00AF1D11"/>
    <w:rsid w:val="00B002F8"/>
    <w:rsid w:val="00B05E96"/>
    <w:rsid w:val="00B11FC2"/>
    <w:rsid w:val="00B16BFA"/>
    <w:rsid w:val="00B23125"/>
    <w:rsid w:val="00B27593"/>
    <w:rsid w:val="00B42179"/>
    <w:rsid w:val="00B61589"/>
    <w:rsid w:val="00B67156"/>
    <w:rsid w:val="00B80DC9"/>
    <w:rsid w:val="00BE7FD0"/>
    <w:rsid w:val="00C027CA"/>
    <w:rsid w:val="00C247D6"/>
    <w:rsid w:val="00C30697"/>
    <w:rsid w:val="00C520C7"/>
    <w:rsid w:val="00C61120"/>
    <w:rsid w:val="00C66EDC"/>
    <w:rsid w:val="00C72B38"/>
    <w:rsid w:val="00C83A23"/>
    <w:rsid w:val="00C9518C"/>
    <w:rsid w:val="00CC3A0F"/>
    <w:rsid w:val="00CF0BE4"/>
    <w:rsid w:val="00D13584"/>
    <w:rsid w:val="00D31D58"/>
    <w:rsid w:val="00D32F37"/>
    <w:rsid w:val="00D3458F"/>
    <w:rsid w:val="00D573B6"/>
    <w:rsid w:val="00D766A0"/>
    <w:rsid w:val="00D8184B"/>
    <w:rsid w:val="00DA4C85"/>
    <w:rsid w:val="00DC0F61"/>
    <w:rsid w:val="00E01955"/>
    <w:rsid w:val="00E04FA0"/>
    <w:rsid w:val="00E57992"/>
    <w:rsid w:val="00E647EA"/>
    <w:rsid w:val="00E77022"/>
    <w:rsid w:val="00F21521"/>
    <w:rsid w:val="00F42B7C"/>
    <w:rsid w:val="00F5544B"/>
    <w:rsid w:val="00F6019E"/>
    <w:rsid w:val="00FD1666"/>
    <w:rsid w:val="00FD30B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27BCEB"/>
  <w15:chartTrackingRefBased/>
  <w15:docId w15:val="{38BCA902-B395-4365-9A77-63F629A1C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w:eastAsia="Times New Roman" w:hAnsi="Times"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080017"/>
    <w:rPr>
      <w:rFonts w:ascii="Times New Roman" w:hAnsi="Times New Roman"/>
      <w:sz w:val="24"/>
      <w:szCs w:val="24"/>
      <w:lang w:val="en-US" w:eastAsia="en-US"/>
    </w:rPr>
  </w:style>
  <w:style w:type="paragraph" w:styleId="Titolo1">
    <w:name w:val="heading 1"/>
    <w:basedOn w:val="Normale"/>
    <w:next w:val="Normale"/>
    <w:qFormat/>
    <w:pPr>
      <w:keepNext/>
      <w:outlineLvl w:val="0"/>
    </w:pPr>
    <w:rPr>
      <w:b/>
    </w:rPr>
  </w:style>
  <w:style w:type="paragraph" w:styleId="Titolo2">
    <w:name w:val="heading 2"/>
    <w:basedOn w:val="Normale"/>
    <w:next w:val="Normale"/>
    <w:qFormat/>
    <w:pPr>
      <w:keepNext/>
      <w:spacing w:line="480" w:lineRule="auto"/>
      <w:outlineLvl w:val="1"/>
    </w:pPr>
    <w:rPr>
      <w:i/>
    </w:rPr>
  </w:style>
  <w:style w:type="paragraph" w:styleId="Titolo3">
    <w:name w:val="heading 3"/>
    <w:basedOn w:val="Normale"/>
    <w:next w:val="Normale"/>
    <w:qFormat/>
    <w:pPr>
      <w:keepNext/>
      <w:spacing w:before="240" w:after="60"/>
      <w:outlineLvl w:val="2"/>
    </w:pPr>
    <w:rPr>
      <w:rFonts w:ascii="Helvetica" w:hAnsi="Helvetica"/>
      <w:b/>
      <w:sz w:val="26"/>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pPr>
      <w:tabs>
        <w:tab w:val="center" w:pos="4153"/>
        <w:tab w:val="right" w:pos="8306"/>
      </w:tabs>
      <w:jc w:val="both"/>
    </w:pPr>
  </w:style>
  <w:style w:type="character" w:styleId="Numeropagina">
    <w:name w:val="page number"/>
    <w:basedOn w:val="Carpredefinitoparagrafo"/>
  </w:style>
  <w:style w:type="character" w:styleId="Collegamentoipertestuale">
    <w:name w:val="Hyperlink"/>
    <w:rPr>
      <w:color w:val="0000FF"/>
      <w:u w:val="single"/>
    </w:rPr>
  </w:style>
  <w:style w:type="paragraph" w:styleId="Corpotesto">
    <w:name w:val="Body Text"/>
    <w:basedOn w:val="Normale"/>
    <w:pPr>
      <w:spacing w:line="360" w:lineRule="auto"/>
    </w:pPr>
    <w:rPr>
      <w:sz w:val="20"/>
    </w:rPr>
  </w:style>
  <w:style w:type="paragraph" w:styleId="Intestazione">
    <w:name w:val="header"/>
    <w:basedOn w:val="Normale"/>
    <w:rsid w:val="00B16BFA"/>
    <w:pPr>
      <w:tabs>
        <w:tab w:val="center" w:pos="4536"/>
        <w:tab w:val="right" w:pos="9072"/>
      </w:tabs>
    </w:pPr>
  </w:style>
  <w:style w:type="paragraph" w:styleId="Bibliografia">
    <w:name w:val="Bibliography"/>
    <w:basedOn w:val="Normale"/>
    <w:next w:val="Normale"/>
    <w:uiPriority w:val="37"/>
    <w:unhideWhenUsed/>
    <w:rsid w:val="00A36076"/>
    <w:pPr>
      <w:tabs>
        <w:tab w:val="left" w:pos="264"/>
      </w:tabs>
      <w:spacing w:after="240"/>
      <w:ind w:left="264" w:hanging="264"/>
    </w:pPr>
  </w:style>
  <w:style w:type="paragraph" w:styleId="Testonotaapidipagina">
    <w:name w:val="footnote text"/>
    <w:basedOn w:val="Normale"/>
    <w:link w:val="TestonotaapidipaginaCarattere"/>
    <w:rsid w:val="000742E9"/>
    <w:rPr>
      <w:sz w:val="20"/>
      <w:szCs w:val="20"/>
    </w:rPr>
  </w:style>
  <w:style w:type="character" w:customStyle="1" w:styleId="TestonotaapidipaginaCarattere">
    <w:name w:val="Testo nota a piè di pagina Carattere"/>
    <w:basedOn w:val="Carpredefinitoparagrafo"/>
    <w:link w:val="Testonotaapidipagina"/>
    <w:rsid w:val="000742E9"/>
    <w:rPr>
      <w:rFonts w:ascii="Times New Roman" w:hAnsi="Times New Roman"/>
      <w:lang w:val="en-US" w:eastAsia="en-US"/>
    </w:rPr>
  </w:style>
  <w:style w:type="character" w:styleId="Rimandonotaapidipagina">
    <w:name w:val="footnote reference"/>
    <w:basedOn w:val="Carpredefinitoparagrafo"/>
    <w:rsid w:val="000742E9"/>
    <w:rPr>
      <w:vertAlign w:val="superscript"/>
    </w:rPr>
  </w:style>
  <w:style w:type="character" w:styleId="Menzionenonrisolta">
    <w:name w:val="Unresolved Mention"/>
    <w:basedOn w:val="Carpredefinitoparagrafo"/>
    <w:uiPriority w:val="99"/>
    <w:semiHidden/>
    <w:unhideWhenUsed/>
    <w:rsid w:val="009B3E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6772129">
      <w:bodyDiv w:val="1"/>
      <w:marLeft w:val="0"/>
      <w:marRight w:val="0"/>
      <w:marTop w:val="0"/>
      <w:marBottom w:val="0"/>
      <w:divBdr>
        <w:top w:val="none" w:sz="0" w:space="0" w:color="auto"/>
        <w:left w:val="none" w:sz="0" w:space="0" w:color="auto"/>
        <w:bottom w:val="none" w:sz="0" w:space="0" w:color="auto"/>
        <w:right w:val="none" w:sz="0" w:space="0" w:color="auto"/>
      </w:divBdr>
    </w:div>
    <w:div w:id="327365298">
      <w:bodyDiv w:val="1"/>
      <w:marLeft w:val="0"/>
      <w:marRight w:val="0"/>
      <w:marTop w:val="0"/>
      <w:marBottom w:val="0"/>
      <w:divBdr>
        <w:top w:val="none" w:sz="0" w:space="0" w:color="auto"/>
        <w:left w:val="none" w:sz="0" w:space="0" w:color="auto"/>
        <w:bottom w:val="none" w:sz="0" w:space="0" w:color="auto"/>
        <w:right w:val="none" w:sz="0" w:space="0" w:color="auto"/>
      </w:divBdr>
      <w:divsChild>
        <w:div w:id="2126390885">
          <w:marLeft w:val="0"/>
          <w:marRight w:val="0"/>
          <w:marTop w:val="0"/>
          <w:marBottom w:val="0"/>
          <w:divBdr>
            <w:top w:val="none" w:sz="0" w:space="0" w:color="auto"/>
            <w:left w:val="none" w:sz="0" w:space="0" w:color="auto"/>
            <w:bottom w:val="none" w:sz="0" w:space="0" w:color="auto"/>
            <w:right w:val="none" w:sz="0" w:space="0" w:color="auto"/>
          </w:divBdr>
        </w:div>
      </w:divsChild>
    </w:div>
    <w:div w:id="354889874">
      <w:bodyDiv w:val="1"/>
      <w:marLeft w:val="0"/>
      <w:marRight w:val="0"/>
      <w:marTop w:val="0"/>
      <w:marBottom w:val="0"/>
      <w:divBdr>
        <w:top w:val="none" w:sz="0" w:space="0" w:color="auto"/>
        <w:left w:val="none" w:sz="0" w:space="0" w:color="auto"/>
        <w:bottom w:val="none" w:sz="0" w:space="0" w:color="auto"/>
        <w:right w:val="none" w:sz="0" w:space="0" w:color="auto"/>
      </w:divBdr>
    </w:div>
    <w:div w:id="399522192">
      <w:bodyDiv w:val="1"/>
      <w:marLeft w:val="0"/>
      <w:marRight w:val="0"/>
      <w:marTop w:val="0"/>
      <w:marBottom w:val="0"/>
      <w:divBdr>
        <w:top w:val="none" w:sz="0" w:space="0" w:color="auto"/>
        <w:left w:val="none" w:sz="0" w:space="0" w:color="auto"/>
        <w:bottom w:val="none" w:sz="0" w:space="0" w:color="auto"/>
        <w:right w:val="none" w:sz="0" w:space="0" w:color="auto"/>
      </w:divBdr>
    </w:div>
    <w:div w:id="415715674">
      <w:bodyDiv w:val="1"/>
      <w:marLeft w:val="0"/>
      <w:marRight w:val="0"/>
      <w:marTop w:val="0"/>
      <w:marBottom w:val="0"/>
      <w:divBdr>
        <w:top w:val="none" w:sz="0" w:space="0" w:color="auto"/>
        <w:left w:val="none" w:sz="0" w:space="0" w:color="auto"/>
        <w:bottom w:val="none" w:sz="0" w:space="0" w:color="auto"/>
        <w:right w:val="none" w:sz="0" w:space="0" w:color="auto"/>
      </w:divBdr>
    </w:div>
    <w:div w:id="930703427">
      <w:bodyDiv w:val="1"/>
      <w:marLeft w:val="0"/>
      <w:marRight w:val="0"/>
      <w:marTop w:val="0"/>
      <w:marBottom w:val="0"/>
      <w:divBdr>
        <w:top w:val="none" w:sz="0" w:space="0" w:color="auto"/>
        <w:left w:val="none" w:sz="0" w:space="0" w:color="auto"/>
        <w:bottom w:val="none" w:sz="0" w:space="0" w:color="auto"/>
        <w:right w:val="none" w:sz="0" w:space="0" w:color="auto"/>
      </w:divBdr>
    </w:div>
    <w:div w:id="994066063">
      <w:bodyDiv w:val="1"/>
      <w:marLeft w:val="0"/>
      <w:marRight w:val="0"/>
      <w:marTop w:val="0"/>
      <w:marBottom w:val="0"/>
      <w:divBdr>
        <w:top w:val="none" w:sz="0" w:space="0" w:color="auto"/>
        <w:left w:val="none" w:sz="0" w:space="0" w:color="auto"/>
        <w:bottom w:val="none" w:sz="0" w:space="0" w:color="auto"/>
        <w:right w:val="none" w:sz="0" w:space="0" w:color="auto"/>
      </w:divBdr>
    </w:div>
    <w:div w:id="1129281097">
      <w:bodyDiv w:val="1"/>
      <w:marLeft w:val="0"/>
      <w:marRight w:val="0"/>
      <w:marTop w:val="0"/>
      <w:marBottom w:val="0"/>
      <w:divBdr>
        <w:top w:val="none" w:sz="0" w:space="0" w:color="auto"/>
        <w:left w:val="none" w:sz="0" w:space="0" w:color="auto"/>
        <w:bottom w:val="none" w:sz="0" w:space="0" w:color="auto"/>
        <w:right w:val="none" w:sz="0" w:space="0" w:color="auto"/>
      </w:divBdr>
    </w:div>
    <w:div w:id="1184397397">
      <w:bodyDiv w:val="1"/>
      <w:marLeft w:val="0"/>
      <w:marRight w:val="0"/>
      <w:marTop w:val="0"/>
      <w:marBottom w:val="0"/>
      <w:divBdr>
        <w:top w:val="none" w:sz="0" w:space="0" w:color="auto"/>
        <w:left w:val="none" w:sz="0" w:space="0" w:color="auto"/>
        <w:bottom w:val="none" w:sz="0" w:space="0" w:color="auto"/>
        <w:right w:val="none" w:sz="0" w:space="0" w:color="auto"/>
      </w:divBdr>
    </w:div>
    <w:div w:id="1248811155">
      <w:bodyDiv w:val="1"/>
      <w:marLeft w:val="0"/>
      <w:marRight w:val="0"/>
      <w:marTop w:val="0"/>
      <w:marBottom w:val="0"/>
      <w:divBdr>
        <w:top w:val="none" w:sz="0" w:space="0" w:color="auto"/>
        <w:left w:val="none" w:sz="0" w:space="0" w:color="auto"/>
        <w:bottom w:val="none" w:sz="0" w:space="0" w:color="auto"/>
        <w:right w:val="none" w:sz="0" w:space="0" w:color="auto"/>
      </w:divBdr>
    </w:div>
    <w:div w:id="1307665788">
      <w:bodyDiv w:val="1"/>
      <w:marLeft w:val="0"/>
      <w:marRight w:val="0"/>
      <w:marTop w:val="0"/>
      <w:marBottom w:val="0"/>
      <w:divBdr>
        <w:top w:val="none" w:sz="0" w:space="0" w:color="auto"/>
        <w:left w:val="none" w:sz="0" w:space="0" w:color="auto"/>
        <w:bottom w:val="none" w:sz="0" w:space="0" w:color="auto"/>
        <w:right w:val="none" w:sz="0" w:space="0" w:color="auto"/>
      </w:divBdr>
      <w:divsChild>
        <w:div w:id="1454205691">
          <w:marLeft w:val="0"/>
          <w:marRight w:val="0"/>
          <w:marTop w:val="0"/>
          <w:marBottom w:val="0"/>
          <w:divBdr>
            <w:top w:val="none" w:sz="0" w:space="0" w:color="auto"/>
            <w:left w:val="none" w:sz="0" w:space="0" w:color="auto"/>
            <w:bottom w:val="none" w:sz="0" w:space="0" w:color="auto"/>
            <w:right w:val="none" w:sz="0" w:space="0" w:color="auto"/>
          </w:divBdr>
        </w:div>
      </w:divsChild>
    </w:div>
    <w:div w:id="2045863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aura.bertarini@unimore.i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1E808B-E198-9E4B-ACCA-D651BFA4A7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1194</Words>
  <Characters>6811</Characters>
  <Application>Microsoft Office Word</Application>
  <DocSecurity>0</DocSecurity>
  <Lines>56</Lines>
  <Paragraphs>15</Paragraphs>
  <ScaleCrop>false</ScaleCrop>
  <HeadingPairs>
    <vt:vector size="8" baseType="variant">
      <vt:variant>
        <vt:lpstr>Titolo</vt:lpstr>
      </vt:variant>
      <vt:variant>
        <vt:i4>1</vt:i4>
      </vt:variant>
      <vt:variant>
        <vt:lpstr>Title</vt:lpstr>
      </vt:variant>
      <vt:variant>
        <vt:i4>1</vt:i4>
      </vt:variant>
      <vt:variant>
        <vt:lpstr>Título</vt:lpstr>
      </vt:variant>
      <vt:variant>
        <vt:i4>1</vt:i4>
      </vt:variant>
      <vt:variant>
        <vt:lpstr>Titel</vt:lpstr>
      </vt:variant>
      <vt:variant>
        <vt:i4>1</vt:i4>
      </vt:variant>
    </vt:vector>
  </HeadingPairs>
  <TitlesOfParts>
    <vt:vector size="4" baseType="lpstr">
      <vt:lpstr>On the Chemistry of the Resveratrol Diastereomers</vt:lpstr>
      <vt:lpstr>On the Chemistry of the Resveratrol Diastereomers</vt:lpstr>
      <vt:lpstr>On the Chemistry of the Resveratrol Diastereomers</vt:lpstr>
      <vt:lpstr>On the Chemistry of the Resveratrol Diastereomers</vt:lpstr>
    </vt:vector>
  </TitlesOfParts>
  <Company>home</Company>
  <LinksUpToDate>false</LinksUpToDate>
  <CharactersWithSpaces>7990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 the Chemistry of the Resveratrol Diastereomers</dc:title>
  <dc:subject/>
  <dc:creator>falk</dc:creator>
  <cp:keywords/>
  <cp:lastModifiedBy>Laura Bertarini</cp:lastModifiedBy>
  <cp:revision>7</cp:revision>
  <cp:lastPrinted>2002-12-19T14:08:00Z</cp:lastPrinted>
  <dcterms:created xsi:type="dcterms:W3CDTF">2024-08-05T09:04:00Z</dcterms:created>
  <dcterms:modified xsi:type="dcterms:W3CDTF">2024-09-13T08:49:00Z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id="O7LyZWG4"/&gt;&lt;style id="http://www.zotero.org/styles/american-medical-association" hasBibliography="1" bibliographyStyleHasBeenSet="1"/&gt;&lt;prefs&gt;&lt;pref name="fieldType" value="Field"/&gt;&lt;pref name="auto</vt:lpwstr>
  </property>
  <property fmtid="{D5CDD505-2E9C-101B-9397-08002B2CF9AE}" pid="3" name="ZOTERO_PREF_2">
    <vt:lpwstr>maticJournalAbbreviations" value="true"/&gt;&lt;/prefs&gt;&lt;/data&gt;</vt:lpwstr>
  </property>
</Properties>
</file>