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FCC01" w14:textId="0A5DBBA5" w:rsidR="00A30DFD" w:rsidRPr="001274C7" w:rsidRDefault="003514A7" w:rsidP="003514A7">
      <w:pPr>
        <w:jc w:val="center"/>
        <w:rPr>
          <w:b/>
          <w:bCs/>
          <w:sz w:val="28"/>
          <w:szCs w:val="28"/>
        </w:rPr>
      </w:pPr>
      <w:r w:rsidRPr="001274C7">
        <w:rPr>
          <w:b/>
          <w:bCs/>
          <w:sz w:val="28"/>
          <w:szCs w:val="28"/>
        </w:rPr>
        <w:t>Sustainable micro- and macro-algae to enhance quality of baked goods</w:t>
      </w:r>
    </w:p>
    <w:p w14:paraId="20AE427F" w14:textId="77777777" w:rsidR="003514A7" w:rsidRDefault="003514A7" w:rsidP="001274C7">
      <w:pPr>
        <w:spacing w:line="240" w:lineRule="auto"/>
        <w:jc w:val="center"/>
      </w:pPr>
    </w:p>
    <w:p w14:paraId="718C7B00" w14:textId="66D568DE" w:rsidR="003514A7" w:rsidRPr="001274C7" w:rsidRDefault="003514A7" w:rsidP="003514A7">
      <w:pPr>
        <w:jc w:val="center"/>
        <w:rPr>
          <w:sz w:val="20"/>
          <w:szCs w:val="20"/>
        </w:rPr>
      </w:pPr>
      <w:r w:rsidRPr="001274C7">
        <w:rPr>
          <w:sz w:val="20"/>
          <w:szCs w:val="20"/>
        </w:rPr>
        <w:t>Giuseppe Montevecchi</w:t>
      </w:r>
      <w:r w:rsidRPr="001274C7">
        <w:rPr>
          <w:sz w:val="20"/>
          <w:szCs w:val="20"/>
          <w:vertAlign w:val="superscript"/>
        </w:rPr>
        <w:t>1,2*</w:t>
      </w:r>
      <w:r w:rsidRPr="001274C7">
        <w:rPr>
          <w:sz w:val="20"/>
          <w:szCs w:val="20"/>
        </w:rPr>
        <w:t>, Alessandra Riggio</w:t>
      </w:r>
      <w:r w:rsidRPr="001274C7">
        <w:rPr>
          <w:sz w:val="20"/>
          <w:szCs w:val="20"/>
          <w:vertAlign w:val="superscript"/>
        </w:rPr>
        <w:t>2</w:t>
      </w:r>
      <w:r w:rsidRPr="001274C7">
        <w:rPr>
          <w:sz w:val="20"/>
          <w:szCs w:val="20"/>
        </w:rPr>
        <w:t>, Marco Gammaitoni</w:t>
      </w:r>
      <w:r w:rsidRPr="001274C7">
        <w:rPr>
          <w:sz w:val="20"/>
          <w:szCs w:val="20"/>
          <w:vertAlign w:val="superscript"/>
        </w:rPr>
        <w:t>2</w:t>
      </w:r>
      <w:r w:rsidRPr="001274C7">
        <w:rPr>
          <w:sz w:val="20"/>
          <w:szCs w:val="20"/>
        </w:rPr>
        <w:t>, Francesca Masino</w:t>
      </w:r>
      <w:r w:rsidRPr="001274C7">
        <w:rPr>
          <w:sz w:val="20"/>
          <w:szCs w:val="20"/>
          <w:vertAlign w:val="superscript"/>
        </w:rPr>
        <w:t>1,2</w:t>
      </w:r>
      <w:r w:rsidRPr="001274C7">
        <w:rPr>
          <w:sz w:val="20"/>
          <w:szCs w:val="20"/>
        </w:rPr>
        <w:t>, Emanuela Lo Faro</w:t>
      </w:r>
      <w:r w:rsidRPr="001274C7">
        <w:rPr>
          <w:sz w:val="20"/>
          <w:szCs w:val="20"/>
          <w:vertAlign w:val="superscript"/>
        </w:rPr>
        <w:t>2</w:t>
      </w:r>
      <w:r w:rsidRPr="001274C7">
        <w:rPr>
          <w:sz w:val="20"/>
          <w:szCs w:val="20"/>
        </w:rPr>
        <w:t>, Patrizia Fava</w:t>
      </w:r>
      <w:r w:rsidRPr="001274C7">
        <w:rPr>
          <w:sz w:val="20"/>
          <w:szCs w:val="20"/>
          <w:vertAlign w:val="superscript"/>
        </w:rPr>
        <w:t>1,2</w:t>
      </w:r>
      <w:r w:rsidRPr="001274C7">
        <w:rPr>
          <w:sz w:val="20"/>
          <w:szCs w:val="20"/>
        </w:rPr>
        <w:t>, Andrea Antonelli</w:t>
      </w:r>
      <w:r w:rsidRPr="001274C7">
        <w:rPr>
          <w:sz w:val="20"/>
          <w:szCs w:val="20"/>
          <w:vertAlign w:val="superscript"/>
        </w:rPr>
        <w:t>1,2</w:t>
      </w:r>
    </w:p>
    <w:p w14:paraId="35579128" w14:textId="77777777" w:rsidR="003514A7" w:rsidRPr="001274C7" w:rsidRDefault="003514A7" w:rsidP="001274C7">
      <w:pPr>
        <w:spacing w:line="240" w:lineRule="auto"/>
        <w:jc w:val="center"/>
        <w:rPr>
          <w:sz w:val="20"/>
          <w:szCs w:val="20"/>
        </w:rPr>
      </w:pPr>
    </w:p>
    <w:p w14:paraId="7B688392" w14:textId="2424F3D4" w:rsidR="003514A7" w:rsidRPr="001274C7" w:rsidRDefault="003514A7" w:rsidP="003514A7">
      <w:pPr>
        <w:jc w:val="center"/>
        <w:rPr>
          <w:sz w:val="20"/>
          <w:szCs w:val="20"/>
        </w:rPr>
      </w:pPr>
      <w:r w:rsidRPr="001274C7">
        <w:rPr>
          <w:sz w:val="20"/>
          <w:szCs w:val="20"/>
          <w:vertAlign w:val="superscript"/>
        </w:rPr>
        <w:t>1</w:t>
      </w:r>
      <w:r w:rsidRPr="001274C7">
        <w:rPr>
          <w:sz w:val="20"/>
          <w:szCs w:val="20"/>
        </w:rPr>
        <w:t xml:space="preserve"> Department of Life Sciences (Agri-Food Science Area), University of Modena and Reggio Emilia, Italy </w:t>
      </w:r>
    </w:p>
    <w:p w14:paraId="6BA37A3C" w14:textId="38AAC410" w:rsidR="003514A7" w:rsidRPr="001274C7" w:rsidRDefault="003514A7" w:rsidP="003514A7">
      <w:pPr>
        <w:jc w:val="center"/>
        <w:rPr>
          <w:sz w:val="20"/>
          <w:szCs w:val="20"/>
        </w:rPr>
      </w:pPr>
      <w:r w:rsidRPr="001274C7">
        <w:rPr>
          <w:sz w:val="20"/>
          <w:szCs w:val="20"/>
          <w:vertAlign w:val="superscript"/>
        </w:rPr>
        <w:t>2</w:t>
      </w:r>
      <w:r w:rsidRPr="001274C7">
        <w:rPr>
          <w:sz w:val="20"/>
          <w:szCs w:val="20"/>
        </w:rPr>
        <w:t xml:space="preserve"> BIOGEST - SITEIA Interdepartmental Center, University of Modena and Reggio Emilia, Italy </w:t>
      </w:r>
    </w:p>
    <w:p w14:paraId="20B63031" w14:textId="77777777" w:rsidR="003514A7" w:rsidRPr="001274C7" w:rsidRDefault="003514A7" w:rsidP="001274C7">
      <w:pPr>
        <w:spacing w:line="240" w:lineRule="auto"/>
        <w:jc w:val="center"/>
        <w:rPr>
          <w:sz w:val="20"/>
          <w:szCs w:val="20"/>
        </w:rPr>
      </w:pPr>
    </w:p>
    <w:p w14:paraId="3CCD4D9B" w14:textId="3BAC6794" w:rsidR="003514A7" w:rsidRPr="001274C7" w:rsidRDefault="003514A7" w:rsidP="003514A7">
      <w:pPr>
        <w:jc w:val="center"/>
        <w:rPr>
          <w:sz w:val="20"/>
          <w:szCs w:val="20"/>
        </w:rPr>
      </w:pPr>
      <w:r w:rsidRPr="001274C7">
        <w:rPr>
          <w:sz w:val="20"/>
          <w:szCs w:val="20"/>
        </w:rPr>
        <w:t xml:space="preserve">Email: </w:t>
      </w:r>
      <w:hyperlink r:id="rId4" w:history="1">
        <w:r w:rsidRPr="001274C7">
          <w:rPr>
            <w:rStyle w:val="Collegamentoipertestuale"/>
            <w:sz w:val="20"/>
            <w:szCs w:val="20"/>
          </w:rPr>
          <w:t>giuseppe.montevecchi@unimore.it</w:t>
        </w:r>
      </w:hyperlink>
      <w:r w:rsidRPr="001274C7">
        <w:rPr>
          <w:sz w:val="20"/>
          <w:szCs w:val="20"/>
        </w:rPr>
        <w:t xml:space="preserve">, </w:t>
      </w:r>
      <w:r w:rsidR="009B790D" w:rsidRPr="001274C7">
        <w:rPr>
          <w:sz w:val="20"/>
          <w:szCs w:val="20"/>
        </w:rPr>
        <w:t xml:space="preserve">Phone: </w:t>
      </w:r>
      <w:r w:rsidRPr="001274C7">
        <w:rPr>
          <w:sz w:val="20"/>
          <w:szCs w:val="20"/>
        </w:rPr>
        <w:t>+39-3494494346</w:t>
      </w:r>
    </w:p>
    <w:p w14:paraId="7080DC1A" w14:textId="77777777" w:rsidR="003514A7" w:rsidRDefault="003514A7" w:rsidP="001274C7">
      <w:pPr>
        <w:spacing w:line="240" w:lineRule="auto"/>
        <w:jc w:val="center"/>
      </w:pPr>
    </w:p>
    <w:p w14:paraId="42899372" w14:textId="77777777" w:rsidR="00723077" w:rsidRPr="001274C7" w:rsidRDefault="00723077" w:rsidP="00723077">
      <w:pPr>
        <w:rPr>
          <w:b/>
          <w:bCs/>
          <w:sz w:val="22"/>
          <w:szCs w:val="22"/>
        </w:rPr>
      </w:pPr>
      <w:r w:rsidRPr="001274C7">
        <w:rPr>
          <w:b/>
          <w:bCs/>
          <w:sz w:val="22"/>
          <w:szCs w:val="22"/>
        </w:rPr>
        <w:t>Background</w:t>
      </w:r>
    </w:p>
    <w:p w14:paraId="64072142" w14:textId="5443EEB1" w:rsidR="00723077" w:rsidRPr="001274C7" w:rsidRDefault="00723077" w:rsidP="00723077">
      <w:pPr>
        <w:rPr>
          <w:sz w:val="22"/>
          <w:szCs w:val="22"/>
        </w:rPr>
      </w:pPr>
      <w:r w:rsidRPr="001274C7">
        <w:rPr>
          <w:sz w:val="22"/>
          <w:szCs w:val="22"/>
        </w:rPr>
        <w:t>The urgent need for sustainable and nutrient-dense foods, driven by climate crisis and global population growth, calls for the identification of alternative protein sources with low environmental impact</w:t>
      </w:r>
      <w:r w:rsidR="00741444" w:rsidRPr="001274C7">
        <w:rPr>
          <w:sz w:val="22"/>
          <w:szCs w:val="22"/>
        </w:rPr>
        <w:t xml:space="preserve"> </w:t>
      </w:r>
      <w:r w:rsidR="00741444" w:rsidRPr="001274C7">
        <w:rPr>
          <w:sz w:val="22"/>
          <w:szCs w:val="22"/>
        </w:rPr>
        <w:t>(Montevecchi et al., 2022)</w:t>
      </w:r>
      <w:r w:rsidRPr="001274C7">
        <w:rPr>
          <w:sz w:val="22"/>
          <w:szCs w:val="22"/>
        </w:rPr>
        <w:t>. Microalgae, macroalgae, and cyanobacteria are promising candidates due to their high content of essential amino acids, bioactive compounds, and minerals. However, their intense color and marine-like flavor still limit consumer acceptance, particularly in traditional products such as baked goods.</w:t>
      </w:r>
    </w:p>
    <w:p w14:paraId="3E6FD5BA" w14:textId="77777777" w:rsidR="00723077" w:rsidRPr="001274C7" w:rsidRDefault="00723077" w:rsidP="00723077">
      <w:pPr>
        <w:rPr>
          <w:b/>
          <w:bCs/>
          <w:sz w:val="22"/>
          <w:szCs w:val="22"/>
        </w:rPr>
      </w:pPr>
      <w:r w:rsidRPr="001274C7">
        <w:rPr>
          <w:b/>
          <w:bCs/>
          <w:sz w:val="22"/>
          <w:szCs w:val="22"/>
        </w:rPr>
        <w:t>Aim</w:t>
      </w:r>
    </w:p>
    <w:p w14:paraId="4FA74D9D" w14:textId="5157A5DB" w:rsidR="00AF36D9" w:rsidRPr="001274C7" w:rsidRDefault="00AF36D9" w:rsidP="00723077">
      <w:pPr>
        <w:rPr>
          <w:sz w:val="22"/>
          <w:szCs w:val="22"/>
        </w:rPr>
      </w:pPr>
      <w:r w:rsidRPr="001274C7">
        <w:rPr>
          <w:sz w:val="22"/>
          <w:szCs w:val="22"/>
        </w:rPr>
        <w:t xml:space="preserve">One of the main aims of the ALGENFOR project </w:t>
      </w:r>
      <w:r w:rsidR="00DB1FC1" w:rsidRPr="001274C7">
        <w:rPr>
          <w:sz w:val="22"/>
          <w:szCs w:val="22"/>
        </w:rPr>
        <w:t>(</w:t>
      </w:r>
      <w:r w:rsidR="00DB1FC1" w:rsidRPr="001274C7">
        <w:rPr>
          <w:sz w:val="22"/>
          <w:szCs w:val="22"/>
        </w:rPr>
        <w:t xml:space="preserve">Use of </w:t>
      </w:r>
      <w:r w:rsidR="00DD0C91" w:rsidRPr="001274C7">
        <w:rPr>
          <w:sz w:val="22"/>
          <w:szCs w:val="22"/>
        </w:rPr>
        <w:t>A</w:t>
      </w:r>
      <w:r w:rsidR="00DB1FC1" w:rsidRPr="001274C7">
        <w:rPr>
          <w:sz w:val="22"/>
          <w:szCs w:val="22"/>
        </w:rPr>
        <w:t xml:space="preserve">lgae for a </w:t>
      </w:r>
      <w:r w:rsidR="00DD0C91" w:rsidRPr="001274C7">
        <w:rPr>
          <w:sz w:val="22"/>
          <w:szCs w:val="22"/>
        </w:rPr>
        <w:t>N</w:t>
      </w:r>
      <w:r w:rsidR="00DB1FC1" w:rsidRPr="001274C7">
        <w:rPr>
          <w:sz w:val="22"/>
          <w:szCs w:val="22"/>
        </w:rPr>
        <w:t xml:space="preserve">ew </w:t>
      </w:r>
      <w:r w:rsidR="00DD0C91" w:rsidRPr="001274C7">
        <w:rPr>
          <w:sz w:val="22"/>
          <w:szCs w:val="22"/>
        </w:rPr>
        <w:t>G</w:t>
      </w:r>
      <w:r w:rsidR="00DB1FC1" w:rsidRPr="001274C7">
        <w:rPr>
          <w:sz w:val="22"/>
          <w:szCs w:val="22"/>
        </w:rPr>
        <w:t xml:space="preserve">eneration of </w:t>
      </w:r>
      <w:r w:rsidR="00DD0C91" w:rsidRPr="001274C7">
        <w:rPr>
          <w:sz w:val="22"/>
          <w:szCs w:val="22"/>
        </w:rPr>
        <w:t>B</w:t>
      </w:r>
      <w:r w:rsidR="00DB1FC1" w:rsidRPr="001274C7">
        <w:rPr>
          <w:sz w:val="22"/>
          <w:szCs w:val="22"/>
        </w:rPr>
        <w:t xml:space="preserve">akery </w:t>
      </w:r>
      <w:r w:rsidR="00DD0C91" w:rsidRPr="001274C7">
        <w:rPr>
          <w:sz w:val="22"/>
          <w:szCs w:val="22"/>
        </w:rPr>
        <w:t>P</w:t>
      </w:r>
      <w:r w:rsidR="00DB1FC1" w:rsidRPr="001274C7">
        <w:rPr>
          <w:sz w:val="22"/>
          <w:szCs w:val="22"/>
        </w:rPr>
        <w:t>roducts</w:t>
      </w:r>
      <w:r w:rsidR="00DB1FC1" w:rsidRPr="001274C7">
        <w:rPr>
          <w:sz w:val="22"/>
          <w:szCs w:val="22"/>
        </w:rPr>
        <w:t xml:space="preserve">) </w:t>
      </w:r>
      <w:r w:rsidRPr="001274C7">
        <w:rPr>
          <w:sz w:val="22"/>
          <w:szCs w:val="22"/>
        </w:rPr>
        <w:t>is to evaluate the shelf-life and sensory acceptability of bakery formulations enriched with different algal ingredients</w:t>
      </w:r>
      <w:r w:rsidR="005D0FF0" w:rsidRPr="001274C7">
        <w:rPr>
          <w:sz w:val="22"/>
          <w:szCs w:val="22"/>
        </w:rPr>
        <w:t>:</w:t>
      </w:r>
      <w:r w:rsidRPr="001274C7">
        <w:rPr>
          <w:sz w:val="22"/>
          <w:szCs w:val="22"/>
        </w:rPr>
        <w:t xml:space="preserve"> </w:t>
      </w:r>
      <w:r w:rsidRPr="001274C7">
        <w:rPr>
          <w:i/>
          <w:iCs/>
          <w:sz w:val="22"/>
          <w:szCs w:val="22"/>
        </w:rPr>
        <w:t xml:space="preserve">Ulva </w:t>
      </w:r>
      <w:proofErr w:type="spellStart"/>
      <w:r w:rsidRPr="001274C7">
        <w:rPr>
          <w:i/>
          <w:iCs/>
          <w:sz w:val="22"/>
          <w:szCs w:val="22"/>
        </w:rPr>
        <w:t>lactuca</w:t>
      </w:r>
      <w:proofErr w:type="spellEnd"/>
      <w:r w:rsidRPr="001274C7">
        <w:rPr>
          <w:sz w:val="22"/>
          <w:szCs w:val="22"/>
        </w:rPr>
        <w:t xml:space="preserve"> (sea lettuce) and </w:t>
      </w:r>
      <w:proofErr w:type="spellStart"/>
      <w:r w:rsidR="00AF10B0" w:rsidRPr="001274C7">
        <w:rPr>
          <w:i/>
          <w:iCs/>
          <w:sz w:val="22"/>
          <w:szCs w:val="22"/>
        </w:rPr>
        <w:t>Limnospira</w:t>
      </w:r>
      <w:proofErr w:type="spellEnd"/>
      <w:r w:rsidR="00AF10B0" w:rsidRPr="001274C7">
        <w:rPr>
          <w:i/>
          <w:iCs/>
          <w:sz w:val="22"/>
          <w:szCs w:val="22"/>
        </w:rPr>
        <w:t xml:space="preserve"> platensis</w:t>
      </w:r>
      <w:r w:rsidR="00AF10B0" w:rsidRPr="001274C7">
        <w:rPr>
          <w:sz w:val="22"/>
          <w:szCs w:val="22"/>
        </w:rPr>
        <w:t xml:space="preserve"> (formerly </w:t>
      </w:r>
      <w:proofErr w:type="spellStart"/>
      <w:r w:rsidR="00AF10B0" w:rsidRPr="001274C7">
        <w:rPr>
          <w:i/>
          <w:iCs/>
          <w:sz w:val="22"/>
          <w:szCs w:val="22"/>
        </w:rPr>
        <w:t>Arthrospira</w:t>
      </w:r>
      <w:proofErr w:type="spellEnd"/>
      <w:r w:rsidR="00AF10B0" w:rsidRPr="001274C7">
        <w:rPr>
          <w:i/>
          <w:iCs/>
          <w:sz w:val="22"/>
          <w:szCs w:val="22"/>
        </w:rPr>
        <w:t xml:space="preserve"> platensis</w:t>
      </w:r>
      <w:r w:rsidR="00AF10B0" w:rsidRPr="001274C7">
        <w:rPr>
          <w:sz w:val="22"/>
          <w:szCs w:val="22"/>
        </w:rPr>
        <w:t xml:space="preserve">; </w:t>
      </w:r>
      <w:r w:rsidRPr="001274C7">
        <w:rPr>
          <w:sz w:val="22"/>
          <w:szCs w:val="22"/>
        </w:rPr>
        <w:t>Spirulina) and to assess strategies for improving their sensory properties through the use of fermentation and natural flavoring agents.</w:t>
      </w:r>
    </w:p>
    <w:p w14:paraId="0E0E6ADC" w14:textId="35C131FB" w:rsidR="00723077" w:rsidRPr="001274C7" w:rsidRDefault="00723077" w:rsidP="00723077">
      <w:pPr>
        <w:rPr>
          <w:b/>
          <w:bCs/>
          <w:sz w:val="22"/>
          <w:szCs w:val="22"/>
        </w:rPr>
      </w:pPr>
      <w:r w:rsidRPr="001274C7">
        <w:rPr>
          <w:b/>
          <w:bCs/>
          <w:sz w:val="22"/>
          <w:szCs w:val="22"/>
        </w:rPr>
        <w:t>Results</w:t>
      </w:r>
    </w:p>
    <w:p w14:paraId="5EFDB0C0" w14:textId="3ED7C618" w:rsidR="00723077" w:rsidRPr="001274C7" w:rsidRDefault="00723077" w:rsidP="00723077">
      <w:pPr>
        <w:rPr>
          <w:b/>
          <w:bCs/>
          <w:sz w:val="22"/>
          <w:szCs w:val="22"/>
        </w:rPr>
      </w:pPr>
      <w:r w:rsidRPr="001274C7">
        <w:rPr>
          <w:sz w:val="22"/>
          <w:szCs w:val="22"/>
        </w:rPr>
        <w:t xml:space="preserve">Two types of breadsticks were prepared and packaged in polypropylene film, then subjected to accelerated storage (38 °C, 80% RH) for 35 days. Samples enriched with </w:t>
      </w:r>
      <w:r w:rsidRPr="001274C7">
        <w:rPr>
          <w:i/>
          <w:iCs/>
          <w:sz w:val="22"/>
          <w:szCs w:val="22"/>
        </w:rPr>
        <w:t xml:space="preserve">Ulva </w:t>
      </w:r>
      <w:proofErr w:type="spellStart"/>
      <w:r w:rsidRPr="001274C7">
        <w:rPr>
          <w:i/>
          <w:iCs/>
          <w:sz w:val="22"/>
          <w:szCs w:val="22"/>
        </w:rPr>
        <w:t>lactuca</w:t>
      </w:r>
      <w:proofErr w:type="spellEnd"/>
      <w:r w:rsidRPr="001274C7">
        <w:rPr>
          <w:sz w:val="22"/>
          <w:szCs w:val="22"/>
        </w:rPr>
        <w:t xml:space="preserve"> exhibited significant textural and aromatic degradation after 14 days, exceeding the sensory acceptability threshold </w:t>
      </w:r>
      <w:r w:rsidR="005A1C81" w:rsidRPr="001274C7">
        <w:rPr>
          <w:sz w:val="22"/>
          <w:szCs w:val="22"/>
        </w:rPr>
        <w:t>at the control carried out on day 28.</w:t>
      </w:r>
      <w:r w:rsidRPr="001274C7">
        <w:rPr>
          <w:sz w:val="22"/>
          <w:szCs w:val="22"/>
        </w:rPr>
        <w:t xml:space="preserve"> Conversely, the Spirulina-based formulation maintained acceptable sensory attributes up to day 35. The inclusion of fennel seeds effectively reduced undesirable oxidative and marine notes, improving the overall aromatic balance.</w:t>
      </w:r>
    </w:p>
    <w:p w14:paraId="4572AFE2" w14:textId="77777777" w:rsidR="00723077" w:rsidRPr="001274C7" w:rsidRDefault="00723077" w:rsidP="00723077">
      <w:pPr>
        <w:rPr>
          <w:b/>
          <w:bCs/>
          <w:sz w:val="22"/>
          <w:szCs w:val="22"/>
        </w:rPr>
      </w:pPr>
      <w:r w:rsidRPr="001274C7">
        <w:rPr>
          <w:b/>
          <w:bCs/>
          <w:sz w:val="22"/>
          <w:szCs w:val="22"/>
        </w:rPr>
        <w:t>Conclusions</w:t>
      </w:r>
    </w:p>
    <w:p w14:paraId="544F694C" w14:textId="62B7278A" w:rsidR="00723077" w:rsidRPr="001274C7" w:rsidRDefault="0069226D" w:rsidP="00723077">
      <w:pPr>
        <w:rPr>
          <w:sz w:val="22"/>
          <w:szCs w:val="22"/>
        </w:rPr>
      </w:pPr>
      <w:r w:rsidRPr="001274C7">
        <w:rPr>
          <w:sz w:val="22"/>
          <w:szCs w:val="22"/>
        </w:rPr>
        <w:t>M</w:t>
      </w:r>
      <w:r w:rsidR="00723077" w:rsidRPr="001274C7">
        <w:rPr>
          <w:sz w:val="22"/>
          <w:szCs w:val="22"/>
        </w:rPr>
        <w:t>icro</w:t>
      </w:r>
      <w:r w:rsidRPr="001274C7">
        <w:rPr>
          <w:sz w:val="22"/>
          <w:szCs w:val="22"/>
        </w:rPr>
        <w:t>algae, cyanobacteria,</w:t>
      </w:r>
      <w:r w:rsidR="00723077" w:rsidRPr="001274C7">
        <w:rPr>
          <w:sz w:val="22"/>
          <w:szCs w:val="22"/>
        </w:rPr>
        <w:t xml:space="preserve"> and macroalgae show strong potential as sustainable, functional ingredients for bakery products, enabling nutritional enrichment while supporting environmentally </w:t>
      </w:r>
      <w:r w:rsidR="00723077" w:rsidRPr="001274C7">
        <w:rPr>
          <w:sz w:val="22"/>
          <w:szCs w:val="22"/>
        </w:rPr>
        <w:lastRenderedPageBreak/>
        <w:t>responsible production. Further research on fermentation and natural aromatization may enhance consumer appeal, paving the way for the broader adoption of algae-based baked goods.</w:t>
      </w:r>
    </w:p>
    <w:p w14:paraId="7648E8BD" w14:textId="77777777" w:rsidR="003514A7" w:rsidRPr="001274C7" w:rsidRDefault="003514A7" w:rsidP="003514A7">
      <w:pPr>
        <w:rPr>
          <w:sz w:val="22"/>
          <w:szCs w:val="22"/>
        </w:rPr>
      </w:pPr>
    </w:p>
    <w:p w14:paraId="4944D68E" w14:textId="3A794154" w:rsidR="003514A7" w:rsidRPr="001274C7" w:rsidRDefault="003514A7" w:rsidP="003514A7">
      <w:pPr>
        <w:rPr>
          <w:b/>
          <w:bCs/>
          <w:sz w:val="22"/>
          <w:szCs w:val="22"/>
        </w:rPr>
      </w:pPr>
      <w:r w:rsidRPr="001274C7">
        <w:rPr>
          <w:b/>
          <w:bCs/>
          <w:sz w:val="22"/>
          <w:szCs w:val="22"/>
        </w:rPr>
        <w:t>References</w:t>
      </w:r>
    </w:p>
    <w:p w14:paraId="09F4AFF7" w14:textId="77777777" w:rsidR="003514A7" w:rsidRPr="001274C7" w:rsidRDefault="003514A7" w:rsidP="003514A7">
      <w:pPr>
        <w:rPr>
          <w:sz w:val="22"/>
          <w:szCs w:val="22"/>
        </w:rPr>
      </w:pPr>
      <w:r w:rsidRPr="001274C7">
        <w:rPr>
          <w:sz w:val="22"/>
          <w:szCs w:val="22"/>
        </w:rPr>
        <w:t xml:space="preserve">Montevecchi, G., </w:t>
      </w:r>
      <w:proofErr w:type="spellStart"/>
      <w:r w:rsidRPr="001274C7">
        <w:rPr>
          <w:sz w:val="22"/>
          <w:szCs w:val="22"/>
        </w:rPr>
        <w:t>Santunione</w:t>
      </w:r>
      <w:proofErr w:type="spellEnd"/>
      <w:r w:rsidRPr="001274C7">
        <w:rPr>
          <w:sz w:val="22"/>
          <w:szCs w:val="22"/>
        </w:rPr>
        <w:t xml:space="preserve">, G., Licciardello, F., </w:t>
      </w:r>
      <w:proofErr w:type="spellStart"/>
      <w:r w:rsidRPr="001274C7">
        <w:rPr>
          <w:sz w:val="22"/>
          <w:szCs w:val="22"/>
        </w:rPr>
        <w:t>Köker</w:t>
      </w:r>
      <w:proofErr w:type="spellEnd"/>
      <w:r w:rsidRPr="001274C7">
        <w:rPr>
          <w:sz w:val="22"/>
          <w:szCs w:val="22"/>
        </w:rPr>
        <w:t xml:space="preserve">, Ö., Masino, F., &amp; Antonelli, A. (2022). Enrichment of wheat flour with Spirulina. Evaluation of thermal damage to essential amino acids during bread preparation. </w:t>
      </w:r>
      <w:r w:rsidRPr="001274C7">
        <w:rPr>
          <w:i/>
          <w:iCs/>
          <w:sz w:val="22"/>
          <w:szCs w:val="22"/>
        </w:rPr>
        <w:t>Food Research International</w:t>
      </w:r>
      <w:r w:rsidRPr="001274C7">
        <w:rPr>
          <w:sz w:val="22"/>
          <w:szCs w:val="22"/>
        </w:rPr>
        <w:t xml:space="preserve">, 157, 111357. </w:t>
      </w:r>
    </w:p>
    <w:p w14:paraId="0B0F3F6C" w14:textId="77777777" w:rsidR="003514A7" w:rsidRPr="001274C7" w:rsidRDefault="003514A7" w:rsidP="003514A7">
      <w:pPr>
        <w:rPr>
          <w:sz w:val="22"/>
          <w:szCs w:val="22"/>
        </w:rPr>
      </w:pPr>
    </w:p>
    <w:p w14:paraId="4A34F970" w14:textId="28FDC41E" w:rsidR="003514A7" w:rsidRPr="001274C7" w:rsidRDefault="003514A7" w:rsidP="003514A7">
      <w:pPr>
        <w:rPr>
          <w:b/>
          <w:bCs/>
          <w:sz w:val="22"/>
          <w:szCs w:val="22"/>
        </w:rPr>
      </w:pPr>
      <w:r w:rsidRPr="001274C7">
        <w:rPr>
          <w:b/>
          <w:bCs/>
          <w:sz w:val="22"/>
          <w:szCs w:val="22"/>
        </w:rPr>
        <w:t>Acknowledgements</w:t>
      </w:r>
    </w:p>
    <w:p w14:paraId="630DA39C" w14:textId="77777777" w:rsidR="00180C20" w:rsidRPr="001274C7" w:rsidRDefault="003514A7" w:rsidP="000261E4">
      <w:pPr>
        <w:rPr>
          <w:sz w:val="22"/>
          <w:szCs w:val="22"/>
          <w:lang w:val="it-IT"/>
        </w:rPr>
      </w:pPr>
      <w:r w:rsidRPr="001274C7">
        <w:rPr>
          <w:sz w:val="22"/>
          <w:szCs w:val="22"/>
        </w:rPr>
        <w:t xml:space="preserve">This research study was funded by </w:t>
      </w:r>
      <w:r w:rsidR="007216B4" w:rsidRPr="001274C7">
        <w:rPr>
          <w:sz w:val="22"/>
          <w:szCs w:val="22"/>
        </w:rPr>
        <w:t>P</w:t>
      </w:r>
      <w:r w:rsidR="00B770B5" w:rsidRPr="001274C7">
        <w:rPr>
          <w:sz w:val="22"/>
          <w:szCs w:val="22"/>
        </w:rPr>
        <w:t>R</w:t>
      </w:r>
      <w:r w:rsidR="001D5039" w:rsidRPr="001274C7">
        <w:rPr>
          <w:sz w:val="22"/>
          <w:szCs w:val="22"/>
        </w:rPr>
        <w:t>-</w:t>
      </w:r>
      <w:r w:rsidR="00B770B5" w:rsidRPr="001274C7">
        <w:rPr>
          <w:sz w:val="22"/>
          <w:szCs w:val="22"/>
        </w:rPr>
        <w:t>FESR</w:t>
      </w:r>
      <w:r w:rsidR="007216B4" w:rsidRPr="001274C7">
        <w:rPr>
          <w:sz w:val="22"/>
          <w:szCs w:val="22"/>
        </w:rPr>
        <w:t xml:space="preserve"> </w:t>
      </w:r>
      <w:r w:rsidR="00180C20" w:rsidRPr="001274C7">
        <w:rPr>
          <w:sz w:val="22"/>
          <w:szCs w:val="22"/>
        </w:rPr>
        <w:t>Emilia-Romagna 2021-2027</w:t>
      </w:r>
      <w:r w:rsidR="007216B4" w:rsidRPr="001274C7">
        <w:rPr>
          <w:sz w:val="22"/>
          <w:szCs w:val="22"/>
        </w:rPr>
        <w:t xml:space="preserve">, Asse 1, Azione 1.1.2 – </w:t>
      </w:r>
      <w:r w:rsidR="000261E4" w:rsidRPr="001274C7">
        <w:rPr>
          <w:sz w:val="22"/>
          <w:szCs w:val="22"/>
        </w:rPr>
        <w:t xml:space="preserve">Azione 1.1.2 </w:t>
      </w:r>
      <w:r w:rsidR="000261E4" w:rsidRPr="001274C7">
        <w:rPr>
          <w:sz w:val="22"/>
          <w:szCs w:val="22"/>
          <w:lang w:val="it-IT"/>
        </w:rPr>
        <w:t>“Supporto a progetti di ricerca collaborativa dei laboratori di ricerca e delle università con le imprese”</w:t>
      </w:r>
      <w:r w:rsidR="00180C20" w:rsidRPr="001274C7">
        <w:rPr>
          <w:sz w:val="22"/>
          <w:szCs w:val="22"/>
          <w:lang w:val="it-IT"/>
        </w:rPr>
        <w:t xml:space="preserve">. </w:t>
      </w:r>
      <w:r w:rsidR="000261E4" w:rsidRPr="001274C7">
        <w:rPr>
          <w:sz w:val="22"/>
          <w:szCs w:val="22"/>
          <w:lang w:val="it-IT"/>
        </w:rPr>
        <w:t>Bando Laboratori 2023-2024 per progetti di ricerca industriale strategica rivolti agli ambiti prioritari della SS3 2023-2024</w:t>
      </w:r>
      <w:r w:rsidR="007216B4" w:rsidRPr="001274C7">
        <w:rPr>
          <w:sz w:val="22"/>
          <w:szCs w:val="22"/>
          <w:lang w:val="it-IT"/>
        </w:rPr>
        <w:t>.</w:t>
      </w:r>
    </w:p>
    <w:p w14:paraId="3071E5E2" w14:textId="6BE59EE5" w:rsidR="003514A7" w:rsidRPr="001274C7" w:rsidRDefault="007216B4" w:rsidP="000261E4">
      <w:pPr>
        <w:rPr>
          <w:sz w:val="22"/>
          <w:szCs w:val="22"/>
          <w:lang w:val="it-IT"/>
        </w:rPr>
      </w:pPr>
      <w:r w:rsidRPr="001274C7">
        <w:rPr>
          <w:sz w:val="22"/>
          <w:szCs w:val="22"/>
          <w:lang w:val="it-IT"/>
        </w:rPr>
        <w:t xml:space="preserve">Progetto: </w:t>
      </w:r>
      <w:r w:rsidR="00EE2C49" w:rsidRPr="001274C7">
        <w:rPr>
          <w:b/>
          <w:bCs/>
          <w:sz w:val="22"/>
          <w:szCs w:val="22"/>
          <w:lang w:val="it-IT"/>
        </w:rPr>
        <w:t>ALGENFOR</w:t>
      </w:r>
      <w:r w:rsidRPr="001274C7">
        <w:rPr>
          <w:b/>
          <w:bCs/>
          <w:sz w:val="22"/>
          <w:szCs w:val="22"/>
          <w:lang w:val="it-IT"/>
        </w:rPr>
        <w:t xml:space="preserve"> – Uso di alghe per una nuova generazione di prodotti da forno</w:t>
      </w:r>
      <w:r w:rsidR="00EE2C49" w:rsidRPr="001274C7">
        <w:rPr>
          <w:sz w:val="22"/>
          <w:szCs w:val="22"/>
          <w:lang w:val="it-IT"/>
        </w:rPr>
        <w:t xml:space="preserve"> [</w:t>
      </w:r>
      <w:r w:rsidR="00EE2C49" w:rsidRPr="001274C7">
        <w:rPr>
          <w:sz w:val="22"/>
          <w:szCs w:val="22"/>
          <w:lang w:val="it-IT"/>
        </w:rPr>
        <w:t>CUP E87G22000630003</w:t>
      </w:r>
      <w:r w:rsidR="00EE2C49" w:rsidRPr="001274C7">
        <w:rPr>
          <w:sz w:val="22"/>
          <w:szCs w:val="22"/>
          <w:lang w:val="it-IT"/>
        </w:rPr>
        <w:t>]</w:t>
      </w:r>
      <w:r w:rsidRPr="001274C7">
        <w:rPr>
          <w:sz w:val="22"/>
          <w:szCs w:val="22"/>
          <w:lang w:val="it-IT"/>
        </w:rPr>
        <w:t xml:space="preserve">. </w:t>
      </w:r>
      <w:hyperlink r:id="rId5" w:history="1">
        <w:r w:rsidR="00EE2C49" w:rsidRPr="001274C7">
          <w:rPr>
            <w:rStyle w:val="Collegamentoipertestuale"/>
            <w:b/>
            <w:bCs/>
            <w:color w:val="00B0F0"/>
            <w:sz w:val="22"/>
            <w:szCs w:val="22"/>
            <w:lang w:val="it-IT"/>
          </w:rPr>
          <w:t>https://www.algenfor.eu/</w:t>
        </w:r>
      </w:hyperlink>
    </w:p>
    <w:sectPr w:rsidR="003514A7" w:rsidRPr="001274C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4A7"/>
    <w:rsid w:val="000261E4"/>
    <w:rsid w:val="001274C7"/>
    <w:rsid w:val="001550E4"/>
    <w:rsid w:val="00180C20"/>
    <w:rsid w:val="001D5039"/>
    <w:rsid w:val="00230BC7"/>
    <w:rsid w:val="00336125"/>
    <w:rsid w:val="003514A7"/>
    <w:rsid w:val="003D04CD"/>
    <w:rsid w:val="003D5C96"/>
    <w:rsid w:val="0040532D"/>
    <w:rsid w:val="005A0F23"/>
    <w:rsid w:val="005A1C81"/>
    <w:rsid w:val="005D0FF0"/>
    <w:rsid w:val="0069226D"/>
    <w:rsid w:val="007216B4"/>
    <w:rsid w:val="00723077"/>
    <w:rsid w:val="00741444"/>
    <w:rsid w:val="00885D6A"/>
    <w:rsid w:val="008F0F51"/>
    <w:rsid w:val="009A63E7"/>
    <w:rsid w:val="009B790D"/>
    <w:rsid w:val="00A17B99"/>
    <w:rsid w:val="00A30DFD"/>
    <w:rsid w:val="00A94E32"/>
    <w:rsid w:val="00AA79B1"/>
    <w:rsid w:val="00AF10B0"/>
    <w:rsid w:val="00AF36D9"/>
    <w:rsid w:val="00B770B5"/>
    <w:rsid w:val="00BC59CD"/>
    <w:rsid w:val="00C67367"/>
    <w:rsid w:val="00CD6BD5"/>
    <w:rsid w:val="00D27DD8"/>
    <w:rsid w:val="00DB1CFC"/>
    <w:rsid w:val="00DB1FC1"/>
    <w:rsid w:val="00DD0C91"/>
    <w:rsid w:val="00EE2C49"/>
    <w:rsid w:val="00F87A40"/>
    <w:rsid w:val="00FB4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99D8C3A"/>
  <w15:chartTrackingRefBased/>
  <w15:docId w15:val="{505F8BFB-1640-4DD4-B653-F75EC81D1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514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514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3514A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514A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514A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514A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514A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514A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514A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514A7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514A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rsid w:val="003514A7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514A7"/>
    <w:rPr>
      <w:rFonts w:asciiTheme="minorHAnsi" w:eastAsiaTheme="majorEastAsia" w:hAnsiTheme="minorHAnsi" w:cstheme="majorBidi"/>
      <w:i/>
      <w:iCs/>
      <w:color w:val="0F4761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514A7"/>
    <w:rPr>
      <w:rFonts w:asciiTheme="minorHAnsi" w:eastAsiaTheme="majorEastAsia" w:hAnsiTheme="minorHAnsi" w:cstheme="majorBidi"/>
      <w:color w:val="0F4761" w:themeColor="accent1" w:themeShade="B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514A7"/>
    <w:rPr>
      <w:rFonts w:asciiTheme="minorHAnsi" w:eastAsiaTheme="majorEastAsia" w:hAnsiTheme="minorHAnsi" w:cstheme="majorBidi"/>
      <w:i/>
      <w:iCs/>
      <w:color w:val="595959" w:themeColor="text1" w:themeTint="A6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514A7"/>
    <w:rPr>
      <w:rFonts w:asciiTheme="minorHAnsi" w:eastAsiaTheme="majorEastAsia" w:hAnsiTheme="minorHAnsi" w:cstheme="majorBidi"/>
      <w:color w:val="595959" w:themeColor="text1" w:themeTint="A6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514A7"/>
    <w:rPr>
      <w:rFonts w:asciiTheme="minorHAnsi" w:eastAsiaTheme="majorEastAsia" w:hAnsiTheme="minorHAnsi" w:cstheme="majorBidi"/>
      <w:i/>
      <w:iCs/>
      <w:color w:val="272727" w:themeColor="text1" w:themeTint="D8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514A7"/>
    <w:rPr>
      <w:rFonts w:asciiTheme="minorHAnsi" w:eastAsiaTheme="majorEastAsia" w:hAnsiTheme="minorHAnsi" w:cstheme="majorBidi"/>
      <w:color w:val="272727" w:themeColor="text1" w:themeTint="D8"/>
      <w:lang w:val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3514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514A7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514A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514A7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514A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514A7"/>
    <w:rPr>
      <w:i/>
      <w:iCs/>
      <w:color w:val="404040" w:themeColor="text1" w:themeTint="BF"/>
      <w:lang w:val="en-US"/>
    </w:rPr>
  </w:style>
  <w:style w:type="paragraph" w:styleId="Paragrafoelenco">
    <w:name w:val="List Paragraph"/>
    <w:basedOn w:val="Normale"/>
    <w:uiPriority w:val="34"/>
    <w:qFormat/>
    <w:rsid w:val="003514A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514A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514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514A7"/>
    <w:rPr>
      <w:i/>
      <w:iCs/>
      <w:color w:val="0F4761" w:themeColor="accent1" w:themeShade="BF"/>
      <w:lang w:val="en-US"/>
    </w:rPr>
  </w:style>
  <w:style w:type="character" w:styleId="Riferimentointenso">
    <w:name w:val="Intense Reference"/>
    <w:basedOn w:val="Carpredefinitoparagrafo"/>
    <w:uiPriority w:val="32"/>
    <w:qFormat/>
    <w:rsid w:val="003514A7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3514A7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514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algenfor.eu/" TargetMode="External"/><Relationship Id="rId4" Type="http://schemas.openxmlformats.org/officeDocument/2006/relationships/hyperlink" Target="mailto:giuseppe.montevecchi@unimor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487</Words>
  <Characters>2776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MONTEVECCHI</dc:creator>
  <cp:keywords/>
  <dc:description/>
  <cp:lastModifiedBy>Giuseppe MONTEVECCHI</cp:lastModifiedBy>
  <cp:revision>2</cp:revision>
  <dcterms:created xsi:type="dcterms:W3CDTF">2025-10-24T08:09:00Z</dcterms:created>
  <dcterms:modified xsi:type="dcterms:W3CDTF">2025-10-24T08:09:00Z</dcterms:modified>
</cp:coreProperties>
</file>