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2FD993" w14:textId="5908F42C" w:rsidR="00FC0FFF" w:rsidRPr="00BB429E" w:rsidRDefault="00BB429E" w:rsidP="00FC0FFF">
      <w:pPr>
        <w:autoSpaceDE w:val="0"/>
        <w:autoSpaceDN w:val="0"/>
        <w:adjustRightInd w:val="0"/>
        <w:spacing w:after="0" w:line="240" w:lineRule="auto"/>
        <w:jc w:val="center"/>
        <w:rPr>
          <w:rFonts w:ascii="Times New Roman" w:hAnsi="Times New Roman" w:cs="Times New Roman"/>
          <w:b/>
          <w:bCs/>
          <w:color w:val="FF0000"/>
          <w:sz w:val="30"/>
          <w:szCs w:val="30"/>
        </w:rPr>
      </w:pPr>
      <w:r w:rsidRPr="00BB429E">
        <w:rPr>
          <w:rFonts w:ascii="Times New Roman" w:hAnsi="Times New Roman" w:cs="Times New Roman"/>
          <w:b/>
          <w:bCs/>
          <w:i/>
          <w:iCs/>
          <w:color w:val="FF0000"/>
          <w:sz w:val="30"/>
          <w:szCs w:val="30"/>
        </w:rPr>
        <w:t>Una rivoluzione in marcia: il reporting di sostenibilità e il contesto italiano</w:t>
      </w:r>
    </w:p>
    <w:p w14:paraId="2963979C" w14:textId="2A4AD517" w:rsidR="00FC0FFF" w:rsidRPr="001F202A" w:rsidRDefault="00EB32DC" w:rsidP="00FC0FFF">
      <w:pPr>
        <w:autoSpaceDE w:val="0"/>
        <w:autoSpaceDN w:val="0"/>
        <w:adjustRightInd w:val="0"/>
        <w:spacing w:after="0" w:line="240" w:lineRule="auto"/>
        <w:jc w:val="center"/>
        <w:rPr>
          <w:rFonts w:ascii="Times New Roman" w:hAnsi="Times New Roman" w:cs="Times New Roman"/>
          <w:b/>
          <w:bCs/>
          <w:color w:val="748B99"/>
          <w:sz w:val="30"/>
          <w:szCs w:val="30"/>
        </w:rPr>
      </w:pPr>
      <w:r>
        <w:rPr>
          <w:rFonts w:ascii="Times New Roman" w:hAnsi="Times New Roman" w:cs="Times New Roman"/>
          <w:b/>
          <w:bCs/>
          <w:color w:val="748B99"/>
          <w:sz w:val="30"/>
          <w:szCs w:val="30"/>
        </w:rPr>
        <w:t>(Working paper)</w:t>
      </w:r>
    </w:p>
    <w:p w14:paraId="70A5FC8A" w14:textId="77777777" w:rsidR="00FC0FFF" w:rsidRDefault="00FC0FFF" w:rsidP="001F202A">
      <w:pPr>
        <w:autoSpaceDE w:val="0"/>
        <w:autoSpaceDN w:val="0"/>
        <w:adjustRightInd w:val="0"/>
        <w:spacing w:after="0" w:line="240" w:lineRule="auto"/>
        <w:jc w:val="both"/>
        <w:rPr>
          <w:rFonts w:ascii="Times New Roman" w:hAnsi="Times New Roman" w:cs="Times New Roman"/>
          <w:b/>
          <w:bCs/>
          <w:i/>
          <w:iCs/>
          <w:color w:val="000000"/>
          <w:sz w:val="26"/>
          <w:szCs w:val="26"/>
        </w:rPr>
      </w:pPr>
    </w:p>
    <w:p w14:paraId="7BFE2A8C" w14:textId="742D24E0" w:rsidR="00CB753A" w:rsidRPr="00CB753A" w:rsidRDefault="00CB753A" w:rsidP="001F202A">
      <w:pPr>
        <w:autoSpaceDE w:val="0"/>
        <w:autoSpaceDN w:val="0"/>
        <w:adjustRightInd w:val="0"/>
        <w:spacing w:after="0" w:line="240" w:lineRule="auto"/>
        <w:jc w:val="both"/>
        <w:rPr>
          <w:rFonts w:ascii="Times New Roman" w:hAnsi="Times New Roman" w:cs="Times New Roman"/>
          <w:b/>
          <w:bCs/>
          <w:color w:val="000000"/>
          <w:sz w:val="24"/>
          <w:szCs w:val="24"/>
        </w:rPr>
      </w:pPr>
      <w:r w:rsidRPr="00CB753A">
        <w:rPr>
          <w:rFonts w:ascii="Times New Roman" w:hAnsi="Times New Roman" w:cs="Times New Roman"/>
          <w:b/>
          <w:bCs/>
          <w:color w:val="000000"/>
          <w:sz w:val="24"/>
          <w:szCs w:val="24"/>
        </w:rPr>
        <w:t xml:space="preserve">1. </w:t>
      </w:r>
      <w:r w:rsidR="00AA3C27">
        <w:rPr>
          <w:rFonts w:ascii="Times New Roman" w:hAnsi="Times New Roman" w:cs="Times New Roman"/>
          <w:b/>
          <w:bCs/>
          <w:color w:val="000000"/>
          <w:sz w:val="24"/>
          <w:szCs w:val="24"/>
        </w:rPr>
        <w:t>Introduzione</w:t>
      </w:r>
    </w:p>
    <w:p w14:paraId="4395F0F6" w14:textId="77777777" w:rsidR="00CB753A" w:rsidRPr="001F202A" w:rsidRDefault="00CB753A" w:rsidP="001F202A">
      <w:pPr>
        <w:autoSpaceDE w:val="0"/>
        <w:autoSpaceDN w:val="0"/>
        <w:adjustRightInd w:val="0"/>
        <w:spacing w:after="0" w:line="240" w:lineRule="auto"/>
        <w:jc w:val="both"/>
        <w:rPr>
          <w:rFonts w:ascii="Times New Roman" w:hAnsi="Times New Roman" w:cs="Times New Roman"/>
          <w:b/>
          <w:bCs/>
          <w:i/>
          <w:iCs/>
          <w:color w:val="000000"/>
          <w:sz w:val="26"/>
          <w:szCs w:val="26"/>
        </w:rPr>
      </w:pPr>
    </w:p>
    <w:p w14:paraId="7B9AF58A" w14:textId="3A52C873" w:rsidR="00FC0FFF" w:rsidRDefault="00EB32DC" w:rsidP="001F202A">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w:t>
      </w:r>
      <w:r w:rsidR="001F202A" w:rsidRPr="001F202A">
        <w:rPr>
          <w:rFonts w:ascii="Times New Roman" w:hAnsi="Times New Roman" w:cs="Times New Roman"/>
          <w:color w:val="000000"/>
          <w:sz w:val="24"/>
          <w:szCs w:val="24"/>
        </w:rPr>
        <w:t xml:space="preserve">l perseguimento della sostenibilità e di numerosi obiettivi di sviluppo sostenibile (SDGs) cammina </w:t>
      </w:r>
      <w:r w:rsidR="00CB753A">
        <w:rPr>
          <w:rFonts w:ascii="Times New Roman" w:hAnsi="Times New Roman" w:cs="Times New Roman"/>
          <w:color w:val="000000"/>
          <w:sz w:val="24"/>
          <w:szCs w:val="24"/>
        </w:rPr>
        <w:t xml:space="preserve">– </w:t>
      </w:r>
      <w:r w:rsidR="005552F1">
        <w:rPr>
          <w:rFonts w:ascii="Times New Roman" w:hAnsi="Times New Roman" w:cs="Times New Roman"/>
          <w:color w:val="000000"/>
          <w:sz w:val="24"/>
          <w:szCs w:val="24"/>
        </w:rPr>
        <w:t xml:space="preserve">per così dire </w:t>
      </w:r>
      <w:r w:rsidR="00CB753A">
        <w:rPr>
          <w:rFonts w:ascii="Times New Roman" w:hAnsi="Times New Roman" w:cs="Times New Roman"/>
          <w:color w:val="000000"/>
          <w:sz w:val="24"/>
          <w:szCs w:val="24"/>
        </w:rPr>
        <w:t xml:space="preserve">– </w:t>
      </w:r>
      <w:r w:rsidR="001F202A" w:rsidRPr="001F202A">
        <w:rPr>
          <w:rFonts w:ascii="Times New Roman" w:hAnsi="Times New Roman" w:cs="Times New Roman"/>
          <w:color w:val="000000"/>
          <w:sz w:val="24"/>
          <w:szCs w:val="24"/>
        </w:rPr>
        <w:t xml:space="preserve">sulle gambe dell’informazione, che </w:t>
      </w:r>
      <w:r w:rsidR="00CB753A">
        <w:rPr>
          <w:rFonts w:ascii="Times New Roman" w:hAnsi="Times New Roman" w:cs="Times New Roman"/>
          <w:color w:val="000000"/>
          <w:sz w:val="24"/>
          <w:szCs w:val="24"/>
        </w:rPr>
        <w:t xml:space="preserve">rappresenta strumento essenziale per </w:t>
      </w:r>
      <w:r w:rsidR="001F202A" w:rsidRPr="001F202A">
        <w:rPr>
          <w:rFonts w:ascii="Times New Roman" w:hAnsi="Times New Roman" w:cs="Times New Roman"/>
          <w:color w:val="000000"/>
          <w:sz w:val="24"/>
          <w:szCs w:val="24"/>
        </w:rPr>
        <w:t>tali processi</w:t>
      </w:r>
      <w:r w:rsidR="005552F1">
        <w:rPr>
          <w:rFonts w:ascii="Times New Roman" w:hAnsi="Times New Roman" w:cs="Times New Roman"/>
          <w:color w:val="000000"/>
          <w:sz w:val="24"/>
          <w:szCs w:val="24"/>
        </w:rPr>
        <w:t xml:space="preserve"> di cambiamento e transizione</w:t>
      </w:r>
      <w:r w:rsidR="001F202A" w:rsidRPr="001F202A">
        <w:rPr>
          <w:rFonts w:ascii="Times New Roman" w:hAnsi="Times New Roman" w:cs="Times New Roman"/>
          <w:color w:val="000000"/>
          <w:sz w:val="24"/>
          <w:szCs w:val="24"/>
        </w:rPr>
        <w:t xml:space="preserve">, specie a livello aziendale. </w:t>
      </w:r>
    </w:p>
    <w:p w14:paraId="19296BAF" w14:textId="77777777" w:rsidR="00410126" w:rsidRDefault="00410126" w:rsidP="001F202A">
      <w:pPr>
        <w:autoSpaceDE w:val="0"/>
        <w:autoSpaceDN w:val="0"/>
        <w:adjustRightInd w:val="0"/>
        <w:spacing w:after="0" w:line="240" w:lineRule="auto"/>
        <w:jc w:val="both"/>
        <w:rPr>
          <w:rFonts w:ascii="Times New Roman" w:hAnsi="Times New Roman" w:cs="Times New Roman"/>
          <w:color w:val="000000"/>
          <w:sz w:val="24"/>
          <w:szCs w:val="24"/>
        </w:rPr>
      </w:pPr>
    </w:p>
    <w:p w14:paraId="5630F55C" w14:textId="08668504" w:rsidR="00AA3C27" w:rsidRDefault="00E11234" w:rsidP="001F202A">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w:t>
      </w:r>
      <w:r w:rsidR="004A1A91">
        <w:rPr>
          <w:rFonts w:ascii="Times New Roman" w:hAnsi="Times New Roman" w:cs="Times New Roman"/>
          <w:color w:val="000000"/>
          <w:sz w:val="24"/>
          <w:szCs w:val="24"/>
        </w:rPr>
        <w:t xml:space="preserve">’informazione di sostenibilità ha vissuto e sta vivendo una profonda quanto </w:t>
      </w:r>
      <w:r w:rsidR="0043597F">
        <w:rPr>
          <w:rFonts w:ascii="Times New Roman" w:hAnsi="Times New Roman" w:cs="Times New Roman"/>
          <w:color w:val="000000"/>
          <w:sz w:val="24"/>
          <w:szCs w:val="24"/>
        </w:rPr>
        <w:t>velocissima</w:t>
      </w:r>
      <w:r w:rsidR="004A1A91">
        <w:rPr>
          <w:rFonts w:ascii="Times New Roman" w:hAnsi="Times New Roman" w:cs="Times New Roman"/>
          <w:color w:val="000000"/>
          <w:sz w:val="24"/>
          <w:szCs w:val="24"/>
        </w:rPr>
        <w:t xml:space="preserve"> evoluzione</w:t>
      </w:r>
      <w:r w:rsidR="00AA3C27">
        <w:rPr>
          <w:rFonts w:ascii="Times New Roman" w:hAnsi="Times New Roman" w:cs="Times New Roman"/>
          <w:color w:val="000000"/>
          <w:sz w:val="24"/>
          <w:szCs w:val="24"/>
        </w:rPr>
        <w:t xml:space="preserve"> in chiave </w:t>
      </w:r>
      <w:r>
        <w:rPr>
          <w:rFonts w:ascii="Times New Roman" w:hAnsi="Times New Roman" w:cs="Times New Roman"/>
          <w:color w:val="000000"/>
          <w:sz w:val="24"/>
          <w:szCs w:val="24"/>
        </w:rPr>
        <w:t xml:space="preserve">sia </w:t>
      </w:r>
      <w:r w:rsidR="00AA3C27">
        <w:rPr>
          <w:rFonts w:ascii="Times New Roman" w:hAnsi="Times New Roman" w:cs="Times New Roman"/>
          <w:color w:val="000000"/>
          <w:sz w:val="24"/>
          <w:szCs w:val="24"/>
        </w:rPr>
        <w:t>europea che globale</w:t>
      </w:r>
      <w:r w:rsidR="004A1A91">
        <w:rPr>
          <w:rFonts w:ascii="Times New Roman" w:hAnsi="Times New Roman" w:cs="Times New Roman"/>
          <w:color w:val="000000"/>
          <w:sz w:val="24"/>
          <w:szCs w:val="24"/>
        </w:rPr>
        <w:t>.</w:t>
      </w:r>
      <w:r w:rsidR="00AA3C27">
        <w:rPr>
          <w:rFonts w:ascii="Times New Roman" w:hAnsi="Times New Roman" w:cs="Times New Roman"/>
          <w:color w:val="000000"/>
          <w:sz w:val="24"/>
          <w:szCs w:val="24"/>
        </w:rPr>
        <w:t xml:space="preserve"> </w:t>
      </w:r>
      <w:r w:rsidR="004A1A91">
        <w:rPr>
          <w:rFonts w:ascii="Times New Roman" w:hAnsi="Times New Roman" w:cs="Times New Roman"/>
          <w:color w:val="000000"/>
          <w:sz w:val="24"/>
          <w:szCs w:val="24"/>
        </w:rPr>
        <w:t>Infatti, f</w:t>
      </w:r>
      <w:r w:rsidR="001F202A" w:rsidRPr="001F202A">
        <w:rPr>
          <w:rFonts w:ascii="Times New Roman" w:hAnsi="Times New Roman" w:cs="Times New Roman"/>
          <w:color w:val="000000"/>
          <w:sz w:val="24"/>
          <w:szCs w:val="24"/>
        </w:rPr>
        <w:t>ino a poc</w:t>
      </w:r>
      <w:r w:rsidR="00FC0FFF">
        <w:rPr>
          <w:rFonts w:ascii="Times New Roman" w:hAnsi="Times New Roman" w:cs="Times New Roman"/>
          <w:color w:val="000000"/>
          <w:sz w:val="24"/>
          <w:szCs w:val="24"/>
        </w:rPr>
        <w:t>o</w:t>
      </w:r>
      <w:r w:rsidR="001F202A" w:rsidRPr="001F202A">
        <w:rPr>
          <w:rFonts w:ascii="Times New Roman" w:hAnsi="Times New Roman" w:cs="Times New Roman"/>
          <w:color w:val="000000"/>
          <w:sz w:val="24"/>
          <w:szCs w:val="24"/>
        </w:rPr>
        <w:t xml:space="preserve"> tempo fa numerosi erano gli organismi internazionali che si occupavano a diverso titolo e con differenziate prospettive dell’informativa di sostenibilità, tramite l’emanazione di standard, framework, principi, raccomandazioni, </w:t>
      </w:r>
      <w:r>
        <w:rPr>
          <w:rFonts w:ascii="Times New Roman" w:hAnsi="Times New Roman" w:cs="Times New Roman"/>
          <w:color w:val="000000"/>
          <w:sz w:val="24"/>
          <w:szCs w:val="24"/>
        </w:rPr>
        <w:t xml:space="preserve">fondamentalmente a carattere volontario e </w:t>
      </w:r>
      <w:r w:rsidR="001F202A" w:rsidRPr="001F202A">
        <w:rPr>
          <w:rFonts w:ascii="Times New Roman" w:hAnsi="Times New Roman" w:cs="Times New Roman"/>
          <w:color w:val="000000"/>
          <w:sz w:val="24"/>
          <w:szCs w:val="24"/>
        </w:rPr>
        <w:t xml:space="preserve">che non sempre nel loro complesso erano tra loro compatibili, venendo </w:t>
      </w:r>
      <w:r w:rsidR="0043597F">
        <w:rPr>
          <w:rFonts w:ascii="Times New Roman" w:hAnsi="Times New Roman" w:cs="Times New Roman"/>
          <w:color w:val="000000"/>
          <w:sz w:val="24"/>
          <w:szCs w:val="24"/>
        </w:rPr>
        <w:t xml:space="preserve">così </w:t>
      </w:r>
      <w:r w:rsidR="001F202A" w:rsidRPr="001F202A">
        <w:rPr>
          <w:rFonts w:ascii="Times New Roman" w:hAnsi="Times New Roman" w:cs="Times New Roman"/>
          <w:color w:val="000000"/>
          <w:sz w:val="24"/>
          <w:szCs w:val="24"/>
        </w:rPr>
        <w:t xml:space="preserve">a crearsi una sorta di </w:t>
      </w:r>
      <w:r w:rsidR="001F202A" w:rsidRPr="001F202A">
        <w:rPr>
          <w:rFonts w:ascii="Times New Roman" w:hAnsi="Times New Roman" w:cs="Times New Roman"/>
          <w:i/>
          <w:iCs/>
          <w:color w:val="000000"/>
          <w:sz w:val="24"/>
          <w:szCs w:val="24"/>
        </w:rPr>
        <w:t>alphabet soup</w:t>
      </w:r>
      <w:r w:rsidR="001F202A" w:rsidRPr="001F202A">
        <w:rPr>
          <w:rFonts w:ascii="Times New Roman" w:hAnsi="Times New Roman" w:cs="Times New Roman"/>
          <w:color w:val="000000"/>
          <w:sz w:val="24"/>
          <w:szCs w:val="24"/>
        </w:rPr>
        <w:t xml:space="preserve"> </w:t>
      </w:r>
      <w:r w:rsidR="00CB753A">
        <w:rPr>
          <w:rFonts w:ascii="Times New Roman" w:hAnsi="Times New Roman" w:cs="Times New Roman"/>
          <w:color w:val="000000"/>
          <w:sz w:val="24"/>
          <w:szCs w:val="24"/>
        </w:rPr>
        <w:t>e</w:t>
      </w:r>
      <w:r w:rsidR="001F202A" w:rsidRPr="001F202A">
        <w:rPr>
          <w:rFonts w:ascii="Times New Roman" w:hAnsi="Times New Roman" w:cs="Times New Roman"/>
          <w:color w:val="000000"/>
          <w:sz w:val="24"/>
          <w:szCs w:val="24"/>
        </w:rPr>
        <w:t xml:space="preserve"> provocando un</w:t>
      </w:r>
      <w:r w:rsidR="00EA1164">
        <w:rPr>
          <w:rFonts w:ascii="Times New Roman" w:hAnsi="Times New Roman" w:cs="Times New Roman"/>
          <w:color w:val="000000"/>
          <w:sz w:val="24"/>
          <w:szCs w:val="24"/>
        </w:rPr>
        <w:t xml:space="preserve"> </w:t>
      </w:r>
      <w:r w:rsidR="00CB753A">
        <w:rPr>
          <w:rFonts w:ascii="Times New Roman" w:hAnsi="Times New Roman" w:cs="Times New Roman"/>
          <w:color w:val="000000"/>
          <w:sz w:val="24"/>
          <w:szCs w:val="24"/>
        </w:rPr>
        <w:t>elevat</w:t>
      </w:r>
      <w:r w:rsidR="00EA1164">
        <w:rPr>
          <w:rFonts w:ascii="Times New Roman" w:hAnsi="Times New Roman" w:cs="Times New Roman"/>
          <w:color w:val="000000"/>
          <w:sz w:val="24"/>
          <w:szCs w:val="24"/>
        </w:rPr>
        <w:t xml:space="preserve">o livello di </w:t>
      </w:r>
      <w:r w:rsidR="001F202A" w:rsidRPr="001F202A">
        <w:rPr>
          <w:rFonts w:ascii="Times New Roman" w:hAnsi="Times New Roman" w:cs="Times New Roman"/>
          <w:color w:val="000000"/>
          <w:sz w:val="24"/>
          <w:szCs w:val="24"/>
        </w:rPr>
        <w:t>confusione nelle imprese e negli operatori</w:t>
      </w:r>
      <w:r w:rsidR="0043597F">
        <w:rPr>
          <w:rFonts w:ascii="Times New Roman" w:hAnsi="Times New Roman" w:cs="Times New Roman"/>
          <w:color w:val="000000"/>
          <w:sz w:val="24"/>
          <w:szCs w:val="24"/>
        </w:rPr>
        <w:t xml:space="preserve"> finanziari e istituzionali</w:t>
      </w:r>
      <w:r w:rsidR="001F202A" w:rsidRPr="001F202A">
        <w:rPr>
          <w:rFonts w:ascii="Times New Roman" w:hAnsi="Times New Roman" w:cs="Times New Roman"/>
          <w:color w:val="000000"/>
          <w:sz w:val="24"/>
          <w:szCs w:val="24"/>
        </w:rPr>
        <w:t xml:space="preserve">. </w:t>
      </w:r>
    </w:p>
    <w:p w14:paraId="03BD7639" w14:textId="77777777" w:rsidR="00AA3C27" w:rsidRDefault="00AA3C27" w:rsidP="001F202A">
      <w:pPr>
        <w:autoSpaceDE w:val="0"/>
        <w:autoSpaceDN w:val="0"/>
        <w:adjustRightInd w:val="0"/>
        <w:spacing w:after="0" w:line="240" w:lineRule="auto"/>
        <w:jc w:val="both"/>
        <w:rPr>
          <w:rFonts w:ascii="Times New Roman" w:hAnsi="Times New Roman" w:cs="Times New Roman"/>
          <w:color w:val="000000"/>
          <w:sz w:val="24"/>
          <w:szCs w:val="24"/>
        </w:rPr>
      </w:pPr>
    </w:p>
    <w:p w14:paraId="671FAF98" w14:textId="3A762E43" w:rsidR="00AA3C27" w:rsidRDefault="001F202A" w:rsidP="001F202A">
      <w:pPr>
        <w:autoSpaceDE w:val="0"/>
        <w:autoSpaceDN w:val="0"/>
        <w:adjustRightInd w:val="0"/>
        <w:spacing w:after="0" w:line="240" w:lineRule="auto"/>
        <w:jc w:val="both"/>
        <w:rPr>
          <w:rFonts w:ascii="Times New Roman" w:hAnsi="Times New Roman" w:cs="Times New Roman"/>
          <w:color w:val="000000"/>
          <w:sz w:val="24"/>
          <w:szCs w:val="24"/>
        </w:rPr>
      </w:pPr>
      <w:r w:rsidRPr="001F202A">
        <w:rPr>
          <w:rFonts w:ascii="Times New Roman" w:hAnsi="Times New Roman" w:cs="Times New Roman"/>
          <w:color w:val="000000"/>
          <w:sz w:val="24"/>
          <w:szCs w:val="24"/>
        </w:rPr>
        <w:t xml:space="preserve">Negli ultimi </w:t>
      </w:r>
      <w:r w:rsidR="00AA3C27">
        <w:rPr>
          <w:rFonts w:ascii="Times New Roman" w:hAnsi="Times New Roman" w:cs="Times New Roman"/>
          <w:color w:val="000000"/>
          <w:sz w:val="24"/>
          <w:szCs w:val="24"/>
        </w:rPr>
        <w:t>due-tre</w:t>
      </w:r>
      <w:r w:rsidRPr="001F202A">
        <w:rPr>
          <w:rFonts w:ascii="Times New Roman" w:hAnsi="Times New Roman" w:cs="Times New Roman"/>
          <w:color w:val="000000"/>
          <w:sz w:val="24"/>
          <w:szCs w:val="24"/>
        </w:rPr>
        <w:t xml:space="preserve"> anni, il panorama internazionale</w:t>
      </w:r>
      <w:r w:rsidR="00EB5A18">
        <w:rPr>
          <w:rFonts w:ascii="Times New Roman" w:hAnsi="Times New Roman" w:cs="Times New Roman"/>
          <w:color w:val="000000"/>
          <w:sz w:val="24"/>
          <w:szCs w:val="24"/>
        </w:rPr>
        <w:t xml:space="preserve"> </w:t>
      </w:r>
      <w:r w:rsidRPr="001F202A">
        <w:rPr>
          <w:rFonts w:ascii="Times New Roman" w:hAnsi="Times New Roman" w:cs="Times New Roman"/>
          <w:color w:val="000000"/>
          <w:sz w:val="24"/>
          <w:szCs w:val="24"/>
        </w:rPr>
        <w:t xml:space="preserve">della standardizzazione del reporting di sostenibilità sta radicalmente e rapidamente mutando, </w:t>
      </w:r>
      <w:r w:rsidR="00AA3C27">
        <w:rPr>
          <w:rFonts w:ascii="Times New Roman" w:hAnsi="Times New Roman" w:cs="Times New Roman"/>
          <w:color w:val="000000"/>
          <w:sz w:val="24"/>
          <w:szCs w:val="24"/>
        </w:rPr>
        <w:t xml:space="preserve">a partire dall’Unione europea che ha </w:t>
      </w:r>
      <w:r w:rsidR="0043597F">
        <w:rPr>
          <w:rFonts w:ascii="Times New Roman" w:hAnsi="Times New Roman" w:cs="Times New Roman"/>
          <w:color w:val="000000"/>
          <w:sz w:val="24"/>
          <w:szCs w:val="24"/>
        </w:rPr>
        <w:t xml:space="preserve">scelto di </w:t>
      </w:r>
      <w:r w:rsidR="00AA3C27">
        <w:rPr>
          <w:rFonts w:ascii="Times New Roman" w:hAnsi="Times New Roman" w:cs="Times New Roman"/>
          <w:color w:val="000000"/>
          <w:sz w:val="24"/>
          <w:szCs w:val="24"/>
        </w:rPr>
        <w:t>assu</w:t>
      </w:r>
      <w:r w:rsidR="0043597F">
        <w:rPr>
          <w:rFonts w:ascii="Times New Roman" w:hAnsi="Times New Roman" w:cs="Times New Roman"/>
          <w:color w:val="000000"/>
          <w:sz w:val="24"/>
          <w:szCs w:val="24"/>
        </w:rPr>
        <w:t>mere</w:t>
      </w:r>
      <w:r w:rsidR="00AA3C27">
        <w:rPr>
          <w:rFonts w:ascii="Times New Roman" w:hAnsi="Times New Roman" w:cs="Times New Roman"/>
          <w:color w:val="000000"/>
          <w:sz w:val="24"/>
          <w:szCs w:val="24"/>
        </w:rPr>
        <w:t xml:space="preserve"> il ruolo di battistrada</w:t>
      </w:r>
      <w:r w:rsidRPr="001F202A">
        <w:rPr>
          <w:rFonts w:ascii="Times New Roman" w:hAnsi="Times New Roman" w:cs="Times New Roman"/>
          <w:color w:val="000000"/>
          <w:sz w:val="24"/>
          <w:szCs w:val="24"/>
        </w:rPr>
        <w:t xml:space="preserve"> </w:t>
      </w:r>
      <w:r w:rsidR="0043597F">
        <w:rPr>
          <w:rFonts w:ascii="Times New Roman" w:hAnsi="Times New Roman" w:cs="Times New Roman"/>
          <w:color w:val="000000"/>
          <w:sz w:val="24"/>
          <w:szCs w:val="24"/>
        </w:rPr>
        <w:t xml:space="preserve">internazionale </w:t>
      </w:r>
      <w:r w:rsidR="00AA3C27">
        <w:rPr>
          <w:rFonts w:ascii="Times New Roman" w:hAnsi="Times New Roman" w:cs="Times New Roman"/>
          <w:color w:val="000000"/>
          <w:sz w:val="24"/>
          <w:szCs w:val="24"/>
        </w:rPr>
        <w:t>della trasformazione informativa delle aziende.</w:t>
      </w:r>
    </w:p>
    <w:p w14:paraId="33D9517C" w14:textId="77777777" w:rsidR="00AA3C27" w:rsidRDefault="00AA3C27" w:rsidP="001F202A">
      <w:pPr>
        <w:autoSpaceDE w:val="0"/>
        <w:autoSpaceDN w:val="0"/>
        <w:adjustRightInd w:val="0"/>
        <w:spacing w:after="0" w:line="240" w:lineRule="auto"/>
        <w:jc w:val="both"/>
        <w:rPr>
          <w:rFonts w:ascii="Times New Roman" w:hAnsi="Times New Roman" w:cs="Times New Roman"/>
          <w:color w:val="000000"/>
          <w:sz w:val="24"/>
          <w:szCs w:val="24"/>
        </w:rPr>
      </w:pPr>
    </w:p>
    <w:p w14:paraId="3FBAAFC9" w14:textId="0EA7776A" w:rsidR="00AA3C27" w:rsidRDefault="002B47CA" w:rsidP="001F202A">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Nella prossima sezione si delineerà il nuovo quadro europeo contraddistinto dall’introduzione della Direttiva c.d. CSRD sulla rendicontazione obbligatoria di sostenibilità da parte delle imprese, nonché degli innovativi standard europei in materia. Nella sezione successiva si illustrerà la situazione </w:t>
      </w:r>
      <w:r w:rsidR="0043597F">
        <w:rPr>
          <w:rFonts w:ascii="Times New Roman" w:hAnsi="Times New Roman" w:cs="Times New Roman"/>
          <w:color w:val="000000"/>
          <w:sz w:val="24"/>
          <w:szCs w:val="24"/>
        </w:rPr>
        <w:t>extra-europea</w:t>
      </w:r>
      <w:r>
        <w:rPr>
          <w:rFonts w:ascii="Times New Roman" w:hAnsi="Times New Roman" w:cs="Times New Roman"/>
          <w:color w:val="000000"/>
          <w:sz w:val="24"/>
          <w:szCs w:val="24"/>
        </w:rPr>
        <w:t xml:space="preserve"> approfondendo il ruolo dell’International Sustainability Standards Board (ISSB) e del Global Reporting Initiative (GRI), ovvero le due iniziative che rappresentano </w:t>
      </w:r>
      <w:r w:rsidR="00E11234">
        <w:rPr>
          <w:rFonts w:ascii="Times New Roman" w:hAnsi="Times New Roman" w:cs="Times New Roman"/>
          <w:color w:val="000000"/>
          <w:sz w:val="24"/>
          <w:szCs w:val="24"/>
        </w:rPr>
        <w:t xml:space="preserve">al momento </w:t>
      </w:r>
      <w:r>
        <w:rPr>
          <w:rFonts w:ascii="Times New Roman" w:hAnsi="Times New Roman" w:cs="Times New Roman"/>
          <w:color w:val="000000"/>
          <w:sz w:val="24"/>
          <w:szCs w:val="24"/>
        </w:rPr>
        <w:t>i punti di riferimento riconosciuti</w:t>
      </w:r>
      <w:r w:rsidR="00E11234">
        <w:rPr>
          <w:rFonts w:ascii="Times New Roman" w:hAnsi="Times New Roman" w:cs="Times New Roman"/>
          <w:color w:val="000000"/>
          <w:sz w:val="24"/>
          <w:szCs w:val="24"/>
        </w:rPr>
        <w:t xml:space="preserve"> in termini globali</w:t>
      </w:r>
      <w:r>
        <w:rPr>
          <w:rFonts w:ascii="Times New Roman" w:hAnsi="Times New Roman" w:cs="Times New Roman"/>
          <w:color w:val="000000"/>
          <w:sz w:val="24"/>
          <w:szCs w:val="24"/>
        </w:rPr>
        <w:t xml:space="preserve">. Nella sezione conclusiva si formuleranno alcune considerazioni complessive </w:t>
      </w:r>
      <w:r w:rsidR="00E11234">
        <w:rPr>
          <w:rFonts w:ascii="Times New Roman" w:hAnsi="Times New Roman" w:cs="Times New Roman"/>
          <w:color w:val="000000"/>
          <w:sz w:val="24"/>
          <w:szCs w:val="24"/>
        </w:rPr>
        <w:t>e</w:t>
      </w:r>
      <w:r>
        <w:rPr>
          <w:rFonts w:ascii="Times New Roman" w:hAnsi="Times New Roman" w:cs="Times New Roman"/>
          <w:color w:val="000000"/>
          <w:sz w:val="24"/>
          <w:szCs w:val="24"/>
        </w:rPr>
        <w:t xml:space="preserve"> proposte di policy rivolte alle Istituzioni italiane.</w:t>
      </w:r>
    </w:p>
    <w:p w14:paraId="299F59D1" w14:textId="77777777" w:rsidR="00AA3C27" w:rsidRDefault="00AA3C27" w:rsidP="001F202A">
      <w:pPr>
        <w:autoSpaceDE w:val="0"/>
        <w:autoSpaceDN w:val="0"/>
        <w:adjustRightInd w:val="0"/>
        <w:spacing w:after="0" w:line="240" w:lineRule="auto"/>
        <w:jc w:val="both"/>
        <w:rPr>
          <w:rFonts w:ascii="Times New Roman" w:hAnsi="Times New Roman" w:cs="Times New Roman"/>
          <w:color w:val="000000"/>
          <w:sz w:val="24"/>
          <w:szCs w:val="24"/>
        </w:rPr>
      </w:pPr>
    </w:p>
    <w:p w14:paraId="52ECCD49" w14:textId="77777777" w:rsidR="002B47CA" w:rsidRDefault="002B47CA" w:rsidP="001F202A">
      <w:pPr>
        <w:autoSpaceDE w:val="0"/>
        <w:autoSpaceDN w:val="0"/>
        <w:adjustRightInd w:val="0"/>
        <w:spacing w:after="0" w:line="240" w:lineRule="auto"/>
        <w:jc w:val="both"/>
        <w:rPr>
          <w:rFonts w:ascii="Times New Roman" w:hAnsi="Times New Roman" w:cs="Times New Roman"/>
          <w:color w:val="000000"/>
          <w:sz w:val="24"/>
          <w:szCs w:val="24"/>
        </w:rPr>
      </w:pPr>
    </w:p>
    <w:p w14:paraId="6BDE1695" w14:textId="533538D0" w:rsidR="001F202A" w:rsidRPr="002B47CA" w:rsidRDefault="00F6059A" w:rsidP="001F202A">
      <w:pPr>
        <w:autoSpaceDE w:val="0"/>
        <w:autoSpaceDN w:val="0"/>
        <w:adjustRightInd w:val="0"/>
        <w:spacing w:after="0" w:line="240" w:lineRule="auto"/>
        <w:jc w:val="both"/>
        <w:rPr>
          <w:rFonts w:ascii="Times New Roman" w:hAnsi="Times New Roman" w:cs="Times New Roman"/>
          <w:b/>
          <w:bCs/>
          <w:sz w:val="24"/>
          <w:szCs w:val="24"/>
        </w:rPr>
      </w:pPr>
      <w:r>
        <w:rPr>
          <w:rFonts w:ascii="Times New Roman" w:hAnsi="Times New Roman" w:cs="Times New Roman"/>
          <w:b/>
          <w:bCs/>
          <w:color w:val="000000"/>
          <w:sz w:val="24"/>
          <w:szCs w:val="24"/>
        </w:rPr>
        <w:t>2</w:t>
      </w:r>
      <w:r w:rsidR="002B47CA" w:rsidRPr="002B47CA">
        <w:rPr>
          <w:rFonts w:ascii="Times New Roman" w:hAnsi="Times New Roman" w:cs="Times New Roman"/>
          <w:b/>
          <w:bCs/>
          <w:color w:val="000000"/>
          <w:sz w:val="24"/>
          <w:szCs w:val="24"/>
        </w:rPr>
        <w:t>. Il nuovo quadro europeo del</w:t>
      </w:r>
      <w:r w:rsidR="002972F1">
        <w:rPr>
          <w:rFonts w:ascii="Times New Roman" w:hAnsi="Times New Roman" w:cs="Times New Roman"/>
          <w:b/>
          <w:bCs/>
          <w:color w:val="000000"/>
          <w:sz w:val="24"/>
          <w:szCs w:val="24"/>
        </w:rPr>
        <w:t xml:space="preserve">la rendicontazione </w:t>
      </w:r>
      <w:r w:rsidR="002B47CA" w:rsidRPr="002B47CA">
        <w:rPr>
          <w:rFonts w:ascii="Times New Roman" w:hAnsi="Times New Roman" w:cs="Times New Roman"/>
          <w:b/>
          <w:bCs/>
          <w:color w:val="000000"/>
          <w:sz w:val="24"/>
          <w:szCs w:val="24"/>
        </w:rPr>
        <w:t>di sostenibilità</w:t>
      </w:r>
    </w:p>
    <w:p w14:paraId="56CF71B4" w14:textId="77777777" w:rsidR="00F6059A" w:rsidRDefault="00F6059A" w:rsidP="001F202A">
      <w:pPr>
        <w:autoSpaceDE w:val="0"/>
        <w:autoSpaceDN w:val="0"/>
        <w:adjustRightInd w:val="0"/>
        <w:spacing w:after="0" w:line="240" w:lineRule="auto"/>
        <w:jc w:val="both"/>
        <w:rPr>
          <w:rFonts w:ascii="Times New Roman" w:hAnsi="Times New Roman" w:cs="Times New Roman"/>
          <w:sz w:val="24"/>
          <w:szCs w:val="24"/>
        </w:rPr>
      </w:pPr>
    </w:p>
    <w:p w14:paraId="437C270C" w14:textId="0EE0F976" w:rsidR="001B3D4C" w:rsidRDefault="002972F1" w:rsidP="001F202A">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Lo stato dell’arte </w:t>
      </w:r>
      <w:r w:rsidR="001B3D4C">
        <w:rPr>
          <w:rFonts w:ascii="Times New Roman" w:hAnsi="Times New Roman" w:cs="Times New Roman"/>
          <w:sz w:val="24"/>
          <w:szCs w:val="24"/>
        </w:rPr>
        <w:t>europeo relativ</w:t>
      </w:r>
      <w:r>
        <w:rPr>
          <w:rFonts w:ascii="Times New Roman" w:hAnsi="Times New Roman" w:cs="Times New Roman"/>
          <w:sz w:val="24"/>
          <w:szCs w:val="24"/>
        </w:rPr>
        <w:t>amente</w:t>
      </w:r>
      <w:r w:rsidR="001B3D4C">
        <w:rPr>
          <w:rFonts w:ascii="Times New Roman" w:hAnsi="Times New Roman" w:cs="Times New Roman"/>
          <w:sz w:val="24"/>
          <w:szCs w:val="24"/>
        </w:rPr>
        <w:t xml:space="preserve"> all’informativa aziendale sulla sostenibilità è stato profondamente </w:t>
      </w:r>
      <w:r>
        <w:rPr>
          <w:rFonts w:ascii="Times New Roman" w:hAnsi="Times New Roman" w:cs="Times New Roman"/>
          <w:sz w:val="24"/>
          <w:szCs w:val="24"/>
        </w:rPr>
        <w:t xml:space="preserve">impattato </w:t>
      </w:r>
      <w:r w:rsidR="001B3D4C">
        <w:rPr>
          <w:rFonts w:ascii="Times New Roman" w:hAnsi="Times New Roman" w:cs="Times New Roman"/>
          <w:sz w:val="24"/>
          <w:szCs w:val="24"/>
        </w:rPr>
        <w:t xml:space="preserve">da due </w:t>
      </w:r>
      <w:r>
        <w:rPr>
          <w:rFonts w:ascii="Times New Roman" w:hAnsi="Times New Roman" w:cs="Times New Roman"/>
          <w:sz w:val="24"/>
          <w:szCs w:val="24"/>
        </w:rPr>
        <w:t xml:space="preserve">importanti e pervasive </w:t>
      </w:r>
      <w:r w:rsidR="001B3D4C">
        <w:rPr>
          <w:rFonts w:ascii="Times New Roman" w:hAnsi="Times New Roman" w:cs="Times New Roman"/>
          <w:sz w:val="24"/>
          <w:szCs w:val="24"/>
        </w:rPr>
        <w:t xml:space="preserve">innovazioni legislative che hanno </w:t>
      </w:r>
      <w:r>
        <w:rPr>
          <w:rFonts w:ascii="Times New Roman" w:hAnsi="Times New Roman" w:cs="Times New Roman"/>
          <w:sz w:val="24"/>
          <w:szCs w:val="24"/>
        </w:rPr>
        <w:t>modificato</w:t>
      </w:r>
      <w:r w:rsidR="001B3D4C">
        <w:rPr>
          <w:rFonts w:ascii="Times New Roman" w:hAnsi="Times New Roman" w:cs="Times New Roman"/>
          <w:sz w:val="24"/>
          <w:szCs w:val="24"/>
        </w:rPr>
        <w:t xml:space="preserve"> lo stato giuridico e la rilevanza economica di tale informativa a partire dal 2024. </w:t>
      </w:r>
    </w:p>
    <w:p w14:paraId="59730D28" w14:textId="77777777" w:rsidR="001B3D4C" w:rsidRPr="001F202A" w:rsidRDefault="001B3D4C" w:rsidP="001F202A">
      <w:pPr>
        <w:autoSpaceDE w:val="0"/>
        <w:autoSpaceDN w:val="0"/>
        <w:adjustRightInd w:val="0"/>
        <w:spacing w:after="0" w:line="240" w:lineRule="auto"/>
        <w:jc w:val="both"/>
        <w:rPr>
          <w:rFonts w:ascii="Times New Roman" w:hAnsi="Times New Roman" w:cs="Times New Roman"/>
          <w:sz w:val="24"/>
          <w:szCs w:val="24"/>
        </w:rPr>
      </w:pPr>
    </w:p>
    <w:p w14:paraId="6E6C1656" w14:textId="4FA1095A" w:rsidR="00F6059A" w:rsidRPr="003056A3" w:rsidRDefault="00F6059A" w:rsidP="006D06A4">
      <w:pPr>
        <w:autoSpaceDE w:val="0"/>
        <w:autoSpaceDN w:val="0"/>
        <w:adjustRightInd w:val="0"/>
        <w:spacing w:after="0" w:line="240" w:lineRule="auto"/>
        <w:jc w:val="both"/>
        <w:rPr>
          <w:rFonts w:ascii="Times New Roman" w:hAnsi="Times New Roman" w:cs="Times New Roman"/>
          <w:b/>
          <w:bCs/>
          <w:i/>
          <w:iCs/>
          <w:sz w:val="24"/>
          <w:szCs w:val="24"/>
        </w:rPr>
      </w:pPr>
      <w:r w:rsidRPr="003056A3">
        <w:rPr>
          <w:rFonts w:ascii="Times New Roman" w:hAnsi="Times New Roman" w:cs="Times New Roman"/>
          <w:b/>
          <w:bCs/>
          <w:i/>
          <w:iCs/>
          <w:sz w:val="24"/>
          <w:szCs w:val="24"/>
        </w:rPr>
        <w:t>2.1. La Corporate Sustainability Reporting Directive</w:t>
      </w:r>
    </w:p>
    <w:p w14:paraId="0A25260C" w14:textId="23C6549E" w:rsidR="001B3D4C" w:rsidRDefault="001B3D4C" w:rsidP="00F6059A">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Quale parte integrante e qualificante del grande progetto </w:t>
      </w:r>
      <w:r w:rsidR="002972F1">
        <w:rPr>
          <w:rFonts w:ascii="Times New Roman" w:hAnsi="Times New Roman" w:cs="Times New Roman"/>
          <w:sz w:val="24"/>
          <w:szCs w:val="24"/>
        </w:rPr>
        <w:t xml:space="preserve">trasformativo </w:t>
      </w:r>
      <w:r>
        <w:rPr>
          <w:rFonts w:ascii="Times New Roman" w:hAnsi="Times New Roman" w:cs="Times New Roman"/>
          <w:sz w:val="24"/>
          <w:szCs w:val="24"/>
        </w:rPr>
        <w:t xml:space="preserve">della UE che ha preso avvio dall’approvazione del “Green Deal” e dell’associata “Sustainable Finance Initiative”, la Commissione europea ha deciso tra il 2019 e il 2020 di procedere a un ripensamento complessivo del ruolo e dei contenuti della rendicontazione </w:t>
      </w:r>
      <w:r w:rsidR="002972F1">
        <w:rPr>
          <w:rFonts w:ascii="Times New Roman" w:hAnsi="Times New Roman" w:cs="Times New Roman"/>
          <w:sz w:val="24"/>
          <w:szCs w:val="24"/>
        </w:rPr>
        <w:t xml:space="preserve">di sostenibilità </w:t>
      </w:r>
      <w:r>
        <w:rPr>
          <w:rFonts w:ascii="Times New Roman" w:hAnsi="Times New Roman" w:cs="Times New Roman"/>
          <w:sz w:val="24"/>
          <w:szCs w:val="24"/>
        </w:rPr>
        <w:t xml:space="preserve">delle imprese, precedentemente disciplinata dalla “vecchia” Direttiva sulle informazioni non finanziarie (n. 95/2014), iniziando un lungo processo fatto di </w:t>
      </w:r>
      <w:r w:rsidR="00607C79">
        <w:rPr>
          <w:rFonts w:ascii="Times New Roman" w:hAnsi="Times New Roman" w:cs="Times New Roman"/>
          <w:sz w:val="24"/>
          <w:szCs w:val="24"/>
        </w:rPr>
        <w:t xml:space="preserve">varie bozze di legislazione, </w:t>
      </w:r>
      <w:r>
        <w:rPr>
          <w:rFonts w:ascii="Times New Roman" w:hAnsi="Times New Roman" w:cs="Times New Roman"/>
          <w:sz w:val="24"/>
          <w:szCs w:val="24"/>
        </w:rPr>
        <w:t xml:space="preserve">consultazioni pubbliche, discussioni con il Parlamento e il Consiglio europei, revisioni e compromessi, </w:t>
      </w:r>
      <w:r w:rsidR="00A0231B">
        <w:rPr>
          <w:rFonts w:ascii="Times New Roman" w:hAnsi="Times New Roman" w:cs="Times New Roman"/>
          <w:sz w:val="24"/>
          <w:szCs w:val="24"/>
        </w:rPr>
        <w:t xml:space="preserve">e </w:t>
      </w:r>
      <w:r>
        <w:rPr>
          <w:rFonts w:ascii="Times New Roman" w:hAnsi="Times New Roman" w:cs="Times New Roman"/>
          <w:sz w:val="24"/>
          <w:szCs w:val="24"/>
        </w:rPr>
        <w:t xml:space="preserve">che ha </w:t>
      </w:r>
      <w:r w:rsidR="002972F1">
        <w:rPr>
          <w:rFonts w:ascii="Times New Roman" w:hAnsi="Times New Roman" w:cs="Times New Roman"/>
          <w:sz w:val="24"/>
          <w:szCs w:val="24"/>
        </w:rPr>
        <w:t xml:space="preserve">alla fine </w:t>
      </w:r>
      <w:r>
        <w:rPr>
          <w:rFonts w:ascii="Times New Roman" w:hAnsi="Times New Roman" w:cs="Times New Roman"/>
          <w:sz w:val="24"/>
          <w:szCs w:val="24"/>
        </w:rPr>
        <w:t>condotto a</w:t>
      </w:r>
      <w:r w:rsidR="002972F1">
        <w:rPr>
          <w:rFonts w:ascii="Times New Roman" w:hAnsi="Times New Roman" w:cs="Times New Roman"/>
          <w:sz w:val="24"/>
          <w:szCs w:val="24"/>
        </w:rPr>
        <w:t>ll’approvazione di</w:t>
      </w:r>
      <w:r>
        <w:rPr>
          <w:rFonts w:ascii="Times New Roman" w:hAnsi="Times New Roman" w:cs="Times New Roman"/>
          <w:sz w:val="24"/>
          <w:szCs w:val="24"/>
        </w:rPr>
        <w:t xml:space="preserve"> una pietra miliare normativa a valenza non solo europea, ma anche internazionale.</w:t>
      </w:r>
    </w:p>
    <w:p w14:paraId="6F49ED90" w14:textId="10CC0DE4" w:rsidR="00F6059A" w:rsidRDefault="00F6059A" w:rsidP="00F6059A">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 xml:space="preserve">La nuova Direttiva europea </w:t>
      </w:r>
      <w:r w:rsidRPr="007F709B">
        <w:rPr>
          <w:rFonts w:ascii="Times New Roman" w:hAnsi="Times New Roman" w:cs="Times New Roman"/>
          <w:i/>
          <w:iCs/>
          <w:sz w:val="24"/>
          <w:szCs w:val="24"/>
        </w:rPr>
        <w:t>Corporate Sustainability Reporting Directive</w:t>
      </w:r>
      <w:r>
        <w:rPr>
          <w:rFonts w:ascii="Times New Roman" w:hAnsi="Times New Roman" w:cs="Times New Roman"/>
          <w:sz w:val="24"/>
          <w:szCs w:val="24"/>
        </w:rPr>
        <w:t xml:space="preserve"> (CSRD) n. </w:t>
      </w:r>
      <w:r w:rsidRPr="002A4E88">
        <w:rPr>
          <w:rFonts w:ascii="Times New Roman" w:hAnsi="Times New Roman" w:cs="Times New Roman"/>
          <w:sz w:val="24"/>
          <w:szCs w:val="24"/>
        </w:rPr>
        <w:t>2022/2464</w:t>
      </w:r>
      <w:r w:rsidR="002972F1">
        <w:rPr>
          <w:rFonts w:ascii="Times New Roman" w:hAnsi="Times New Roman" w:cs="Times New Roman"/>
          <w:sz w:val="24"/>
          <w:szCs w:val="24"/>
        </w:rPr>
        <w:t xml:space="preserve"> del 14 dicembre 2022</w:t>
      </w:r>
      <w:r>
        <w:rPr>
          <w:rFonts w:ascii="Times New Roman" w:hAnsi="Times New Roman" w:cs="Times New Roman"/>
          <w:sz w:val="24"/>
          <w:szCs w:val="24"/>
        </w:rPr>
        <w:t>,</w:t>
      </w:r>
      <w:r w:rsidRPr="001F202A">
        <w:rPr>
          <w:rFonts w:ascii="Times New Roman" w:hAnsi="Times New Roman" w:cs="Times New Roman"/>
          <w:sz w:val="24"/>
          <w:szCs w:val="24"/>
        </w:rPr>
        <w:t xml:space="preserve"> </w:t>
      </w:r>
      <w:r>
        <w:rPr>
          <w:rFonts w:ascii="Times New Roman" w:hAnsi="Times New Roman" w:cs="Times New Roman"/>
          <w:sz w:val="24"/>
          <w:szCs w:val="24"/>
        </w:rPr>
        <w:t xml:space="preserve">pubblicata </w:t>
      </w:r>
      <w:r w:rsidR="00A0231B">
        <w:rPr>
          <w:rFonts w:ascii="Times New Roman" w:hAnsi="Times New Roman" w:cs="Times New Roman"/>
          <w:sz w:val="24"/>
          <w:szCs w:val="24"/>
        </w:rPr>
        <w:t>ne</w:t>
      </w:r>
      <w:r w:rsidR="002972F1">
        <w:rPr>
          <w:rFonts w:ascii="Times New Roman" w:hAnsi="Times New Roman" w:cs="Times New Roman"/>
          <w:sz w:val="24"/>
          <w:szCs w:val="24"/>
        </w:rPr>
        <w:t xml:space="preserve">lla Gazzetta Ufficiale della UE </w:t>
      </w:r>
      <w:r>
        <w:rPr>
          <w:rFonts w:ascii="Times New Roman" w:hAnsi="Times New Roman" w:cs="Times New Roman"/>
          <w:sz w:val="24"/>
          <w:szCs w:val="24"/>
        </w:rPr>
        <w:t xml:space="preserve">il 16 dicembre </w:t>
      </w:r>
      <w:r w:rsidR="00A0231B">
        <w:rPr>
          <w:rFonts w:ascii="Times New Roman" w:hAnsi="Times New Roman" w:cs="Times New Roman"/>
          <w:sz w:val="24"/>
          <w:szCs w:val="24"/>
        </w:rPr>
        <w:t>successivo</w:t>
      </w:r>
      <w:r>
        <w:rPr>
          <w:rFonts w:ascii="Times New Roman" w:hAnsi="Times New Roman" w:cs="Times New Roman"/>
          <w:sz w:val="24"/>
          <w:szCs w:val="24"/>
        </w:rPr>
        <w:t xml:space="preserve"> ed entrata in vigore il 5 gennaio </w:t>
      </w:r>
      <w:r w:rsidR="00A0231B">
        <w:rPr>
          <w:rFonts w:ascii="Times New Roman" w:hAnsi="Times New Roman" w:cs="Times New Roman"/>
          <w:sz w:val="24"/>
          <w:szCs w:val="24"/>
        </w:rPr>
        <w:t>2023</w:t>
      </w:r>
      <w:r>
        <w:rPr>
          <w:rFonts w:ascii="Times New Roman" w:hAnsi="Times New Roman" w:cs="Times New Roman"/>
          <w:sz w:val="24"/>
          <w:szCs w:val="24"/>
        </w:rPr>
        <w:t xml:space="preserve"> </w:t>
      </w:r>
      <w:r w:rsidR="00A0231B">
        <w:rPr>
          <w:rFonts w:ascii="Times New Roman" w:hAnsi="Times New Roman" w:cs="Times New Roman"/>
          <w:sz w:val="24"/>
          <w:szCs w:val="24"/>
        </w:rPr>
        <w:t xml:space="preserve">con 18 mesi concessi per la sua adozione negli ordinamenti giuridici nazionali </w:t>
      </w:r>
      <w:r>
        <w:rPr>
          <w:rFonts w:ascii="Times New Roman" w:hAnsi="Times New Roman" w:cs="Times New Roman"/>
          <w:sz w:val="24"/>
          <w:szCs w:val="24"/>
        </w:rPr>
        <w:t>(</w:t>
      </w:r>
      <w:hyperlink r:id="rId7" w:history="1">
        <w:r w:rsidR="00A0231B" w:rsidRPr="003A03DE">
          <w:rPr>
            <w:rStyle w:val="Collegamentoipertestuale"/>
            <w:rFonts w:ascii="Times New Roman" w:hAnsi="Times New Roman" w:cs="Times New Roman"/>
            <w:sz w:val="24"/>
            <w:szCs w:val="24"/>
          </w:rPr>
          <w:t>https://eur-lex.europa.eu/legal-content/IT/TXT/PDF/?uri=CELEX:32022L2464</w:t>
        </w:r>
      </w:hyperlink>
      <w:r w:rsidR="00A0231B">
        <w:rPr>
          <w:rFonts w:ascii="Times New Roman" w:hAnsi="Times New Roman" w:cs="Times New Roman"/>
          <w:sz w:val="24"/>
          <w:szCs w:val="24"/>
        </w:rPr>
        <w:t>)</w:t>
      </w:r>
      <w:r>
        <w:rPr>
          <w:rFonts w:ascii="Times New Roman" w:hAnsi="Times New Roman" w:cs="Times New Roman"/>
          <w:sz w:val="24"/>
          <w:szCs w:val="24"/>
        </w:rPr>
        <w:t xml:space="preserve">, </w:t>
      </w:r>
      <w:r w:rsidRPr="001F202A">
        <w:rPr>
          <w:rFonts w:ascii="Times New Roman" w:hAnsi="Times New Roman" w:cs="Times New Roman"/>
          <w:sz w:val="24"/>
          <w:szCs w:val="24"/>
        </w:rPr>
        <w:t>aggiorna</w:t>
      </w:r>
      <w:r w:rsidR="00A0231B">
        <w:rPr>
          <w:rFonts w:ascii="Times New Roman" w:hAnsi="Times New Roman" w:cs="Times New Roman"/>
          <w:sz w:val="24"/>
          <w:szCs w:val="24"/>
        </w:rPr>
        <w:t xml:space="preserve"> in</w:t>
      </w:r>
      <w:r w:rsidRPr="001F202A">
        <w:rPr>
          <w:rFonts w:ascii="Times New Roman" w:hAnsi="Times New Roman" w:cs="Times New Roman"/>
          <w:sz w:val="24"/>
          <w:szCs w:val="24"/>
        </w:rPr>
        <w:t xml:space="preserve"> </w:t>
      </w:r>
      <w:r w:rsidR="002972F1">
        <w:rPr>
          <w:rFonts w:ascii="Times New Roman" w:hAnsi="Times New Roman" w:cs="Times New Roman"/>
          <w:sz w:val="24"/>
          <w:szCs w:val="24"/>
        </w:rPr>
        <w:t>profond</w:t>
      </w:r>
      <w:r w:rsidR="00A0231B">
        <w:rPr>
          <w:rFonts w:ascii="Times New Roman" w:hAnsi="Times New Roman" w:cs="Times New Roman"/>
          <w:sz w:val="24"/>
          <w:szCs w:val="24"/>
        </w:rPr>
        <w:t>ità</w:t>
      </w:r>
      <w:r w:rsidR="002972F1">
        <w:rPr>
          <w:rFonts w:ascii="Times New Roman" w:hAnsi="Times New Roman" w:cs="Times New Roman"/>
          <w:sz w:val="24"/>
          <w:szCs w:val="24"/>
        </w:rPr>
        <w:t xml:space="preserve"> </w:t>
      </w:r>
      <w:r w:rsidRPr="001F202A">
        <w:rPr>
          <w:rFonts w:ascii="Times New Roman" w:hAnsi="Times New Roman" w:cs="Times New Roman"/>
          <w:sz w:val="24"/>
          <w:szCs w:val="24"/>
        </w:rPr>
        <w:t xml:space="preserve">la </w:t>
      </w:r>
      <w:r w:rsidR="002972F1">
        <w:rPr>
          <w:rFonts w:ascii="Times New Roman" w:hAnsi="Times New Roman" w:cs="Times New Roman"/>
          <w:sz w:val="24"/>
          <w:szCs w:val="24"/>
        </w:rPr>
        <w:t xml:space="preserve">citata </w:t>
      </w:r>
      <w:r w:rsidRPr="001F202A">
        <w:rPr>
          <w:rFonts w:ascii="Times New Roman" w:hAnsi="Times New Roman" w:cs="Times New Roman"/>
          <w:sz w:val="24"/>
          <w:szCs w:val="24"/>
        </w:rPr>
        <w:t xml:space="preserve">precedente Direttiva europea </w:t>
      </w:r>
      <w:r w:rsidR="002972F1">
        <w:rPr>
          <w:rFonts w:ascii="Times New Roman" w:hAnsi="Times New Roman" w:cs="Times New Roman"/>
          <w:sz w:val="24"/>
          <w:szCs w:val="24"/>
        </w:rPr>
        <w:t xml:space="preserve">del 2014 </w:t>
      </w:r>
      <w:r w:rsidRPr="001F202A">
        <w:rPr>
          <w:rFonts w:ascii="Times New Roman" w:hAnsi="Times New Roman" w:cs="Times New Roman"/>
          <w:sz w:val="24"/>
          <w:szCs w:val="24"/>
        </w:rPr>
        <w:t xml:space="preserve">sull’informativa non </w:t>
      </w:r>
      <w:r w:rsidRPr="001F202A">
        <w:rPr>
          <w:rFonts w:ascii="Times New Roman" w:hAnsi="Times New Roman" w:cs="Times New Roman"/>
          <w:sz w:val="24"/>
          <w:szCs w:val="24"/>
        </w:rPr>
        <w:lastRenderedPageBreak/>
        <w:t>finanziaria</w:t>
      </w:r>
      <w:r w:rsidR="001B3D4C">
        <w:rPr>
          <w:rFonts w:ascii="Times New Roman" w:hAnsi="Times New Roman" w:cs="Times New Roman"/>
          <w:sz w:val="24"/>
          <w:szCs w:val="24"/>
        </w:rPr>
        <w:t xml:space="preserve">, </w:t>
      </w:r>
      <w:r w:rsidR="002972F1">
        <w:rPr>
          <w:rFonts w:ascii="Times New Roman" w:hAnsi="Times New Roman" w:cs="Times New Roman"/>
          <w:sz w:val="24"/>
          <w:szCs w:val="24"/>
        </w:rPr>
        <w:t xml:space="preserve">e </w:t>
      </w:r>
      <w:r w:rsidR="001B3D4C">
        <w:rPr>
          <w:rFonts w:ascii="Times New Roman" w:hAnsi="Times New Roman" w:cs="Times New Roman"/>
          <w:sz w:val="24"/>
          <w:szCs w:val="24"/>
        </w:rPr>
        <w:t xml:space="preserve">cambia </w:t>
      </w:r>
      <w:r w:rsidR="002972F1">
        <w:rPr>
          <w:rFonts w:ascii="Times New Roman" w:hAnsi="Times New Roman" w:cs="Times New Roman"/>
          <w:sz w:val="24"/>
          <w:szCs w:val="24"/>
        </w:rPr>
        <w:t xml:space="preserve">definitivamente </w:t>
      </w:r>
      <w:r w:rsidR="001B3D4C">
        <w:rPr>
          <w:rFonts w:ascii="Times New Roman" w:hAnsi="Times New Roman" w:cs="Times New Roman"/>
          <w:sz w:val="24"/>
          <w:szCs w:val="24"/>
        </w:rPr>
        <w:t xml:space="preserve">la denominazione di </w:t>
      </w:r>
      <w:r w:rsidRPr="007F709B">
        <w:rPr>
          <w:rFonts w:ascii="Times New Roman" w:hAnsi="Times New Roman" w:cs="Times New Roman"/>
          <w:sz w:val="24"/>
          <w:szCs w:val="24"/>
        </w:rPr>
        <w:t xml:space="preserve">questa forma di rendicontazione </w:t>
      </w:r>
      <w:r w:rsidR="001B3D4C">
        <w:rPr>
          <w:rFonts w:ascii="Times New Roman" w:hAnsi="Times New Roman" w:cs="Times New Roman"/>
          <w:sz w:val="24"/>
          <w:szCs w:val="24"/>
        </w:rPr>
        <w:t xml:space="preserve">in </w:t>
      </w:r>
      <w:r w:rsidRPr="007F709B">
        <w:rPr>
          <w:rFonts w:ascii="Times New Roman" w:hAnsi="Times New Roman" w:cs="Times New Roman"/>
          <w:sz w:val="24"/>
          <w:szCs w:val="24"/>
        </w:rPr>
        <w:t>“reporting di sostenibilità”</w:t>
      </w:r>
      <w:r>
        <w:rPr>
          <w:rFonts w:ascii="Times New Roman" w:hAnsi="Times New Roman" w:cs="Times New Roman"/>
          <w:sz w:val="24"/>
          <w:szCs w:val="24"/>
        </w:rPr>
        <w:t>.</w:t>
      </w:r>
      <w:r w:rsidRPr="007F709B">
        <w:rPr>
          <w:rFonts w:ascii="Times New Roman" w:hAnsi="Times New Roman" w:cs="Times New Roman"/>
          <w:sz w:val="24"/>
          <w:szCs w:val="24"/>
        </w:rPr>
        <w:t xml:space="preserve"> </w:t>
      </w:r>
    </w:p>
    <w:p w14:paraId="05C77F76" w14:textId="746605A7" w:rsidR="00A800B3" w:rsidRPr="001F202A" w:rsidRDefault="00A800B3" w:rsidP="00F6059A">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L’idea di fondo della Commissione europea, avallata poi anche dal Parlamento europeo, è quella di portare progressivamente la rendicontazione di sostenibilità allo stesso livello (“on equal footing”) di qualità e rilevanza del tradizionale reporting economico-finanziario.</w:t>
      </w:r>
    </w:p>
    <w:p w14:paraId="022BB217" w14:textId="261A777B" w:rsidR="00F6059A" w:rsidRPr="00633F9B" w:rsidRDefault="00F6059A" w:rsidP="00F6059A">
      <w:pPr>
        <w:autoSpaceDE w:val="0"/>
        <w:autoSpaceDN w:val="0"/>
        <w:adjustRightInd w:val="0"/>
        <w:spacing w:after="0" w:line="240" w:lineRule="auto"/>
        <w:jc w:val="both"/>
        <w:rPr>
          <w:rFonts w:ascii="Times New Roman" w:hAnsi="Times New Roman" w:cs="Times New Roman"/>
          <w:sz w:val="24"/>
          <w:szCs w:val="24"/>
        </w:rPr>
      </w:pPr>
      <w:r w:rsidRPr="00633F9B">
        <w:rPr>
          <w:rFonts w:ascii="Times New Roman" w:hAnsi="Times New Roman" w:cs="Times New Roman"/>
          <w:sz w:val="24"/>
          <w:szCs w:val="24"/>
        </w:rPr>
        <w:t xml:space="preserve">La CSRD estende in misura molto significativa l’applicazione di tale forma di reporting a tutte le imprese, banche e assicurazioni europee quotate e non quotate che </w:t>
      </w:r>
      <w:r w:rsidR="008A6FBA">
        <w:rPr>
          <w:rFonts w:ascii="Times New Roman" w:hAnsi="Times New Roman" w:cs="Times New Roman"/>
          <w:sz w:val="24"/>
          <w:szCs w:val="24"/>
        </w:rPr>
        <w:t xml:space="preserve">nell’anno precedente </w:t>
      </w:r>
      <w:r w:rsidRPr="00633F9B">
        <w:rPr>
          <w:rFonts w:ascii="Times New Roman" w:hAnsi="Times New Roman" w:cs="Times New Roman"/>
          <w:sz w:val="24"/>
          <w:szCs w:val="24"/>
        </w:rPr>
        <w:t xml:space="preserve">superino </w:t>
      </w:r>
      <w:r w:rsidRPr="008A6FBA">
        <w:rPr>
          <w:rFonts w:ascii="Times New Roman" w:hAnsi="Times New Roman" w:cs="Times New Roman"/>
          <w:sz w:val="24"/>
          <w:szCs w:val="24"/>
          <w:u w:val="single"/>
        </w:rPr>
        <w:t>due</w:t>
      </w:r>
      <w:r w:rsidRPr="00633F9B">
        <w:rPr>
          <w:rFonts w:ascii="Times New Roman" w:hAnsi="Times New Roman" w:cs="Times New Roman"/>
          <w:sz w:val="24"/>
          <w:szCs w:val="24"/>
        </w:rPr>
        <w:t xml:space="preserve"> delle seguenti tre soglie: numero di addetti superiore a 250 addetti; attivo di bilancio superiore ai 25 milioni di euro; e fatturato superiore ai 50 milioni di euro. </w:t>
      </w:r>
      <w:r w:rsidR="00633F9B">
        <w:rPr>
          <w:rFonts w:ascii="Times New Roman" w:hAnsi="Times New Roman" w:cs="Times New Roman"/>
          <w:sz w:val="24"/>
          <w:szCs w:val="24"/>
        </w:rPr>
        <w:t xml:space="preserve">Si noti che le soglie finanziarie sono state aggiornate successivamente con la Direttiva </w:t>
      </w:r>
      <w:r w:rsidR="008A6FBA">
        <w:rPr>
          <w:rFonts w:ascii="Times New Roman" w:hAnsi="Times New Roman" w:cs="Times New Roman"/>
          <w:sz w:val="24"/>
          <w:szCs w:val="24"/>
        </w:rPr>
        <w:t xml:space="preserve">n. </w:t>
      </w:r>
      <w:r w:rsidR="008A6FBA" w:rsidRPr="008A6FBA">
        <w:rPr>
          <w:rFonts w:ascii="Times New Roman" w:hAnsi="Times New Roman" w:cs="Times New Roman"/>
          <w:sz w:val="24"/>
          <w:szCs w:val="24"/>
        </w:rPr>
        <w:t>2023/2775</w:t>
      </w:r>
      <w:r w:rsidR="008A6FBA">
        <w:rPr>
          <w:rFonts w:ascii="Times New Roman" w:hAnsi="Times New Roman" w:cs="Times New Roman"/>
          <w:sz w:val="24"/>
          <w:szCs w:val="24"/>
        </w:rPr>
        <w:t xml:space="preserve"> </w:t>
      </w:r>
      <w:r w:rsidR="00DB6C23">
        <w:rPr>
          <w:rFonts w:ascii="Times New Roman" w:hAnsi="Times New Roman" w:cs="Times New Roman"/>
          <w:sz w:val="24"/>
          <w:szCs w:val="24"/>
        </w:rPr>
        <w:t>del 2</w:t>
      </w:r>
      <w:r w:rsidR="008A6FBA">
        <w:rPr>
          <w:rFonts w:ascii="Times New Roman" w:hAnsi="Times New Roman" w:cs="Times New Roman"/>
          <w:sz w:val="24"/>
          <w:szCs w:val="24"/>
        </w:rPr>
        <w:t>1</w:t>
      </w:r>
      <w:r w:rsidR="00DB6C23">
        <w:rPr>
          <w:rFonts w:ascii="Times New Roman" w:hAnsi="Times New Roman" w:cs="Times New Roman"/>
          <w:sz w:val="24"/>
          <w:szCs w:val="24"/>
        </w:rPr>
        <w:t xml:space="preserve"> dicembre 2023. Le medesime </w:t>
      </w:r>
      <w:r w:rsidRPr="00633F9B">
        <w:rPr>
          <w:rFonts w:ascii="Times New Roman" w:hAnsi="Times New Roman" w:cs="Times New Roman"/>
          <w:sz w:val="24"/>
          <w:szCs w:val="24"/>
        </w:rPr>
        <w:t xml:space="preserve">soglie valgono anche rispetto ai gruppi di imprese che dovranno produrre quindi un report di sostenibilità consolidato. </w:t>
      </w:r>
    </w:p>
    <w:p w14:paraId="0651D656" w14:textId="5576FF36" w:rsidR="00BB4362" w:rsidRDefault="00F6059A" w:rsidP="00F6059A">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 xml:space="preserve">La Direttiva prevede l’obbligo di predisporre il report di sostenibilità dal 2024 (quindi </w:t>
      </w:r>
      <w:r>
        <w:rPr>
          <w:rFonts w:ascii="Times New Roman" w:hAnsi="Times New Roman" w:cs="Times New Roman"/>
          <w:sz w:val="24"/>
          <w:szCs w:val="24"/>
        </w:rPr>
        <w:t xml:space="preserve">prima pubblicazione </w:t>
      </w:r>
      <w:r w:rsidRPr="001F202A">
        <w:rPr>
          <w:rFonts w:ascii="Times New Roman" w:hAnsi="Times New Roman" w:cs="Times New Roman"/>
          <w:sz w:val="24"/>
          <w:szCs w:val="24"/>
        </w:rPr>
        <w:t>a partire dal 2025) con la produzione dei primi rendiconti da parte delle imprese già assoggettate alla Direttiva sulle informazioni non finanziarie (in Italia D.</w:t>
      </w:r>
      <w:r w:rsidR="00D103A1">
        <w:rPr>
          <w:rFonts w:ascii="Times New Roman" w:hAnsi="Times New Roman" w:cs="Times New Roman"/>
          <w:sz w:val="24"/>
          <w:szCs w:val="24"/>
        </w:rPr>
        <w:t>l</w:t>
      </w:r>
      <w:r w:rsidRPr="001F202A">
        <w:rPr>
          <w:rFonts w:ascii="Times New Roman" w:hAnsi="Times New Roman" w:cs="Times New Roman"/>
          <w:sz w:val="24"/>
          <w:szCs w:val="24"/>
        </w:rPr>
        <w:t xml:space="preserve">gs. 254/2016), mentre a partire dal 2025 (e quindi </w:t>
      </w:r>
      <w:r w:rsidR="009150A4">
        <w:rPr>
          <w:rFonts w:ascii="Times New Roman" w:hAnsi="Times New Roman" w:cs="Times New Roman"/>
          <w:sz w:val="24"/>
          <w:szCs w:val="24"/>
        </w:rPr>
        <w:t xml:space="preserve">con primi report </w:t>
      </w:r>
      <w:r w:rsidRPr="001F202A">
        <w:rPr>
          <w:rFonts w:ascii="Times New Roman" w:hAnsi="Times New Roman" w:cs="Times New Roman"/>
          <w:sz w:val="24"/>
          <w:szCs w:val="24"/>
        </w:rPr>
        <w:t xml:space="preserve">all’inizio del 2026) per le imprese cui si applica per la prima volta questo obbligo informativo. Per le PMI quotate è previsto l’inizio due anni più tardi, ovvero dal 2026 (con </w:t>
      </w:r>
      <w:r w:rsidR="009150A4">
        <w:rPr>
          <w:rFonts w:ascii="Times New Roman" w:hAnsi="Times New Roman" w:cs="Times New Roman"/>
          <w:sz w:val="24"/>
          <w:szCs w:val="24"/>
        </w:rPr>
        <w:t xml:space="preserve">pubblicazione </w:t>
      </w:r>
      <w:r w:rsidRPr="001F202A">
        <w:rPr>
          <w:rFonts w:ascii="Times New Roman" w:hAnsi="Times New Roman" w:cs="Times New Roman"/>
          <w:sz w:val="24"/>
          <w:szCs w:val="24"/>
        </w:rPr>
        <w:t>effettiv</w:t>
      </w:r>
      <w:r w:rsidR="009150A4">
        <w:rPr>
          <w:rFonts w:ascii="Times New Roman" w:hAnsi="Times New Roman" w:cs="Times New Roman"/>
          <w:sz w:val="24"/>
          <w:szCs w:val="24"/>
        </w:rPr>
        <w:t>a</w:t>
      </w:r>
      <w:r w:rsidRPr="001F202A">
        <w:rPr>
          <w:rFonts w:ascii="Times New Roman" w:hAnsi="Times New Roman" w:cs="Times New Roman"/>
          <w:sz w:val="24"/>
          <w:szCs w:val="24"/>
        </w:rPr>
        <w:t xml:space="preserve"> </w:t>
      </w:r>
      <w:r w:rsidR="009150A4">
        <w:rPr>
          <w:rFonts w:ascii="Times New Roman" w:hAnsi="Times New Roman" w:cs="Times New Roman"/>
          <w:sz w:val="24"/>
          <w:szCs w:val="24"/>
        </w:rPr>
        <w:t xml:space="preserve">dei primi report </w:t>
      </w:r>
      <w:r w:rsidRPr="001F202A">
        <w:rPr>
          <w:rFonts w:ascii="Times New Roman" w:hAnsi="Times New Roman" w:cs="Times New Roman"/>
          <w:sz w:val="24"/>
          <w:szCs w:val="24"/>
        </w:rPr>
        <w:t xml:space="preserve">dal 2027). </w:t>
      </w:r>
    </w:p>
    <w:p w14:paraId="615BCABC" w14:textId="5D00E4AE" w:rsidR="00F6059A" w:rsidRPr="001F202A" w:rsidRDefault="00F6059A" w:rsidP="00F6059A">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Dal 2028 a</w:t>
      </w:r>
      <w:r w:rsidRPr="001F202A">
        <w:rPr>
          <w:rFonts w:ascii="Times New Roman" w:hAnsi="Times New Roman" w:cs="Times New Roman"/>
          <w:sz w:val="24"/>
          <w:szCs w:val="24"/>
        </w:rPr>
        <w:t xml:space="preserve">nche le imprese </w:t>
      </w:r>
      <w:r w:rsidR="00BB4362">
        <w:rPr>
          <w:rFonts w:ascii="Times New Roman" w:hAnsi="Times New Roman" w:cs="Times New Roman"/>
          <w:sz w:val="24"/>
          <w:szCs w:val="24"/>
        </w:rPr>
        <w:t xml:space="preserve">europee </w:t>
      </w:r>
      <w:r w:rsidRPr="001F202A">
        <w:rPr>
          <w:rFonts w:ascii="Times New Roman" w:hAnsi="Times New Roman" w:cs="Times New Roman"/>
          <w:sz w:val="24"/>
          <w:szCs w:val="24"/>
        </w:rPr>
        <w:t>che fanno capo a case madri esterne alla UE saranno assoggettate all’obbligo di predisposizione del report di sostenibilità secondo le regole europee ove il fatturato da esse realizzato nell’ambito della UE sia superiore ai 150 milioni di euro annui.</w:t>
      </w:r>
    </w:p>
    <w:p w14:paraId="197D78DA" w14:textId="77777777" w:rsidR="00F6059A" w:rsidRPr="001F202A" w:rsidRDefault="00F6059A" w:rsidP="00F6059A">
      <w:pPr>
        <w:autoSpaceDE w:val="0"/>
        <w:autoSpaceDN w:val="0"/>
        <w:adjustRightInd w:val="0"/>
        <w:spacing w:after="0" w:line="240" w:lineRule="auto"/>
        <w:jc w:val="both"/>
        <w:rPr>
          <w:rFonts w:ascii="Times New Roman" w:hAnsi="Times New Roman" w:cs="Times New Roman"/>
          <w:b/>
          <w:bCs/>
          <w:sz w:val="24"/>
          <w:szCs w:val="24"/>
        </w:rPr>
      </w:pPr>
      <w:r w:rsidRPr="001F202A">
        <w:rPr>
          <w:rFonts w:ascii="Times New Roman" w:hAnsi="Times New Roman" w:cs="Times New Roman"/>
          <w:sz w:val="24"/>
          <w:szCs w:val="24"/>
        </w:rPr>
        <w:t xml:space="preserve">Questo allargamento comporta che </w:t>
      </w:r>
      <w:r w:rsidRPr="009150A4">
        <w:rPr>
          <w:rFonts w:ascii="Times New Roman" w:hAnsi="Times New Roman" w:cs="Times New Roman"/>
          <w:sz w:val="24"/>
          <w:szCs w:val="24"/>
        </w:rPr>
        <w:t>la nuova normativa sulla rendicontazione di sostenibilità riguarderà circa 49mila imprese europee dalle 11mila odierne.</w:t>
      </w:r>
      <w:r w:rsidRPr="001F202A">
        <w:rPr>
          <w:rFonts w:ascii="Times New Roman" w:hAnsi="Times New Roman" w:cs="Times New Roman"/>
          <w:sz w:val="24"/>
          <w:szCs w:val="24"/>
        </w:rPr>
        <w:t xml:space="preserve"> Per le imprese</w:t>
      </w:r>
      <w:r w:rsidRPr="001F202A">
        <w:rPr>
          <w:rFonts w:ascii="Times New Roman" w:hAnsi="Times New Roman" w:cs="Times New Roman"/>
          <w:b/>
          <w:bCs/>
          <w:sz w:val="24"/>
          <w:szCs w:val="24"/>
        </w:rPr>
        <w:t xml:space="preserve"> </w:t>
      </w:r>
      <w:r w:rsidRPr="001F202A">
        <w:rPr>
          <w:rFonts w:ascii="Times New Roman" w:hAnsi="Times New Roman" w:cs="Times New Roman"/>
          <w:sz w:val="24"/>
          <w:szCs w:val="24"/>
        </w:rPr>
        <w:t>italiane si prevede un incremento da circa 200</w:t>
      </w:r>
      <w:r w:rsidRPr="001F202A">
        <w:rPr>
          <w:rFonts w:ascii="Times New Roman" w:hAnsi="Times New Roman" w:cs="Times New Roman"/>
          <w:b/>
          <w:bCs/>
          <w:sz w:val="24"/>
          <w:szCs w:val="24"/>
        </w:rPr>
        <w:t xml:space="preserve"> </w:t>
      </w:r>
      <w:r w:rsidRPr="001F202A">
        <w:rPr>
          <w:rFonts w:ascii="Times New Roman" w:hAnsi="Times New Roman" w:cs="Times New Roman"/>
          <w:sz w:val="24"/>
          <w:szCs w:val="24"/>
        </w:rPr>
        <w:t>aziende odierne a circa 5-6mila in un vicino</w:t>
      </w:r>
      <w:r w:rsidRPr="001F202A">
        <w:rPr>
          <w:rFonts w:ascii="Times New Roman" w:hAnsi="Times New Roman" w:cs="Times New Roman"/>
          <w:b/>
          <w:bCs/>
          <w:sz w:val="24"/>
          <w:szCs w:val="24"/>
        </w:rPr>
        <w:t xml:space="preserve"> </w:t>
      </w:r>
      <w:r w:rsidRPr="001F202A">
        <w:rPr>
          <w:rFonts w:ascii="Times New Roman" w:hAnsi="Times New Roman" w:cs="Times New Roman"/>
          <w:sz w:val="24"/>
          <w:szCs w:val="24"/>
        </w:rPr>
        <w:t>futuro (dal 2025). L’informativa di sostenibilità</w:t>
      </w:r>
      <w:r w:rsidRPr="001F202A">
        <w:rPr>
          <w:rFonts w:ascii="Times New Roman" w:hAnsi="Times New Roman" w:cs="Times New Roman"/>
          <w:b/>
          <w:bCs/>
          <w:sz w:val="24"/>
          <w:szCs w:val="24"/>
        </w:rPr>
        <w:t xml:space="preserve"> </w:t>
      </w:r>
      <w:r w:rsidRPr="001F202A">
        <w:rPr>
          <w:rFonts w:ascii="Times New Roman" w:hAnsi="Times New Roman" w:cs="Times New Roman"/>
          <w:sz w:val="24"/>
          <w:szCs w:val="24"/>
        </w:rPr>
        <w:t>dovrà essere necessariamente collocata in</w:t>
      </w:r>
      <w:r w:rsidRPr="001F202A">
        <w:rPr>
          <w:rFonts w:ascii="Times New Roman" w:hAnsi="Times New Roman" w:cs="Times New Roman"/>
          <w:b/>
          <w:bCs/>
          <w:sz w:val="24"/>
          <w:szCs w:val="24"/>
        </w:rPr>
        <w:t xml:space="preserve"> </w:t>
      </w:r>
      <w:r w:rsidRPr="001F202A">
        <w:rPr>
          <w:rFonts w:ascii="Times New Roman" w:hAnsi="Times New Roman" w:cs="Times New Roman"/>
          <w:sz w:val="24"/>
          <w:szCs w:val="24"/>
        </w:rPr>
        <w:t xml:space="preserve">un’apposita sezione all’interno della Relazione sulla Gestione, e non in un fascicolo a parte, divenendo così parte integrante e sostanziale del reporting </w:t>
      </w:r>
      <w:r>
        <w:rPr>
          <w:rFonts w:ascii="Times New Roman" w:hAnsi="Times New Roman" w:cs="Times New Roman"/>
          <w:sz w:val="24"/>
          <w:szCs w:val="24"/>
        </w:rPr>
        <w:t xml:space="preserve">esterno </w:t>
      </w:r>
      <w:r w:rsidRPr="001F202A">
        <w:rPr>
          <w:rFonts w:ascii="Times New Roman" w:hAnsi="Times New Roman" w:cs="Times New Roman"/>
          <w:sz w:val="24"/>
          <w:szCs w:val="24"/>
        </w:rPr>
        <w:t>aziendale. L’informazione di sostenibilità avrà natura quantitativa e qualitativa (narrativa), e dovrà essere di carattere retrospettivo ma anche prospettico (</w:t>
      </w:r>
      <w:r w:rsidRPr="001F202A">
        <w:rPr>
          <w:rFonts w:ascii="Times New Roman" w:hAnsi="Times New Roman" w:cs="Times New Roman"/>
          <w:i/>
          <w:iCs/>
          <w:sz w:val="24"/>
          <w:szCs w:val="24"/>
        </w:rPr>
        <w:t>forward-looking</w:t>
      </w:r>
      <w:r w:rsidRPr="001F202A">
        <w:rPr>
          <w:rFonts w:ascii="Times New Roman" w:hAnsi="Times New Roman" w:cs="Times New Roman"/>
          <w:sz w:val="24"/>
          <w:szCs w:val="24"/>
        </w:rPr>
        <w:t>).</w:t>
      </w:r>
    </w:p>
    <w:p w14:paraId="7D91F28C" w14:textId="0DEAF78D" w:rsidR="00F6059A" w:rsidRPr="001F202A" w:rsidRDefault="00114E7C" w:rsidP="00F6059A">
      <w:pPr>
        <w:autoSpaceDE w:val="0"/>
        <w:autoSpaceDN w:val="0"/>
        <w:adjustRightInd w:val="0"/>
        <w:spacing w:after="0" w:line="240" w:lineRule="auto"/>
        <w:jc w:val="both"/>
        <w:rPr>
          <w:rFonts w:ascii="Times New Roman" w:hAnsi="Times New Roman" w:cs="Times New Roman"/>
          <w:i/>
          <w:iCs/>
          <w:sz w:val="24"/>
          <w:szCs w:val="24"/>
        </w:rPr>
      </w:pPr>
      <w:r>
        <w:rPr>
          <w:rFonts w:ascii="Times New Roman" w:hAnsi="Times New Roman" w:cs="Times New Roman"/>
          <w:sz w:val="24"/>
          <w:szCs w:val="24"/>
        </w:rPr>
        <w:t>La Direttiva prevede anche che l</w:t>
      </w:r>
      <w:r w:rsidR="00F6059A" w:rsidRPr="001F202A">
        <w:rPr>
          <w:rFonts w:ascii="Times New Roman" w:hAnsi="Times New Roman" w:cs="Times New Roman"/>
          <w:sz w:val="24"/>
          <w:szCs w:val="24"/>
        </w:rPr>
        <w:t>a</w:t>
      </w:r>
      <w:r>
        <w:rPr>
          <w:rFonts w:ascii="Times New Roman" w:hAnsi="Times New Roman" w:cs="Times New Roman"/>
          <w:sz w:val="24"/>
          <w:szCs w:val="24"/>
        </w:rPr>
        <w:t xml:space="preserve"> UE</w:t>
      </w:r>
      <w:r w:rsidR="00F6059A" w:rsidRPr="001F202A">
        <w:rPr>
          <w:rFonts w:ascii="Times New Roman" w:hAnsi="Times New Roman" w:cs="Times New Roman"/>
          <w:sz w:val="24"/>
          <w:szCs w:val="24"/>
        </w:rPr>
        <w:t xml:space="preserve"> </w:t>
      </w:r>
      <w:r>
        <w:rPr>
          <w:rFonts w:ascii="Times New Roman" w:hAnsi="Times New Roman" w:cs="Times New Roman"/>
          <w:sz w:val="24"/>
          <w:szCs w:val="24"/>
        </w:rPr>
        <w:t>abbia</w:t>
      </w:r>
      <w:r w:rsidR="00F6059A">
        <w:rPr>
          <w:rFonts w:ascii="Times New Roman" w:hAnsi="Times New Roman" w:cs="Times New Roman"/>
          <w:sz w:val="24"/>
          <w:szCs w:val="24"/>
        </w:rPr>
        <w:t xml:space="preserve"> dei </w:t>
      </w:r>
      <w:r w:rsidR="00F6059A" w:rsidRPr="001F202A">
        <w:rPr>
          <w:rFonts w:ascii="Times New Roman" w:hAnsi="Times New Roman" w:cs="Times New Roman"/>
          <w:sz w:val="24"/>
          <w:szCs w:val="24"/>
        </w:rPr>
        <w:t xml:space="preserve">propri standard </w:t>
      </w:r>
      <w:r>
        <w:rPr>
          <w:rFonts w:ascii="Times New Roman" w:hAnsi="Times New Roman" w:cs="Times New Roman"/>
          <w:sz w:val="24"/>
          <w:szCs w:val="24"/>
        </w:rPr>
        <w:t xml:space="preserve">per il </w:t>
      </w:r>
      <w:r w:rsidR="00F6059A" w:rsidRPr="001F202A">
        <w:rPr>
          <w:rFonts w:ascii="Times New Roman" w:hAnsi="Times New Roman" w:cs="Times New Roman"/>
          <w:sz w:val="24"/>
          <w:szCs w:val="24"/>
        </w:rPr>
        <w:t>reporting di sostenibilità su tutte le tematiche ESG, improntati a una prospettiva multi-stakeholder (e non solo dell’investitore) e di natura sia generica (“</w:t>
      </w:r>
      <w:r w:rsidR="00F6059A" w:rsidRPr="001F202A">
        <w:rPr>
          <w:rFonts w:ascii="Times New Roman" w:hAnsi="Times New Roman" w:cs="Times New Roman"/>
          <w:i/>
          <w:iCs/>
          <w:sz w:val="24"/>
          <w:szCs w:val="24"/>
        </w:rPr>
        <w:t>sector agnostic</w:t>
      </w:r>
      <w:r w:rsidR="00F6059A" w:rsidRPr="001F202A">
        <w:rPr>
          <w:rFonts w:ascii="Times New Roman" w:hAnsi="Times New Roman" w:cs="Times New Roman"/>
          <w:sz w:val="24"/>
          <w:szCs w:val="24"/>
        </w:rPr>
        <w:t>”) che settoriale (“</w:t>
      </w:r>
      <w:r w:rsidR="00F6059A" w:rsidRPr="001F202A">
        <w:rPr>
          <w:rFonts w:ascii="Times New Roman" w:hAnsi="Times New Roman" w:cs="Times New Roman"/>
          <w:i/>
          <w:iCs/>
          <w:sz w:val="24"/>
          <w:szCs w:val="24"/>
        </w:rPr>
        <w:t>sector specific</w:t>
      </w:r>
      <w:r w:rsidR="00F6059A" w:rsidRPr="001F202A">
        <w:rPr>
          <w:rFonts w:ascii="Times New Roman" w:hAnsi="Times New Roman" w:cs="Times New Roman"/>
          <w:sz w:val="24"/>
          <w:szCs w:val="24"/>
        </w:rPr>
        <w:t xml:space="preserve">”). </w:t>
      </w:r>
      <w:r w:rsidR="009150A4">
        <w:rPr>
          <w:rFonts w:ascii="Times New Roman" w:hAnsi="Times New Roman" w:cs="Times New Roman"/>
          <w:sz w:val="24"/>
          <w:szCs w:val="24"/>
        </w:rPr>
        <w:t xml:space="preserve">Devono essere </w:t>
      </w:r>
      <w:r w:rsidR="00F6059A" w:rsidRPr="001F202A">
        <w:rPr>
          <w:rFonts w:ascii="Times New Roman" w:hAnsi="Times New Roman" w:cs="Times New Roman"/>
          <w:sz w:val="24"/>
          <w:szCs w:val="24"/>
        </w:rPr>
        <w:t xml:space="preserve">coerenti con le raccomandazioni della </w:t>
      </w:r>
      <w:r w:rsidR="00F6059A" w:rsidRPr="001F202A">
        <w:rPr>
          <w:rFonts w:ascii="Times New Roman" w:hAnsi="Times New Roman" w:cs="Times New Roman"/>
          <w:i/>
          <w:iCs/>
          <w:sz w:val="24"/>
          <w:szCs w:val="24"/>
        </w:rPr>
        <w:t xml:space="preserve">Task Force </w:t>
      </w:r>
      <w:r w:rsidR="009150A4">
        <w:rPr>
          <w:rFonts w:ascii="Times New Roman" w:hAnsi="Times New Roman" w:cs="Times New Roman"/>
          <w:i/>
          <w:iCs/>
          <w:sz w:val="24"/>
          <w:szCs w:val="24"/>
        </w:rPr>
        <w:t xml:space="preserve">on Climate-Related Financial Disclosures </w:t>
      </w:r>
      <w:r w:rsidR="00F6059A" w:rsidRPr="009150A4">
        <w:rPr>
          <w:rFonts w:ascii="Times New Roman" w:hAnsi="Times New Roman" w:cs="Times New Roman"/>
          <w:sz w:val="24"/>
          <w:szCs w:val="24"/>
        </w:rPr>
        <w:t xml:space="preserve">del </w:t>
      </w:r>
      <w:r w:rsidR="00F6059A" w:rsidRPr="001F202A">
        <w:rPr>
          <w:rFonts w:ascii="Times New Roman" w:hAnsi="Times New Roman" w:cs="Times New Roman"/>
          <w:i/>
          <w:iCs/>
          <w:sz w:val="24"/>
          <w:szCs w:val="24"/>
        </w:rPr>
        <w:t xml:space="preserve">Financial Stability Board </w:t>
      </w:r>
      <w:r w:rsidR="00F6059A" w:rsidRPr="001F202A">
        <w:rPr>
          <w:rFonts w:ascii="Times New Roman" w:hAnsi="Times New Roman" w:cs="Times New Roman"/>
          <w:sz w:val="24"/>
          <w:szCs w:val="24"/>
        </w:rPr>
        <w:t>(il “TCFD”),</w:t>
      </w:r>
      <w:r w:rsidR="00F6059A" w:rsidRPr="001F202A">
        <w:rPr>
          <w:rFonts w:ascii="Times New Roman" w:hAnsi="Times New Roman" w:cs="Times New Roman"/>
          <w:i/>
          <w:iCs/>
          <w:sz w:val="24"/>
          <w:szCs w:val="24"/>
        </w:rPr>
        <w:t xml:space="preserve"> </w:t>
      </w:r>
      <w:r w:rsidR="00F6059A" w:rsidRPr="001F202A">
        <w:rPr>
          <w:rFonts w:ascii="Times New Roman" w:hAnsi="Times New Roman" w:cs="Times New Roman"/>
          <w:sz w:val="24"/>
          <w:szCs w:val="24"/>
        </w:rPr>
        <w:t>e riflet</w:t>
      </w:r>
      <w:r w:rsidR="009150A4">
        <w:rPr>
          <w:rFonts w:ascii="Times New Roman" w:hAnsi="Times New Roman" w:cs="Times New Roman"/>
          <w:sz w:val="24"/>
          <w:szCs w:val="24"/>
        </w:rPr>
        <w:t>tere</w:t>
      </w:r>
      <w:r w:rsidR="00F6059A" w:rsidRPr="001F202A">
        <w:rPr>
          <w:rFonts w:ascii="Times New Roman" w:hAnsi="Times New Roman" w:cs="Times New Roman"/>
          <w:sz w:val="24"/>
          <w:szCs w:val="24"/>
        </w:rPr>
        <w:t xml:space="preserve"> le esigenze informative emergenti</w:t>
      </w:r>
      <w:r w:rsidR="00F6059A" w:rsidRPr="001F202A">
        <w:rPr>
          <w:rFonts w:ascii="Times New Roman" w:hAnsi="Times New Roman" w:cs="Times New Roman"/>
          <w:i/>
          <w:iCs/>
          <w:sz w:val="24"/>
          <w:szCs w:val="24"/>
        </w:rPr>
        <w:t xml:space="preserve"> </w:t>
      </w:r>
      <w:r w:rsidR="00F6059A" w:rsidRPr="001F202A">
        <w:rPr>
          <w:rFonts w:ascii="Times New Roman" w:hAnsi="Times New Roman" w:cs="Times New Roman"/>
          <w:sz w:val="24"/>
          <w:szCs w:val="24"/>
        </w:rPr>
        <w:t>dalla tassonomia verde della UE (“</w:t>
      </w:r>
      <w:r w:rsidR="00F6059A" w:rsidRPr="001F202A">
        <w:rPr>
          <w:rFonts w:ascii="Times New Roman" w:hAnsi="Times New Roman" w:cs="Times New Roman"/>
          <w:i/>
          <w:iCs/>
          <w:sz w:val="24"/>
          <w:szCs w:val="24"/>
        </w:rPr>
        <w:t>Green Taxonomy</w:t>
      </w:r>
      <w:r w:rsidR="00F6059A" w:rsidRPr="001F202A">
        <w:rPr>
          <w:rFonts w:ascii="Times New Roman" w:hAnsi="Times New Roman" w:cs="Times New Roman"/>
          <w:sz w:val="24"/>
          <w:szCs w:val="24"/>
        </w:rPr>
        <w:t>”), dal Regolamento europeo sull’informativa</w:t>
      </w:r>
      <w:r w:rsidR="00F6059A" w:rsidRPr="001F202A">
        <w:rPr>
          <w:rFonts w:ascii="Times New Roman" w:hAnsi="Times New Roman" w:cs="Times New Roman"/>
          <w:i/>
          <w:iCs/>
          <w:sz w:val="24"/>
          <w:szCs w:val="24"/>
        </w:rPr>
        <w:t xml:space="preserve"> </w:t>
      </w:r>
      <w:r w:rsidR="00F6059A" w:rsidRPr="001F202A">
        <w:rPr>
          <w:rFonts w:ascii="Times New Roman" w:hAnsi="Times New Roman" w:cs="Times New Roman"/>
          <w:sz w:val="24"/>
          <w:szCs w:val="24"/>
        </w:rPr>
        <w:t>relativa alla finanza sostenibile</w:t>
      </w:r>
      <w:r w:rsidR="00F6059A" w:rsidRPr="001F202A">
        <w:rPr>
          <w:rFonts w:ascii="Times New Roman" w:hAnsi="Times New Roman" w:cs="Times New Roman"/>
          <w:i/>
          <w:iCs/>
          <w:sz w:val="24"/>
          <w:szCs w:val="24"/>
        </w:rPr>
        <w:t xml:space="preserve"> </w:t>
      </w:r>
      <w:r w:rsidR="00F6059A" w:rsidRPr="001F202A">
        <w:rPr>
          <w:rFonts w:ascii="Times New Roman" w:hAnsi="Times New Roman" w:cs="Times New Roman"/>
          <w:sz w:val="24"/>
          <w:szCs w:val="24"/>
        </w:rPr>
        <w:t>(SFDR), dallo European Pillar on Social Rights</w:t>
      </w:r>
      <w:r w:rsidR="009150A4">
        <w:rPr>
          <w:rFonts w:ascii="Times New Roman" w:hAnsi="Times New Roman" w:cs="Times New Roman"/>
          <w:sz w:val="24"/>
          <w:szCs w:val="24"/>
        </w:rPr>
        <w:t>,</w:t>
      </w:r>
      <w:r w:rsidR="00F6059A" w:rsidRPr="001F202A">
        <w:rPr>
          <w:rFonts w:ascii="Times New Roman" w:hAnsi="Times New Roman" w:cs="Times New Roman"/>
          <w:sz w:val="24"/>
          <w:szCs w:val="24"/>
        </w:rPr>
        <w:t xml:space="preserve"> e dall’approvanda Direttiva sulla «</w:t>
      </w:r>
      <w:r w:rsidR="00F6059A" w:rsidRPr="001F202A">
        <w:rPr>
          <w:rFonts w:ascii="Times New Roman" w:hAnsi="Times New Roman" w:cs="Times New Roman"/>
          <w:i/>
          <w:iCs/>
          <w:sz w:val="24"/>
          <w:szCs w:val="24"/>
        </w:rPr>
        <w:t>Corporate</w:t>
      </w:r>
      <w:r w:rsidR="00F6059A" w:rsidRPr="001F202A">
        <w:rPr>
          <w:rFonts w:ascii="Times New Roman" w:hAnsi="Times New Roman" w:cs="Times New Roman"/>
          <w:sz w:val="24"/>
          <w:szCs w:val="24"/>
        </w:rPr>
        <w:t xml:space="preserve"> </w:t>
      </w:r>
      <w:r w:rsidR="00F6059A" w:rsidRPr="001F202A">
        <w:rPr>
          <w:rFonts w:ascii="Times New Roman" w:hAnsi="Times New Roman" w:cs="Times New Roman"/>
          <w:i/>
          <w:iCs/>
          <w:sz w:val="24"/>
          <w:szCs w:val="24"/>
        </w:rPr>
        <w:t>Sustainability Due Diligence</w:t>
      </w:r>
      <w:r w:rsidR="00F6059A" w:rsidRPr="001F202A">
        <w:rPr>
          <w:rFonts w:ascii="Times New Roman" w:hAnsi="Times New Roman" w:cs="Times New Roman"/>
          <w:sz w:val="24"/>
          <w:szCs w:val="24"/>
        </w:rPr>
        <w:t>» sulla governance della sostenibilità lungo la catena di fornitura e le relative responsabilità dei consigli di amministrazione</w:t>
      </w:r>
      <w:r w:rsidR="00915A28">
        <w:rPr>
          <w:rFonts w:ascii="Times New Roman" w:hAnsi="Times New Roman" w:cs="Times New Roman"/>
          <w:sz w:val="24"/>
          <w:szCs w:val="24"/>
        </w:rPr>
        <w:t xml:space="preserve"> societari</w:t>
      </w:r>
      <w:r w:rsidR="00F6059A" w:rsidRPr="001F202A">
        <w:rPr>
          <w:rFonts w:ascii="Times New Roman" w:hAnsi="Times New Roman" w:cs="Times New Roman"/>
          <w:sz w:val="24"/>
          <w:szCs w:val="24"/>
        </w:rPr>
        <w:t>.</w:t>
      </w:r>
    </w:p>
    <w:p w14:paraId="6312DD44" w14:textId="1A1993B0" w:rsidR="00F6059A" w:rsidRPr="001F202A" w:rsidRDefault="00F6059A" w:rsidP="00F6059A">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 xml:space="preserve">Come già ricordato, il primo set di standard di sostenibilità, elaborati </w:t>
      </w:r>
      <w:r w:rsidR="0093704D">
        <w:rPr>
          <w:rFonts w:ascii="Times New Roman" w:hAnsi="Times New Roman" w:cs="Times New Roman"/>
          <w:sz w:val="24"/>
          <w:szCs w:val="24"/>
        </w:rPr>
        <w:t xml:space="preserve">in bozza </w:t>
      </w:r>
      <w:r w:rsidRPr="001F202A">
        <w:rPr>
          <w:rFonts w:ascii="Times New Roman" w:hAnsi="Times New Roman" w:cs="Times New Roman"/>
          <w:sz w:val="24"/>
          <w:szCs w:val="24"/>
        </w:rPr>
        <w:t xml:space="preserve">dall’EFRAG e </w:t>
      </w:r>
      <w:r w:rsidR="0093704D">
        <w:rPr>
          <w:rFonts w:ascii="Times New Roman" w:hAnsi="Times New Roman" w:cs="Times New Roman"/>
          <w:sz w:val="24"/>
          <w:szCs w:val="24"/>
        </w:rPr>
        <w:t xml:space="preserve">adottati </w:t>
      </w:r>
      <w:r w:rsidRPr="001F202A">
        <w:rPr>
          <w:rFonts w:ascii="Times New Roman" w:hAnsi="Times New Roman" w:cs="Times New Roman"/>
          <w:sz w:val="24"/>
          <w:szCs w:val="24"/>
        </w:rPr>
        <w:t xml:space="preserve">dalla Commissione Europea con </w:t>
      </w:r>
      <w:r w:rsidR="0093704D">
        <w:rPr>
          <w:rFonts w:ascii="Times New Roman" w:hAnsi="Times New Roman" w:cs="Times New Roman"/>
          <w:sz w:val="24"/>
          <w:szCs w:val="24"/>
        </w:rPr>
        <w:t>A</w:t>
      </w:r>
      <w:r w:rsidRPr="001F202A">
        <w:rPr>
          <w:rFonts w:ascii="Times New Roman" w:hAnsi="Times New Roman" w:cs="Times New Roman"/>
          <w:sz w:val="24"/>
          <w:szCs w:val="24"/>
        </w:rPr>
        <w:t>tto delegato</w:t>
      </w:r>
      <w:r w:rsidR="0093704D">
        <w:rPr>
          <w:rFonts w:ascii="Times New Roman" w:hAnsi="Times New Roman" w:cs="Times New Roman"/>
          <w:sz w:val="24"/>
          <w:szCs w:val="24"/>
        </w:rPr>
        <w:t xml:space="preserve"> del 31 luglio 2023</w:t>
      </w:r>
      <w:r w:rsidRPr="001F202A">
        <w:rPr>
          <w:rFonts w:ascii="Times New Roman" w:hAnsi="Times New Roman" w:cs="Times New Roman"/>
          <w:sz w:val="24"/>
          <w:szCs w:val="24"/>
        </w:rPr>
        <w:t xml:space="preserve">, </w:t>
      </w:r>
      <w:r>
        <w:rPr>
          <w:rFonts w:ascii="Times New Roman" w:hAnsi="Times New Roman" w:cs="Times New Roman"/>
          <w:sz w:val="24"/>
          <w:szCs w:val="24"/>
        </w:rPr>
        <w:t xml:space="preserve">è stato </w:t>
      </w:r>
      <w:r w:rsidR="0093704D">
        <w:rPr>
          <w:rFonts w:ascii="Times New Roman" w:hAnsi="Times New Roman" w:cs="Times New Roman"/>
          <w:sz w:val="24"/>
          <w:szCs w:val="24"/>
        </w:rPr>
        <w:t xml:space="preserve">pubblicato e </w:t>
      </w:r>
      <w:r w:rsidRPr="001F202A">
        <w:rPr>
          <w:rFonts w:ascii="Times New Roman" w:hAnsi="Times New Roman" w:cs="Times New Roman"/>
          <w:sz w:val="24"/>
          <w:szCs w:val="24"/>
        </w:rPr>
        <w:t>reso obbligatorio</w:t>
      </w:r>
      <w:r>
        <w:rPr>
          <w:rFonts w:ascii="Times New Roman" w:hAnsi="Times New Roman" w:cs="Times New Roman"/>
          <w:sz w:val="24"/>
          <w:szCs w:val="24"/>
        </w:rPr>
        <w:t xml:space="preserve"> </w:t>
      </w:r>
      <w:r w:rsidR="0093704D">
        <w:rPr>
          <w:rFonts w:ascii="Times New Roman" w:hAnsi="Times New Roman" w:cs="Times New Roman"/>
          <w:sz w:val="24"/>
          <w:szCs w:val="24"/>
        </w:rPr>
        <w:t xml:space="preserve">con la pubblicazione nella Gazzetta Ufficial della UE </w:t>
      </w:r>
      <w:r w:rsidRPr="001F202A">
        <w:rPr>
          <w:rFonts w:ascii="Times New Roman" w:hAnsi="Times New Roman" w:cs="Times New Roman"/>
          <w:sz w:val="24"/>
          <w:szCs w:val="24"/>
        </w:rPr>
        <w:t xml:space="preserve">il </w:t>
      </w:r>
      <w:r w:rsidR="009150A4">
        <w:rPr>
          <w:rFonts w:ascii="Times New Roman" w:hAnsi="Times New Roman" w:cs="Times New Roman"/>
          <w:sz w:val="24"/>
          <w:szCs w:val="24"/>
        </w:rPr>
        <w:t>22 dicembre</w:t>
      </w:r>
      <w:r w:rsidRPr="001F202A">
        <w:rPr>
          <w:rFonts w:ascii="Times New Roman" w:hAnsi="Times New Roman" w:cs="Times New Roman"/>
          <w:sz w:val="24"/>
          <w:szCs w:val="24"/>
        </w:rPr>
        <w:t xml:space="preserve"> 2023, </w:t>
      </w:r>
      <w:r w:rsidR="0093704D">
        <w:rPr>
          <w:rFonts w:ascii="Times New Roman" w:hAnsi="Times New Roman" w:cs="Times New Roman"/>
          <w:sz w:val="24"/>
          <w:szCs w:val="24"/>
        </w:rPr>
        <w:t xml:space="preserve">mentre </w:t>
      </w:r>
      <w:r w:rsidRPr="001F202A">
        <w:rPr>
          <w:rFonts w:ascii="Times New Roman" w:hAnsi="Times New Roman" w:cs="Times New Roman"/>
          <w:sz w:val="24"/>
          <w:szCs w:val="24"/>
        </w:rPr>
        <w:t xml:space="preserve">il secondo set </w:t>
      </w:r>
      <w:r w:rsidR="0093704D">
        <w:rPr>
          <w:rFonts w:ascii="Times New Roman" w:hAnsi="Times New Roman" w:cs="Times New Roman"/>
          <w:sz w:val="24"/>
          <w:szCs w:val="24"/>
        </w:rPr>
        <w:t xml:space="preserve">di standard </w:t>
      </w:r>
      <w:r w:rsidRPr="001F202A">
        <w:rPr>
          <w:rFonts w:ascii="Times New Roman" w:hAnsi="Times New Roman" w:cs="Times New Roman"/>
          <w:sz w:val="24"/>
          <w:szCs w:val="24"/>
        </w:rPr>
        <w:t xml:space="preserve">(inclusi quelli settoriali e per le PMI) </w:t>
      </w:r>
      <w:r w:rsidR="0093704D">
        <w:rPr>
          <w:rFonts w:ascii="Times New Roman" w:hAnsi="Times New Roman" w:cs="Times New Roman"/>
          <w:sz w:val="24"/>
          <w:szCs w:val="24"/>
        </w:rPr>
        <w:t xml:space="preserve">dovrà essere elaborato in bozza dall’EFRAG entro </w:t>
      </w:r>
      <w:r w:rsidRPr="001F202A">
        <w:rPr>
          <w:rFonts w:ascii="Times New Roman" w:hAnsi="Times New Roman" w:cs="Times New Roman"/>
          <w:sz w:val="24"/>
          <w:szCs w:val="24"/>
        </w:rPr>
        <w:t>il 30 giugno 202</w:t>
      </w:r>
      <w:r>
        <w:rPr>
          <w:rFonts w:ascii="Times New Roman" w:hAnsi="Times New Roman" w:cs="Times New Roman"/>
          <w:sz w:val="24"/>
          <w:szCs w:val="24"/>
        </w:rPr>
        <w:t>6</w:t>
      </w:r>
      <w:r w:rsidRPr="001F202A">
        <w:rPr>
          <w:rFonts w:ascii="Times New Roman" w:hAnsi="Times New Roman" w:cs="Times New Roman"/>
          <w:sz w:val="24"/>
          <w:szCs w:val="24"/>
        </w:rPr>
        <w:t>. Gli standard saranno rivisti obbligatoriamente almeno ogni tre anni.</w:t>
      </w:r>
    </w:p>
    <w:p w14:paraId="65BF7602" w14:textId="3FD35F5C" w:rsidR="00F6059A" w:rsidRPr="001F202A" w:rsidRDefault="00F6059A" w:rsidP="00F6059A">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Al fine di aumentarne diffusione e comparabilità</w:t>
      </w:r>
      <w:r w:rsidR="0093704D">
        <w:rPr>
          <w:rFonts w:ascii="Times New Roman" w:hAnsi="Times New Roman" w:cs="Times New Roman"/>
          <w:sz w:val="24"/>
          <w:szCs w:val="24"/>
        </w:rPr>
        <w:t xml:space="preserve"> dell’informazione di sostenibilità</w:t>
      </w:r>
      <w:r w:rsidRPr="001F202A">
        <w:rPr>
          <w:rFonts w:ascii="Times New Roman" w:hAnsi="Times New Roman" w:cs="Times New Roman"/>
          <w:sz w:val="24"/>
          <w:szCs w:val="24"/>
        </w:rPr>
        <w:t xml:space="preserve">, </w:t>
      </w:r>
      <w:r w:rsidRPr="009150A4">
        <w:rPr>
          <w:rFonts w:ascii="Times New Roman" w:hAnsi="Times New Roman" w:cs="Times New Roman"/>
          <w:sz w:val="24"/>
          <w:szCs w:val="24"/>
        </w:rPr>
        <w:t>la Direttiva pone l’obbligo di rendere digitale l’informazione presente nel report di sostenibilità,</w:t>
      </w:r>
      <w:r w:rsidRPr="001F202A">
        <w:rPr>
          <w:rFonts w:ascii="Times New Roman" w:hAnsi="Times New Roman" w:cs="Times New Roman"/>
          <w:sz w:val="24"/>
          <w:szCs w:val="24"/>
        </w:rPr>
        <w:t xml:space="preserve"> utilizzando il linguaggio XHTML (con linguaggio di marcatura XBRL). </w:t>
      </w:r>
      <w:r w:rsidR="00D0210D">
        <w:rPr>
          <w:rFonts w:ascii="Times New Roman" w:hAnsi="Times New Roman" w:cs="Times New Roman"/>
          <w:sz w:val="24"/>
          <w:szCs w:val="24"/>
        </w:rPr>
        <w:t xml:space="preserve">In questa prospettiva, </w:t>
      </w:r>
      <w:r w:rsidR="00D0210D" w:rsidRPr="00BB4362">
        <w:rPr>
          <w:rFonts w:ascii="Times New Roman" w:hAnsi="Times New Roman" w:cs="Times New Roman"/>
          <w:sz w:val="24"/>
          <w:szCs w:val="24"/>
        </w:rPr>
        <w:t>l’</w:t>
      </w:r>
      <w:r w:rsidRPr="00BB4362">
        <w:rPr>
          <w:rFonts w:ascii="Times New Roman" w:hAnsi="Times New Roman" w:cs="Times New Roman"/>
          <w:sz w:val="24"/>
          <w:szCs w:val="24"/>
        </w:rPr>
        <w:t xml:space="preserve">EFRAG </w:t>
      </w:r>
      <w:r w:rsidR="00D0210D" w:rsidRPr="00BB4362">
        <w:rPr>
          <w:rFonts w:ascii="Times New Roman" w:hAnsi="Times New Roman" w:cs="Times New Roman"/>
          <w:sz w:val="24"/>
          <w:szCs w:val="24"/>
        </w:rPr>
        <w:t xml:space="preserve">– organismo di riferimento </w:t>
      </w:r>
      <w:r w:rsidR="00BB4362">
        <w:rPr>
          <w:rFonts w:ascii="Times New Roman" w:hAnsi="Times New Roman" w:cs="Times New Roman"/>
          <w:sz w:val="24"/>
          <w:szCs w:val="24"/>
        </w:rPr>
        <w:t xml:space="preserve">tecnico </w:t>
      </w:r>
      <w:r w:rsidR="00D0210D" w:rsidRPr="00BB4362">
        <w:rPr>
          <w:rFonts w:ascii="Times New Roman" w:hAnsi="Times New Roman" w:cs="Times New Roman"/>
          <w:sz w:val="24"/>
          <w:szCs w:val="24"/>
        </w:rPr>
        <w:t xml:space="preserve">europeo – </w:t>
      </w:r>
      <w:r w:rsidRPr="00BB4362">
        <w:rPr>
          <w:rFonts w:ascii="Times New Roman" w:hAnsi="Times New Roman" w:cs="Times New Roman"/>
          <w:sz w:val="24"/>
          <w:szCs w:val="24"/>
        </w:rPr>
        <w:t xml:space="preserve">è </w:t>
      </w:r>
      <w:r w:rsidR="00D0210D" w:rsidRPr="00BB4362">
        <w:rPr>
          <w:rFonts w:ascii="Times New Roman" w:hAnsi="Times New Roman" w:cs="Times New Roman"/>
          <w:sz w:val="24"/>
          <w:szCs w:val="24"/>
        </w:rPr>
        <w:t xml:space="preserve">stato </w:t>
      </w:r>
      <w:r w:rsidRPr="00BB4362">
        <w:rPr>
          <w:rFonts w:ascii="Times New Roman" w:hAnsi="Times New Roman" w:cs="Times New Roman"/>
          <w:sz w:val="24"/>
          <w:szCs w:val="24"/>
        </w:rPr>
        <w:t>impegnato in questi mesi</w:t>
      </w:r>
      <w:r>
        <w:rPr>
          <w:rFonts w:ascii="Times New Roman" w:hAnsi="Times New Roman" w:cs="Times New Roman"/>
          <w:sz w:val="24"/>
          <w:szCs w:val="24"/>
        </w:rPr>
        <w:t xml:space="preserve"> a </w:t>
      </w:r>
      <w:r w:rsidRPr="001F202A">
        <w:rPr>
          <w:rFonts w:ascii="Times New Roman" w:hAnsi="Times New Roman" w:cs="Times New Roman"/>
          <w:sz w:val="24"/>
          <w:szCs w:val="24"/>
        </w:rPr>
        <w:t>predisporre una tassonomia delle informazioni di sostenibilità con i relativi “tags” (etichette digitali)</w:t>
      </w:r>
      <w:r w:rsidR="00D0210D">
        <w:rPr>
          <w:rFonts w:ascii="Times New Roman" w:hAnsi="Times New Roman" w:cs="Times New Roman"/>
          <w:sz w:val="24"/>
          <w:szCs w:val="24"/>
        </w:rPr>
        <w:t xml:space="preserve"> che vedrà la luce </w:t>
      </w:r>
      <w:r w:rsidR="00FE4910">
        <w:rPr>
          <w:rFonts w:ascii="Times New Roman" w:hAnsi="Times New Roman" w:cs="Times New Roman"/>
          <w:sz w:val="24"/>
          <w:szCs w:val="24"/>
        </w:rPr>
        <w:t xml:space="preserve">e la propria adozione </w:t>
      </w:r>
      <w:r w:rsidR="00D0210D">
        <w:rPr>
          <w:rFonts w:ascii="Times New Roman" w:hAnsi="Times New Roman" w:cs="Times New Roman"/>
          <w:sz w:val="24"/>
          <w:szCs w:val="24"/>
        </w:rPr>
        <w:t xml:space="preserve">nel </w:t>
      </w:r>
      <w:r w:rsidR="00D0210D" w:rsidRPr="00FE4910">
        <w:rPr>
          <w:rFonts w:ascii="Times New Roman" w:hAnsi="Times New Roman" w:cs="Times New Roman"/>
          <w:sz w:val="24"/>
          <w:szCs w:val="24"/>
        </w:rPr>
        <w:t>2025</w:t>
      </w:r>
      <w:r w:rsidRPr="001F202A">
        <w:rPr>
          <w:rFonts w:ascii="Times New Roman" w:hAnsi="Times New Roman" w:cs="Times New Roman"/>
          <w:sz w:val="24"/>
          <w:szCs w:val="24"/>
        </w:rPr>
        <w:t>. Tutte le informazioni di sostenibilità digitalizzate dovranno essere pubblicate secondo un unico «</w:t>
      </w:r>
      <w:r w:rsidRPr="001F202A">
        <w:rPr>
          <w:rFonts w:ascii="Times New Roman" w:hAnsi="Times New Roman" w:cs="Times New Roman"/>
          <w:i/>
          <w:iCs/>
          <w:sz w:val="24"/>
          <w:szCs w:val="24"/>
        </w:rPr>
        <w:t>European Single Electronic Format</w:t>
      </w:r>
      <w:r w:rsidRPr="001F202A">
        <w:rPr>
          <w:rFonts w:ascii="Times New Roman" w:hAnsi="Times New Roman" w:cs="Times New Roman"/>
          <w:sz w:val="24"/>
          <w:szCs w:val="24"/>
        </w:rPr>
        <w:t>» (ESEF) e confluire nello «</w:t>
      </w:r>
      <w:r w:rsidRPr="001F202A">
        <w:rPr>
          <w:rFonts w:ascii="Times New Roman" w:hAnsi="Times New Roman" w:cs="Times New Roman"/>
          <w:i/>
          <w:iCs/>
          <w:sz w:val="24"/>
          <w:szCs w:val="24"/>
        </w:rPr>
        <w:t>European Single Access Point</w:t>
      </w:r>
      <w:r w:rsidRPr="001F202A">
        <w:rPr>
          <w:rFonts w:ascii="Times New Roman" w:hAnsi="Times New Roman" w:cs="Times New Roman"/>
          <w:sz w:val="24"/>
          <w:szCs w:val="24"/>
        </w:rPr>
        <w:t>» (ESAP).</w:t>
      </w:r>
    </w:p>
    <w:p w14:paraId="7D1F11AD" w14:textId="77777777" w:rsidR="00F6059A" w:rsidRDefault="00F6059A" w:rsidP="00F6059A">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lastRenderedPageBreak/>
        <w:t>La supervisione e l’</w:t>
      </w:r>
      <w:r w:rsidRPr="001F202A">
        <w:rPr>
          <w:rFonts w:ascii="Times New Roman" w:hAnsi="Times New Roman" w:cs="Times New Roman"/>
          <w:i/>
          <w:iCs/>
          <w:sz w:val="24"/>
          <w:szCs w:val="24"/>
        </w:rPr>
        <w:t xml:space="preserve">enforcement </w:t>
      </w:r>
      <w:r w:rsidRPr="001F202A">
        <w:rPr>
          <w:rFonts w:ascii="Times New Roman" w:hAnsi="Times New Roman" w:cs="Times New Roman"/>
          <w:sz w:val="24"/>
          <w:szCs w:val="24"/>
        </w:rPr>
        <w:t>della nuova normativa sarà affidata alle varie «</w:t>
      </w:r>
      <w:r w:rsidRPr="001F202A">
        <w:rPr>
          <w:rFonts w:ascii="Times New Roman" w:hAnsi="Times New Roman" w:cs="Times New Roman"/>
          <w:i/>
          <w:iCs/>
          <w:sz w:val="24"/>
          <w:szCs w:val="24"/>
        </w:rPr>
        <w:t>National</w:t>
      </w:r>
      <w:r w:rsidRPr="001F202A">
        <w:rPr>
          <w:rFonts w:ascii="Times New Roman" w:hAnsi="Times New Roman" w:cs="Times New Roman"/>
          <w:sz w:val="24"/>
          <w:szCs w:val="24"/>
        </w:rPr>
        <w:t xml:space="preserve"> </w:t>
      </w:r>
      <w:r w:rsidRPr="001F202A">
        <w:rPr>
          <w:rFonts w:ascii="Times New Roman" w:hAnsi="Times New Roman" w:cs="Times New Roman"/>
          <w:i/>
          <w:iCs/>
          <w:sz w:val="24"/>
          <w:szCs w:val="24"/>
        </w:rPr>
        <w:t>Competent Authorities</w:t>
      </w:r>
      <w:r w:rsidRPr="001F202A">
        <w:rPr>
          <w:rFonts w:ascii="Times New Roman" w:hAnsi="Times New Roman" w:cs="Times New Roman"/>
          <w:sz w:val="24"/>
          <w:szCs w:val="24"/>
        </w:rPr>
        <w:t xml:space="preserve">». </w:t>
      </w:r>
    </w:p>
    <w:p w14:paraId="2BF609B8" w14:textId="2711691F" w:rsidR="00F6059A" w:rsidRPr="001F202A" w:rsidRDefault="00F6059A" w:rsidP="00F6059A">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Nella nuova Direttiva europea viene riaffermato il principio della “</w:t>
      </w:r>
      <w:r w:rsidRPr="001F202A">
        <w:rPr>
          <w:rFonts w:ascii="Times New Roman" w:hAnsi="Times New Roman" w:cs="Times New Roman"/>
          <w:b/>
          <w:bCs/>
          <w:sz w:val="24"/>
          <w:szCs w:val="24"/>
        </w:rPr>
        <w:t>doppia materialità</w:t>
      </w:r>
      <w:r w:rsidRPr="001F202A">
        <w:rPr>
          <w:rFonts w:ascii="Times New Roman" w:hAnsi="Times New Roman" w:cs="Times New Roman"/>
          <w:sz w:val="24"/>
          <w:szCs w:val="24"/>
        </w:rPr>
        <w:t>” che deve informare gli ESRS, secondo il quale un’informazione, per essere materiale (cioè</w:t>
      </w:r>
      <w:r w:rsidR="00D103A1">
        <w:rPr>
          <w:rFonts w:ascii="Times New Roman" w:hAnsi="Times New Roman" w:cs="Times New Roman"/>
          <w:sz w:val="24"/>
          <w:szCs w:val="24"/>
        </w:rPr>
        <w:t xml:space="preserve"> </w:t>
      </w:r>
      <w:r w:rsidRPr="001F202A">
        <w:rPr>
          <w:rFonts w:ascii="Times New Roman" w:hAnsi="Times New Roman" w:cs="Times New Roman"/>
          <w:sz w:val="24"/>
          <w:szCs w:val="24"/>
        </w:rPr>
        <w:t xml:space="preserve">significativa), e dunque essere inserita nel report di sostenibilità, deve essere </w:t>
      </w:r>
      <w:r w:rsidRPr="001F202A">
        <w:rPr>
          <w:rFonts w:ascii="Times New Roman" w:hAnsi="Times New Roman" w:cs="Times New Roman"/>
          <w:b/>
          <w:bCs/>
          <w:sz w:val="24"/>
          <w:szCs w:val="24"/>
        </w:rPr>
        <w:t xml:space="preserve">rilevante </w:t>
      </w:r>
      <w:r w:rsidR="003F3DD2">
        <w:rPr>
          <w:rFonts w:ascii="Times New Roman" w:hAnsi="Times New Roman" w:cs="Times New Roman"/>
          <w:b/>
          <w:bCs/>
          <w:sz w:val="24"/>
          <w:szCs w:val="24"/>
        </w:rPr>
        <w:t xml:space="preserve">o </w:t>
      </w:r>
      <w:r w:rsidRPr="001F202A">
        <w:rPr>
          <w:rFonts w:ascii="Times New Roman" w:hAnsi="Times New Roman" w:cs="Times New Roman"/>
          <w:b/>
          <w:bCs/>
          <w:sz w:val="24"/>
          <w:szCs w:val="24"/>
        </w:rPr>
        <w:t xml:space="preserve">per l’impresa </w:t>
      </w:r>
      <w:r w:rsidR="000F2C55">
        <w:rPr>
          <w:rFonts w:ascii="Times New Roman" w:hAnsi="Times New Roman" w:cs="Times New Roman"/>
          <w:b/>
          <w:bCs/>
          <w:sz w:val="24"/>
          <w:szCs w:val="24"/>
        </w:rPr>
        <w:t xml:space="preserve">(“financial materiality”) </w:t>
      </w:r>
      <w:r w:rsidRPr="001F202A">
        <w:rPr>
          <w:rFonts w:ascii="Times New Roman" w:hAnsi="Times New Roman" w:cs="Times New Roman"/>
          <w:sz w:val="24"/>
          <w:szCs w:val="24"/>
        </w:rPr>
        <w:t xml:space="preserve">oppure </w:t>
      </w:r>
      <w:r w:rsidRPr="001F202A">
        <w:rPr>
          <w:rFonts w:ascii="Times New Roman" w:hAnsi="Times New Roman" w:cs="Times New Roman"/>
          <w:b/>
          <w:bCs/>
          <w:sz w:val="24"/>
          <w:szCs w:val="24"/>
        </w:rPr>
        <w:t>per il</w:t>
      </w:r>
      <w:r w:rsidRPr="001F202A">
        <w:rPr>
          <w:rFonts w:ascii="Times New Roman" w:hAnsi="Times New Roman" w:cs="Times New Roman"/>
          <w:sz w:val="24"/>
          <w:szCs w:val="24"/>
        </w:rPr>
        <w:t xml:space="preserve"> </w:t>
      </w:r>
      <w:r w:rsidRPr="001F202A">
        <w:rPr>
          <w:rFonts w:ascii="Times New Roman" w:hAnsi="Times New Roman" w:cs="Times New Roman"/>
          <w:b/>
          <w:bCs/>
          <w:sz w:val="24"/>
          <w:szCs w:val="24"/>
        </w:rPr>
        <w:t>contesto socio-ambientale di riferimento</w:t>
      </w:r>
      <w:r w:rsidRPr="000F2C55">
        <w:rPr>
          <w:rFonts w:ascii="Times New Roman" w:hAnsi="Times New Roman" w:cs="Times New Roman"/>
          <w:b/>
          <w:bCs/>
          <w:sz w:val="24"/>
          <w:szCs w:val="24"/>
        </w:rPr>
        <w:t xml:space="preserve"> </w:t>
      </w:r>
      <w:r w:rsidR="000F2C55" w:rsidRPr="000F2C55">
        <w:rPr>
          <w:rFonts w:ascii="Times New Roman" w:hAnsi="Times New Roman" w:cs="Times New Roman"/>
          <w:b/>
          <w:bCs/>
          <w:sz w:val="24"/>
          <w:szCs w:val="24"/>
        </w:rPr>
        <w:t>(“impact materiality”)</w:t>
      </w:r>
      <w:r w:rsidR="000F2C55">
        <w:rPr>
          <w:rFonts w:ascii="Times New Roman" w:hAnsi="Times New Roman" w:cs="Times New Roman"/>
          <w:sz w:val="24"/>
          <w:szCs w:val="24"/>
        </w:rPr>
        <w:t xml:space="preserve"> </w:t>
      </w:r>
      <w:r w:rsidRPr="001F202A">
        <w:rPr>
          <w:rFonts w:ascii="Times New Roman" w:hAnsi="Times New Roman" w:cs="Times New Roman"/>
          <w:sz w:val="24"/>
          <w:szCs w:val="24"/>
        </w:rPr>
        <w:t>con riguardo ai fattori ESG (“</w:t>
      </w:r>
      <w:r w:rsidRPr="001F202A">
        <w:rPr>
          <w:rFonts w:ascii="Times New Roman" w:hAnsi="Times New Roman" w:cs="Times New Roman"/>
          <w:i/>
          <w:iCs/>
          <w:sz w:val="24"/>
          <w:szCs w:val="24"/>
        </w:rPr>
        <w:t>Environment, Social,</w:t>
      </w:r>
      <w:r w:rsidRPr="001F202A">
        <w:rPr>
          <w:rFonts w:ascii="Times New Roman" w:hAnsi="Times New Roman" w:cs="Times New Roman"/>
          <w:sz w:val="24"/>
          <w:szCs w:val="24"/>
        </w:rPr>
        <w:t xml:space="preserve"> </w:t>
      </w:r>
      <w:r w:rsidRPr="001F202A">
        <w:rPr>
          <w:rFonts w:ascii="Times New Roman" w:hAnsi="Times New Roman" w:cs="Times New Roman"/>
          <w:i/>
          <w:iCs/>
          <w:sz w:val="24"/>
          <w:szCs w:val="24"/>
        </w:rPr>
        <w:t>Governance</w:t>
      </w:r>
      <w:r w:rsidRPr="001F202A">
        <w:rPr>
          <w:rFonts w:ascii="Times New Roman" w:hAnsi="Times New Roman" w:cs="Times New Roman"/>
          <w:sz w:val="24"/>
          <w:szCs w:val="24"/>
        </w:rPr>
        <w:t>”)</w:t>
      </w:r>
      <w:r w:rsidR="000F2C55">
        <w:rPr>
          <w:rFonts w:ascii="Times New Roman" w:hAnsi="Times New Roman" w:cs="Times New Roman"/>
          <w:sz w:val="24"/>
          <w:szCs w:val="24"/>
        </w:rPr>
        <w:t xml:space="preserve">, superando quindi l’impostazione di una rilevanza meramente </w:t>
      </w:r>
      <w:r w:rsidR="004E62B7">
        <w:rPr>
          <w:rFonts w:ascii="Times New Roman" w:hAnsi="Times New Roman" w:cs="Times New Roman"/>
          <w:sz w:val="24"/>
          <w:szCs w:val="24"/>
        </w:rPr>
        <w:t>finanziaria delle informazioni che devono comporre il report di sostenibilità europeo, che deve pertanto ospitare informazioni di ambedue le prospettive.</w:t>
      </w:r>
    </w:p>
    <w:p w14:paraId="540A4DC9" w14:textId="7ACAC462" w:rsidR="00F6059A" w:rsidRPr="001F202A" w:rsidRDefault="00F6059A" w:rsidP="00F6059A">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La Direttiva introduce inoltre un’assol</w:t>
      </w:r>
      <w:r w:rsidRPr="00D103A1">
        <w:rPr>
          <w:rFonts w:ascii="Times New Roman" w:hAnsi="Times New Roman" w:cs="Times New Roman"/>
          <w:sz w:val="24"/>
          <w:szCs w:val="24"/>
        </w:rPr>
        <w:t>uta novità nel mondo del reporting aziendale, ovvero l’obbligo di rendicontare</w:t>
      </w:r>
      <w:r w:rsidR="00D103A1">
        <w:rPr>
          <w:rFonts w:ascii="Times New Roman" w:hAnsi="Times New Roman" w:cs="Times New Roman"/>
          <w:sz w:val="24"/>
          <w:szCs w:val="24"/>
        </w:rPr>
        <w:t>,</w:t>
      </w:r>
      <w:r w:rsidRPr="00D103A1">
        <w:rPr>
          <w:rFonts w:ascii="Times New Roman" w:hAnsi="Times New Roman" w:cs="Times New Roman"/>
          <w:sz w:val="24"/>
          <w:szCs w:val="24"/>
        </w:rPr>
        <w:t xml:space="preserve"> nell’ambito della Relazione sulla gestione</w:t>
      </w:r>
      <w:r w:rsidR="00D103A1">
        <w:rPr>
          <w:rFonts w:ascii="Times New Roman" w:hAnsi="Times New Roman" w:cs="Times New Roman"/>
          <w:sz w:val="24"/>
          <w:szCs w:val="24"/>
        </w:rPr>
        <w:t>,</w:t>
      </w:r>
      <w:r w:rsidRPr="00D103A1">
        <w:rPr>
          <w:rFonts w:ascii="Times New Roman" w:hAnsi="Times New Roman" w:cs="Times New Roman"/>
          <w:sz w:val="24"/>
          <w:szCs w:val="24"/>
        </w:rPr>
        <w:t xml:space="preserve"> </w:t>
      </w:r>
      <w:r w:rsidR="00D103A1" w:rsidRPr="00D103A1">
        <w:rPr>
          <w:rFonts w:ascii="Times New Roman" w:hAnsi="Times New Roman" w:cs="Times New Roman"/>
          <w:sz w:val="24"/>
          <w:szCs w:val="24"/>
        </w:rPr>
        <w:t>in merito a</w:t>
      </w:r>
      <w:r w:rsidRPr="00D103A1">
        <w:rPr>
          <w:rFonts w:ascii="Times New Roman" w:hAnsi="Times New Roman" w:cs="Times New Roman"/>
          <w:sz w:val="24"/>
          <w:szCs w:val="24"/>
        </w:rPr>
        <w:t xml:space="preserve">gli </w:t>
      </w:r>
      <w:r w:rsidRPr="001F202A">
        <w:rPr>
          <w:rFonts w:ascii="Times New Roman" w:hAnsi="Times New Roman" w:cs="Times New Roman"/>
          <w:b/>
          <w:bCs/>
          <w:sz w:val="24"/>
          <w:szCs w:val="24"/>
        </w:rPr>
        <w:t>intangibili</w:t>
      </w:r>
      <w:r w:rsidRPr="001F202A">
        <w:rPr>
          <w:rFonts w:ascii="Times New Roman" w:hAnsi="Times New Roman" w:cs="Times New Roman"/>
          <w:sz w:val="24"/>
          <w:szCs w:val="24"/>
        </w:rPr>
        <w:t xml:space="preserve"> internamente generati che non compaiono nello stato patrimoniale delle società, se e solo se legati alla sostenibilità. La Direttiva introduce il concetto di intangibili, definendoli come “risorse non fisiche che contribuiscono alla creazione di valore dell’impresa”; per poi richiedere che “le imprese comunicano inoltre informazioni sulle attività immateriali, comprese informazioni concernenti il capitale intellettuale, umano, sociale e relazionale”.</w:t>
      </w:r>
      <w:r w:rsidR="00D0210D">
        <w:rPr>
          <w:rFonts w:ascii="Times New Roman" w:hAnsi="Times New Roman" w:cs="Times New Roman"/>
          <w:sz w:val="24"/>
          <w:szCs w:val="24"/>
        </w:rPr>
        <w:t xml:space="preserve"> </w:t>
      </w:r>
      <w:r w:rsidRPr="001F202A">
        <w:rPr>
          <w:rFonts w:ascii="Times New Roman" w:hAnsi="Times New Roman" w:cs="Times New Roman"/>
          <w:sz w:val="24"/>
          <w:szCs w:val="24"/>
        </w:rPr>
        <w:t>Questa novità è di grande rilevanza per il reporting per via del ruolo cruciale – riconosciuto esplicitamente anche dalla Direttiva – delle risorse intangibili per la creazione di valore aziendale nel breve, medio e lungo termine e anche per il perseguimento di molti obiettivi di sviluppo sostenibile (ad esempio, i Goal 3 “Salute e benessere”, 4 “Istruzione di qualità”, 5 “Parità di genere”, 8 “Lavoro dignitoso e crescita economica”), come messo in evidenza dal position paper “Unlocking and Revealing the Value of Intangibles in Delivering SDGs”</w:t>
      </w:r>
      <w:r w:rsidRPr="001F202A">
        <w:rPr>
          <w:rFonts w:ascii="Times New Roman" w:hAnsi="Times New Roman" w:cs="Times New Roman"/>
          <w:sz w:val="14"/>
          <w:szCs w:val="14"/>
        </w:rPr>
        <w:t xml:space="preserve"> </w:t>
      </w:r>
      <w:r w:rsidRPr="001F202A">
        <w:rPr>
          <w:rFonts w:ascii="Times New Roman" w:hAnsi="Times New Roman" w:cs="Times New Roman"/>
          <w:sz w:val="24"/>
          <w:szCs w:val="24"/>
        </w:rPr>
        <w:t>(</w:t>
      </w:r>
      <w:hyperlink r:id="rId8" w:anchor="post-2179" w:history="1">
        <w:r w:rsidRPr="001F202A">
          <w:rPr>
            <w:rStyle w:val="Collegamentoipertestuale"/>
            <w:rFonts w:ascii="Times New Roman" w:hAnsi="Times New Roman" w:cs="Times New Roman"/>
            <w:sz w:val="24"/>
            <w:szCs w:val="24"/>
          </w:rPr>
          <w:t>https://www.wici-global.com/useful_resorces_publications#post-2179</w:t>
        </w:r>
      </w:hyperlink>
      <w:r w:rsidRPr="001F202A">
        <w:rPr>
          <w:rFonts w:ascii="Times New Roman" w:hAnsi="Times New Roman" w:cs="Times New Roman"/>
          <w:sz w:val="24"/>
          <w:szCs w:val="24"/>
        </w:rPr>
        <w:t>) dell’ottobre 2021, congiuntamente presentato dal WICI Global Network e dalla Value Reporting Foundation al Working Group del Sustainable Finance nell’ambito dell’edizione italiana del G20 e del B20.</w:t>
      </w:r>
    </w:p>
    <w:p w14:paraId="0B540A1B" w14:textId="5B88D76B" w:rsidR="00A800B3" w:rsidRDefault="00F6059A" w:rsidP="00F6059A">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 xml:space="preserve">La Direttiva, inoltre, estende a tutti i report di sostenibilità che </w:t>
      </w:r>
      <w:r w:rsidRPr="00D0210D">
        <w:rPr>
          <w:rFonts w:ascii="Times New Roman" w:hAnsi="Times New Roman" w:cs="Times New Roman"/>
          <w:sz w:val="24"/>
          <w:szCs w:val="24"/>
        </w:rPr>
        <w:t>sono redatti in base alle proprie norme l’obbligo di essere assoggettati alla c.d. “</w:t>
      </w:r>
      <w:r w:rsidRPr="00D0210D">
        <w:rPr>
          <w:rFonts w:ascii="Times New Roman" w:hAnsi="Times New Roman" w:cs="Times New Roman"/>
          <w:i/>
          <w:iCs/>
          <w:sz w:val="24"/>
          <w:szCs w:val="24"/>
        </w:rPr>
        <w:t>limited assurance</w:t>
      </w:r>
      <w:r w:rsidRPr="00D0210D">
        <w:rPr>
          <w:rFonts w:ascii="Times New Roman" w:hAnsi="Times New Roman" w:cs="Times New Roman"/>
          <w:sz w:val="24"/>
          <w:szCs w:val="24"/>
        </w:rPr>
        <w:t>”, nella prospettiva di raggiungere entro sei anni la “</w:t>
      </w:r>
      <w:r w:rsidRPr="00D0210D">
        <w:rPr>
          <w:rFonts w:ascii="Times New Roman" w:hAnsi="Times New Roman" w:cs="Times New Roman"/>
          <w:i/>
          <w:iCs/>
          <w:sz w:val="24"/>
          <w:szCs w:val="24"/>
        </w:rPr>
        <w:t>reasonable</w:t>
      </w:r>
      <w:r w:rsidRPr="00D0210D">
        <w:rPr>
          <w:rFonts w:ascii="Times New Roman" w:hAnsi="Times New Roman" w:cs="Times New Roman"/>
          <w:sz w:val="24"/>
          <w:szCs w:val="24"/>
        </w:rPr>
        <w:t xml:space="preserve"> </w:t>
      </w:r>
      <w:r w:rsidRPr="00D0210D">
        <w:rPr>
          <w:rFonts w:ascii="Times New Roman" w:hAnsi="Times New Roman" w:cs="Times New Roman"/>
          <w:i/>
          <w:iCs/>
          <w:sz w:val="24"/>
          <w:szCs w:val="24"/>
        </w:rPr>
        <w:t>assurance</w:t>
      </w:r>
      <w:r w:rsidRPr="00D0210D">
        <w:rPr>
          <w:rFonts w:ascii="Times New Roman" w:hAnsi="Times New Roman" w:cs="Times New Roman"/>
          <w:sz w:val="24"/>
          <w:szCs w:val="24"/>
        </w:rPr>
        <w:t>”, ovvero quella tipi</w:t>
      </w:r>
      <w:r w:rsidRPr="001F202A">
        <w:rPr>
          <w:rFonts w:ascii="Times New Roman" w:hAnsi="Times New Roman" w:cs="Times New Roman"/>
          <w:sz w:val="24"/>
          <w:szCs w:val="24"/>
        </w:rPr>
        <w:t>ca del bilancio economico-finanziario, entro un lasso di tempo sufficientemente contenuto</w:t>
      </w:r>
      <w:r w:rsidR="00FC1D2E">
        <w:rPr>
          <w:rFonts w:ascii="Times New Roman" w:hAnsi="Times New Roman" w:cs="Times New Roman"/>
          <w:sz w:val="24"/>
          <w:szCs w:val="24"/>
        </w:rPr>
        <w:t>, in ossequio all’idea  degli organismi UE – già sottolineata in precedenza –, secondo la quale la rendicontazione di sostenibilità dovrà progressivamente raggiungere lo stesso livello di qualità e rilevanza del report finanziario</w:t>
      </w:r>
      <w:r w:rsidRPr="001F202A">
        <w:rPr>
          <w:rFonts w:ascii="Times New Roman" w:hAnsi="Times New Roman" w:cs="Times New Roman"/>
          <w:sz w:val="24"/>
          <w:szCs w:val="24"/>
        </w:rPr>
        <w:t>.</w:t>
      </w:r>
      <w:r>
        <w:rPr>
          <w:rFonts w:ascii="Times New Roman" w:hAnsi="Times New Roman" w:cs="Times New Roman"/>
          <w:sz w:val="24"/>
          <w:szCs w:val="24"/>
        </w:rPr>
        <w:t xml:space="preserve"> </w:t>
      </w:r>
    </w:p>
    <w:p w14:paraId="7B6F532C" w14:textId="627BE11F" w:rsidR="00A800B3" w:rsidRDefault="00F6059A" w:rsidP="00F6059A">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 tale proposito</w:t>
      </w:r>
      <w:r w:rsidR="00A800B3">
        <w:rPr>
          <w:rFonts w:ascii="Times New Roman" w:hAnsi="Times New Roman" w:cs="Times New Roman"/>
          <w:sz w:val="24"/>
          <w:szCs w:val="24"/>
        </w:rPr>
        <w:t>, è opportuno segnalare che</w:t>
      </w:r>
      <w:r>
        <w:rPr>
          <w:rFonts w:ascii="Times New Roman" w:hAnsi="Times New Roman" w:cs="Times New Roman"/>
          <w:sz w:val="24"/>
          <w:szCs w:val="24"/>
        </w:rPr>
        <w:t xml:space="preserve"> s</w:t>
      </w:r>
      <w:r w:rsidRPr="00FD618D">
        <w:rPr>
          <w:rFonts w:ascii="Times New Roman" w:hAnsi="Times New Roman" w:cs="Times New Roman"/>
          <w:sz w:val="24"/>
          <w:szCs w:val="24"/>
        </w:rPr>
        <w:t>i è appena conclusa la consultazione pubblica in relazione all’</w:t>
      </w:r>
      <w:hyperlink r:id="rId9" w:tgtFrame="_blank" w:history="1">
        <w:r w:rsidRPr="00FC1D2E">
          <w:rPr>
            <w:rStyle w:val="Collegamentoipertestuale"/>
            <w:rFonts w:ascii="Times New Roman" w:hAnsi="Times New Roman" w:cs="Times New Roman"/>
            <w:sz w:val="24"/>
            <w:szCs w:val="24"/>
          </w:rPr>
          <w:t xml:space="preserve">Exposure Draft ‘International Standard on Sustainability Assurance’ </w:t>
        </w:r>
        <w:r w:rsidR="00D0210D" w:rsidRPr="00FC1D2E">
          <w:rPr>
            <w:rStyle w:val="Collegamentoipertestuale"/>
            <w:rFonts w:ascii="Times New Roman" w:hAnsi="Times New Roman" w:cs="Times New Roman"/>
            <w:sz w:val="24"/>
            <w:szCs w:val="24"/>
          </w:rPr>
          <w:t xml:space="preserve">(ISSA) </w:t>
        </w:r>
        <w:r w:rsidRPr="00FC1D2E">
          <w:rPr>
            <w:rStyle w:val="Collegamentoipertestuale"/>
            <w:rFonts w:ascii="Times New Roman" w:hAnsi="Times New Roman" w:cs="Times New Roman"/>
            <w:sz w:val="24"/>
            <w:szCs w:val="24"/>
          </w:rPr>
          <w:t>5000</w:t>
        </w:r>
      </w:hyperlink>
      <w:r w:rsidR="00FC1D2E" w:rsidRPr="00FC1D2E">
        <w:rPr>
          <w:rStyle w:val="Collegamentoipertestuale"/>
          <w:rFonts w:ascii="Times New Roman" w:hAnsi="Times New Roman" w:cs="Times New Roman"/>
          <w:color w:val="auto"/>
          <w:sz w:val="24"/>
          <w:szCs w:val="24"/>
          <w:u w:val="none"/>
        </w:rPr>
        <w:t>,</w:t>
      </w:r>
      <w:r w:rsidRPr="00FD618D">
        <w:rPr>
          <w:rFonts w:ascii="Times New Roman" w:hAnsi="Times New Roman" w:cs="Times New Roman"/>
          <w:sz w:val="24"/>
          <w:szCs w:val="24"/>
        </w:rPr>
        <w:t xml:space="preserve"> emanata dall'International Auditing and Assurance Standards Board (IAASB) </w:t>
      </w:r>
      <w:r w:rsidR="00D0210D">
        <w:rPr>
          <w:rFonts w:ascii="Times New Roman" w:hAnsi="Times New Roman" w:cs="Times New Roman"/>
          <w:sz w:val="24"/>
          <w:szCs w:val="24"/>
        </w:rPr>
        <w:t xml:space="preserve">nel </w:t>
      </w:r>
      <w:r w:rsidRPr="00FD618D">
        <w:rPr>
          <w:rFonts w:ascii="Times New Roman" w:hAnsi="Times New Roman" w:cs="Times New Roman"/>
          <w:sz w:val="24"/>
          <w:szCs w:val="24"/>
        </w:rPr>
        <w:t xml:space="preserve">giugno </w:t>
      </w:r>
      <w:r w:rsidR="00D0210D">
        <w:rPr>
          <w:rFonts w:ascii="Times New Roman" w:hAnsi="Times New Roman" w:cs="Times New Roman"/>
          <w:sz w:val="24"/>
          <w:szCs w:val="24"/>
        </w:rPr>
        <w:t xml:space="preserve">2023 </w:t>
      </w:r>
      <w:r w:rsidRPr="00FD618D">
        <w:rPr>
          <w:rFonts w:ascii="Times New Roman" w:hAnsi="Times New Roman" w:cs="Times New Roman"/>
          <w:sz w:val="24"/>
          <w:szCs w:val="24"/>
        </w:rPr>
        <w:t xml:space="preserve">per la revisione delle informazioni di sostenibilità. Si tratta di principi generali da seguire nell’attività di revisione </w:t>
      </w:r>
      <w:r w:rsidR="00FC1D2E">
        <w:rPr>
          <w:rFonts w:ascii="Times New Roman" w:hAnsi="Times New Roman" w:cs="Times New Roman"/>
          <w:sz w:val="24"/>
          <w:szCs w:val="24"/>
        </w:rPr>
        <w:t xml:space="preserve">di questo genere di informazione, </w:t>
      </w:r>
      <w:r w:rsidRPr="00FD618D">
        <w:rPr>
          <w:rFonts w:ascii="Times New Roman" w:hAnsi="Times New Roman" w:cs="Times New Roman"/>
          <w:sz w:val="24"/>
          <w:szCs w:val="24"/>
        </w:rPr>
        <w:t xml:space="preserve">ed è ‘standard agnostic’, ovvero può essere applicato indipendentemente dagli standard di sostenibilità adottati dalle imprese per la rendicontazione delle relative informazioni. </w:t>
      </w:r>
      <w:r w:rsidR="00A800B3">
        <w:rPr>
          <w:rFonts w:ascii="Times New Roman" w:hAnsi="Times New Roman" w:cs="Times New Roman"/>
          <w:sz w:val="24"/>
          <w:szCs w:val="24"/>
        </w:rPr>
        <w:t>È molto probabile che l’ISSA 5000, una volta approvato definitivamente dallo IAASB nel 2024-25, diventerà lo standard europeo per l’auditing del reporting di sostenibilità secondo la CSRD, anche se questo non avverrà con tutta probabilità prima del 2026-27. Nel frattempo, gli Stati membri sono lasciati liberi dalla Direttiva di scegliere lo standard di audit che ritengono più appropriato (ad es., ISAE 3000R dello IAASB, o altro).</w:t>
      </w:r>
    </w:p>
    <w:p w14:paraId="062C3467" w14:textId="5DFE2F74" w:rsidR="00F6059A" w:rsidRPr="00F6059A" w:rsidRDefault="00D0210D" w:rsidP="00F6059A">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Con riferimento invece ai soggetti abilitati a svolgere </w:t>
      </w:r>
      <w:r w:rsidR="00DE1146">
        <w:rPr>
          <w:rFonts w:ascii="Times New Roman" w:hAnsi="Times New Roman" w:cs="Times New Roman"/>
          <w:sz w:val="24"/>
          <w:szCs w:val="24"/>
        </w:rPr>
        <w:t xml:space="preserve">la revisione dei report di sostenibilità europei, la CSRD prevede che siano i revisori (“auditors”) che abbiano però ricevuto una formazione specialistica, nonché i cosiddetti “independent assurance providers” che ogni Stato membro declinerà in base ai propri ordinamenti e alle proprie considerazioni interne, </w:t>
      </w:r>
      <w:r w:rsidR="00532026">
        <w:rPr>
          <w:rFonts w:ascii="Times New Roman" w:hAnsi="Times New Roman" w:cs="Times New Roman"/>
          <w:sz w:val="24"/>
          <w:szCs w:val="24"/>
        </w:rPr>
        <w:t xml:space="preserve">questo lasciando aperta la possibilità che anche gli esperti di procedure e certificazioni di conformità secondo gli standard ISO possano essere autorizzati a svolgere l’auditing. Questa evenienza potrebbe ovviamente creare un conflitto di territori professionali.  </w:t>
      </w:r>
    </w:p>
    <w:p w14:paraId="56C1D59F" w14:textId="77777777" w:rsidR="00A800B3" w:rsidRPr="00F6059A" w:rsidRDefault="00A800B3" w:rsidP="006D06A4">
      <w:pPr>
        <w:autoSpaceDE w:val="0"/>
        <w:autoSpaceDN w:val="0"/>
        <w:adjustRightInd w:val="0"/>
        <w:spacing w:after="0" w:line="240" w:lineRule="auto"/>
        <w:jc w:val="both"/>
        <w:rPr>
          <w:rFonts w:ascii="Times New Roman" w:hAnsi="Times New Roman" w:cs="Times New Roman"/>
          <w:sz w:val="24"/>
          <w:szCs w:val="24"/>
        </w:rPr>
      </w:pPr>
    </w:p>
    <w:p w14:paraId="2E2EC6BB" w14:textId="7A4B29ED" w:rsidR="00F6059A" w:rsidRPr="00F6059A" w:rsidRDefault="00F6059A" w:rsidP="006D06A4">
      <w:pPr>
        <w:autoSpaceDE w:val="0"/>
        <w:autoSpaceDN w:val="0"/>
        <w:adjustRightInd w:val="0"/>
        <w:spacing w:after="0" w:line="240" w:lineRule="auto"/>
        <w:jc w:val="both"/>
        <w:rPr>
          <w:rFonts w:ascii="Times New Roman" w:hAnsi="Times New Roman" w:cs="Times New Roman"/>
          <w:b/>
          <w:bCs/>
          <w:i/>
          <w:iCs/>
          <w:sz w:val="24"/>
          <w:szCs w:val="24"/>
        </w:rPr>
      </w:pPr>
      <w:r w:rsidRPr="00F6059A">
        <w:rPr>
          <w:rFonts w:ascii="Times New Roman" w:hAnsi="Times New Roman" w:cs="Times New Roman"/>
          <w:b/>
          <w:bCs/>
          <w:i/>
          <w:iCs/>
          <w:sz w:val="24"/>
          <w:szCs w:val="24"/>
        </w:rPr>
        <w:t>2.2. Gli standard europei per il reporting di sostenibilità</w:t>
      </w:r>
    </w:p>
    <w:p w14:paraId="4736B011" w14:textId="5F13C523" w:rsidR="00BB4362" w:rsidRDefault="007F709B" w:rsidP="006D06A4">
      <w:pPr>
        <w:autoSpaceDE w:val="0"/>
        <w:autoSpaceDN w:val="0"/>
        <w:adjustRightInd w:val="0"/>
        <w:spacing w:after="0" w:line="240" w:lineRule="auto"/>
        <w:jc w:val="both"/>
        <w:rPr>
          <w:rFonts w:ascii="Times New Roman" w:hAnsi="Times New Roman" w:cs="Times New Roman"/>
          <w:sz w:val="24"/>
          <w:szCs w:val="24"/>
        </w:rPr>
      </w:pPr>
      <w:r w:rsidRPr="006D06A4">
        <w:rPr>
          <w:rFonts w:ascii="Times New Roman" w:hAnsi="Times New Roman" w:cs="Times New Roman"/>
          <w:sz w:val="24"/>
          <w:szCs w:val="24"/>
        </w:rPr>
        <w:lastRenderedPageBreak/>
        <w:t>Nell’ambito d</w:t>
      </w:r>
      <w:r w:rsidR="00F6059A">
        <w:rPr>
          <w:rFonts w:ascii="Times New Roman" w:hAnsi="Times New Roman" w:cs="Times New Roman"/>
          <w:sz w:val="24"/>
          <w:szCs w:val="24"/>
        </w:rPr>
        <w:t xml:space="preserve">el ricordato </w:t>
      </w:r>
      <w:r w:rsidRPr="006D06A4">
        <w:rPr>
          <w:rFonts w:ascii="Times New Roman" w:hAnsi="Times New Roman" w:cs="Times New Roman"/>
          <w:sz w:val="24"/>
          <w:szCs w:val="24"/>
        </w:rPr>
        <w:t>ampio disegno dell’Unione Europea</w:t>
      </w:r>
      <w:r w:rsidR="00617E7D" w:rsidRPr="006D06A4">
        <w:rPr>
          <w:rFonts w:ascii="Times New Roman" w:hAnsi="Times New Roman" w:cs="Times New Roman"/>
          <w:sz w:val="24"/>
          <w:szCs w:val="24"/>
        </w:rPr>
        <w:t xml:space="preserve"> che parte dal “Green Deal”</w:t>
      </w:r>
      <w:r w:rsidR="006D06A4">
        <w:rPr>
          <w:rFonts w:ascii="Times New Roman" w:hAnsi="Times New Roman" w:cs="Times New Roman"/>
          <w:sz w:val="24"/>
          <w:szCs w:val="24"/>
        </w:rPr>
        <w:t xml:space="preserve"> e dalla “Sustainable Finance Initiative”</w:t>
      </w:r>
      <w:r w:rsidR="00617E7D" w:rsidRPr="006D06A4">
        <w:rPr>
          <w:rFonts w:ascii="Times New Roman" w:hAnsi="Times New Roman" w:cs="Times New Roman"/>
          <w:sz w:val="24"/>
          <w:szCs w:val="24"/>
        </w:rPr>
        <w:t xml:space="preserve">, e </w:t>
      </w:r>
      <w:r w:rsidR="00D95A72" w:rsidRPr="006D06A4">
        <w:rPr>
          <w:rFonts w:ascii="Times New Roman" w:hAnsi="Times New Roman" w:cs="Times New Roman"/>
          <w:sz w:val="24"/>
          <w:szCs w:val="24"/>
        </w:rPr>
        <w:t xml:space="preserve">in </w:t>
      </w:r>
      <w:r w:rsidR="00F6059A">
        <w:rPr>
          <w:rFonts w:ascii="Times New Roman" w:hAnsi="Times New Roman" w:cs="Times New Roman"/>
          <w:sz w:val="24"/>
          <w:szCs w:val="24"/>
        </w:rPr>
        <w:t xml:space="preserve">parallelo </w:t>
      </w:r>
      <w:r w:rsidR="00D95A72" w:rsidRPr="006D06A4">
        <w:rPr>
          <w:rFonts w:ascii="Times New Roman" w:hAnsi="Times New Roman" w:cs="Times New Roman"/>
          <w:sz w:val="24"/>
          <w:szCs w:val="24"/>
        </w:rPr>
        <w:t>a</w:t>
      </w:r>
      <w:r w:rsidR="00F6059A">
        <w:rPr>
          <w:rFonts w:ascii="Times New Roman" w:hAnsi="Times New Roman" w:cs="Times New Roman"/>
          <w:sz w:val="24"/>
          <w:szCs w:val="24"/>
        </w:rPr>
        <w:t>l</w:t>
      </w:r>
      <w:r w:rsidR="00D95A72" w:rsidRPr="006D06A4">
        <w:rPr>
          <w:rFonts w:ascii="Times New Roman" w:hAnsi="Times New Roman" w:cs="Times New Roman"/>
          <w:sz w:val="24"/>
          <w:szCs w:val="24"/>
        </w:rPr>
        <w:t xml:space="preserve"> progetto di revisione della Direttiva del 2014 sulla comunicazione di informazioni di carattere non finanziario (NFRD), </w:t>
      </w:r>
      <w:r w:rsidR="00617E7D" w:rsidRPr="006D06A4">
        <w:rPr>
          <w:rFonts w:ascii="Times New Roman" w:hAnsi="Times New Roman" w:cs="Times New Roman"/>
          <w:sz w:val="24"/>
          <w:szCs w:val="24"/>
        </w:rPr>
        <w:t xml:space="preserve">nel luglio 2020 il Vicepresidente esecutivo della Commissione Europea, Valdis Dombrovskis, incarica ufficialmente l'EFRAG, organo “storico” di consulenza della Commissione Europea nel campo del reporting, di intraprendere i lavori preparatori per </w:t>
      </w:r>
      <w:r w:rsidR="00BB4362">
        <w:rPr>
          <w:rFonts w:ascii="Times New Roman" w:hAnsi="Times New Roman" w:cs="Times New Roman"/>
          <w:sz w:val="24"/>
          <w:szCs w:val="24"/>
        </w:rPr>
        <w:t xml:space="preserve">la definizione di </w:t>
      </w:r>
      <w:r w:rsidR="00617E7D" w:rsidRPr="006D06A4">
        <w:rPr>
          <w:rFonts w:ascii="Times New Roman" w:hAnsi="Times New Roman" w:cs="Times New Roman"/>
          <w:sz w:val="24"/>
          <w:szCs w:val="24"/>
        </w:rPr>
        <w:t xml:space="preserve">standard </w:t>
      </w:r>
      <w:r w:rsidR="00D95A72" w:rsidRPr="006D06A4">
        <w:rPr>
          <w:rFonts w:ascii="Times New Roman" w:hAnsi="Times New Roman" w:cs="Times New Roman"/>
          <w:sz w:val="24"/>
          <w:szCs w:val="24"/>
        </w:rPr>
        <w:t xml:space="preserve">europei in </w:t>
      </w:r>
      <w:r w:rsidR="00617E7D" w:rsidRPr="006D06A4">
        <w:rPr>
          <w:rFonts w:ascii="Times New Roman" w:hAnsi="Times New Roman" w:cs="Times New Roman"/>
          <w:sz w:val="24"/>
          <w:szCs w:val="24"/>
        </w:rPr>
        <w:t xml:space="preserve">materia di comunicazione di informazioni di sostenibilità. </w:t>
      </w:r>
      <w:r w:rsidR="00114E7C">
        <w:rPr>
          <w:rFonts w:ascii="Times New Roman" w:hAnsi="Times New Roman" w:cs="Times New Roman"/>
          <w:sz w:val="24"/>
          <w:szCs w:val="24"/>
        </w:rPr>
        <w:t>Come ricordato, t</w:t>
      </w:r>
      <w:r w:rsidR="00BB4362">
        <w:rPr>
          <w:rFonts w:ascii="Times New Roman" w:hAnsi="Times New Roman" w:cs="Times New Roman"/>
          <w:sz w:val="24"/>
          <w:szCs w:val="24"/>
        </w:rPr>
        <w:t>ale incarico ha trovato poi conferma legislativa nella Direttiva CSRD.</w:t>
      </w:r>
      <w:r w:rsidR="00736A3F">
        <w:rPr>
          <w:rFonts w:ascii="Times New Roman" w:hAnsi="Times New Roman" w:cs="Times New Roman"/>
          <w:sz w:val="24"/>
          <w:szCs w:val="24"/>
        </w:rPr>
        <w:t xml:space="preserve"> La Fig.1 riassume i passaggi avvenuti in ambito europeo.</w:t>
      </w:r>
    </w:p>
    <w:p w14:paraId="247514AF" w14:textId="77777777" w:rsidR="00D103A1" w:rsidRDefault="00D103A1" w:rsidP="006D06A4">
      <w:pPr>
        <w:autoSpaceDE w:val="0"/>
        <w:autoSpaceDN w:val="0"/>
        <w:adjustRightInd w:val="0"/>
        <w:spacing w:after="0" w:line="240" w:lineRule="auto"/>
        <w:jc w:val="both"/>
        <w:rPr>
          <w:rFonts w:ascii="Times New Roman" w:hAnsi="Times New Roman" w:cs="Times New Roman"/>
          <w:sz w:val="24"/>
          <w:szCs w:val="24"/>
        </w:rPr>
      </w:pPr>
    </w:p>
    <w:p w14:paraId="66C31B2D" w14:textId="77777777" w:rsidR="00BB4362" w:rsidRPr="00BB4362" w:rsidRDefault="00BB4362" w:rsidP="00BB4362">
      <w:pPr>
        <w:autoSpaceDE w:val="0"/>
        <w:autoSpaceDN w:val="0"/>
        <w:adjustRightInd w:val="0"/>
        <w:spacing w:after="0" w:line="240" w:lineRule="auto"/>
        <w:jc w:val="both"/>
        <w:rPr>
          <w:rFonts w:ascii="Times New Roman" w:hAnsi="Times New Roman" w:cs="Times New Roman"/>
          <w:b/>
          <w:bCs/>
          <w:sz w:val="24"/>
          <w:szCs w:val="24"/>
        </w:rPr>
      </w:pPr>
      <w:r w:rsidRPr="00BB4362">
        <w:rPr>
          <w:rFonts w:ascii="Times New Roman" w:hAnsi="Times New Roman" w:cs="Times New Roman"/>
          <w:b/>
          <w:bCs/>
          <w:sz w:val="24"/>
          <w:szCs w:val="24"/>
        </w:rPr>
        <w:t xml:space="preserve">Figura 1 – Sustainability reporting: l’evoluzione del contesto europeo 2018-2022 </w:t>
      </w:r>
    </w:p>
    <w:p w14:paraId="65F689A7" w14:textId="77777777" w:rsidR="00BB4362" w:rsidRDefault="00BB4362" w:rsidP="00BB4362">
      <w:pPr>
        <w:jc w:val="center"/>
        <w:rPr>
          <w:rFonts w:ascii="Times New Roman" w:hAnsi="Times New Roman" w:cs="Times New Roman"/>
        </w:rPr>
      </w:pPr>
      <w:r w:rsidRPr="001F202A">
        <w:rPr>
          <w:rFonts w:ascii="Times New Roman" w:hAnsi="Times New Roman" w:cs="Times New Roman"/>
          <w:noProof/>
        </w:rPr>
        <w:drawing>
          <wp:inline distT="0" distB="0" distL="0" distR="0" wp14:anchorId="61D04744" wp14:editId="48E431DA">
            <wp:extent cx="5570678" cy="1670050"/>
            <wp:effectExtent l="0" t="0" r="0" b="635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a:extLst>
                        <a:ext uri="{28A0092B-C50C-407E-A947-70E740481C1C}">
                          <a14:useLocalDpi xmlns:a14="http://schemas.microsoft.com/office/drawing/2010/main" val="0"/>
                        </a:ext>
                      </a:extLst>
                    </a:blip>
                    <a:srcRect t="59797" r="4274" b="2541"/>
                    <a:stretch/>
                  </pic:blipFill>
                  <pic:spPr bwMode="auto">
                    <a:xfrm>
                      <a:off x="0" y="0"/>
                      <a:ext cx="5577808" cy="1672187"/>
                    </a:xfrm>
                    <a:prstGeom prst="rect">
                      <a:avLst/>
                    </a:prstGeom>
                    <a:noFill/>
                    <a:ln>
                      <a:noFill/>
                    </a:ln>
                    <a:extLst>
                      <a:ext uri="{53640926-AAD7-44D8-BBD7-CCE9431645EC}">
                        <a14:shadowObscured xmlns:a14="http://schemas.microsoft.com/office/drawing/2010/main"/>
                      </a:ext>
                    </a:extLst>
                  </pic:spPr>
                </pic:pic>
              </a:graphicData>
            </a:graphic>
          </wp:inline>
        </w:drawing>
      </w:r>
    </w:p>
    <w:p w14:paraId="3E0BB29F" w14:textId="77777777" w:rsidR="00BB4362" w:rsidRDefault="00BB4362" w:rsidP="00BB4362">
      <w:pPr>
        <w:autoSpaceDE w:val="0"/>
        <w:autoSpaceDN w:val="0"/>
        <w:adjustRightInd w:val="0"/>
        <w:spacing w:after="0" w:line="240" w:lineRule="auto"/>
        <w:jc w:val="both"/>
        <w:rPr>
          <w:rFonts w:ascii="Times New Roman" w:hAnsi="Times New Roman" w:cs="Times New Roman"/>
          <w:sz w:val="24"/>
          <w:szCs w:val="24"/>
        </w:rPr>
      </w:pPr>
    </w:p>
    <w:p w14:paraId="32240F42" w14:textId="30ED2066" w:rsidR="004A3490" w:rsidRDefault="00617E7D" w:rsidP="006D06A4">
      <w:pPr>
        <w:autoSpaceDE w:val="0"/>
        <w:autoSpaceDN w:val="0"/>
        <w:adjustRightInd w:val="0"/>
        <w:spacing w:after="0" w:line="240" w:lineRule="auto"/>
        <w:jc w:val="both"/>
        <w:rPr>
          <w:rFonts w:ascii="Times New Roman" w:hAnsi="Times New Roman" w:cs="Times New Roman"/>
          <w:sz w:val="24"/>
          <w:szCs w:val="24"/>
        </w:rPr>
      </w:pPr>
      <w:r w:rsidRPr="006D06A4">
        <w:rPr>
          <w:rFonts w:ascii="Times New Roman" w:hAnsi="Times New Roman" w:cs="Times New Roman"/>
          <w:sz w:val="24"/>
          <w:szCs w:val="24"/>
        </w:rPr>
        <w:t xml:space="preserve">Nello specifico, </w:t>
      </w:r>
      <w:r w:rsidR="00E85A89">
        <w:rPr>
          <w:rFonts w:ascii="Times New Roman" w:hAnsi="Times New Roman" w:cs="Times New Roman"/>
          <w:sz w:val="24"/>
          <w:szCs w:val="24"/>
        </w:rPr>
        <w:t xml:space="preserve">è stato </w:t>
      </w:r>
      <w:r w:rsidRPr="006D06A4">
        <w:rPr>
          <w:rFonts w:ascii="Times New Roman" w:hAnsi="Times New Roman" w:cs="Times New Roman"/>
          <w:sz w:val="24"/>
          <w:szCs w:val="24"/>
        </w:rPr>
        <w:t xml:space="preserve">chiesto ad EFRAG </w:t>
      </w:r>
      <w:r w:rsidR="001F202A" w:rsidRPr="006D06A4">
        <w:rPr>
          <w:rFonts w:ascii="Times New Roman" w:hAnsi="Times New Roman" w:cs="Times New Roman"/>
          <w:sz w:val="24"/>
          <w:szCs w:val="24"/>
        </w:rPr>
        <w:t xml:space="preserve">di </w:t>
      </w:r>
      <w:r w:rsidRPr="006D06A4">
        <w:rPr>
          <w:rFonts w:ascii="Times New Roman" w:hAnsi="Times New Roman" w:cs="Times New Roman"/>
          <w:sz w:val="24"/>
          <w:szCs w:val="24"/>
        </w:rPr>
        <w:t xml:space="preserve">predisporre le bozze di </w:t>
      </w:r>
      <w:r w:rsidR="001F202A" w:rsidRPr="006D06A4">
        <w:rPr>
          <w:rFonts w:ascii="Times New Roman" w:hAnsi="Times New Roman" w:cs="Times New Roman"/>
          <w:sz w:val="24"/>
          <w:szCs w:val="24"/>
        </w:rPr>
        <w:t xml:space="preserve">standard europei obbligatori per </w:t>
      </w:r>
      <w:r w:rsidR="007F709B" w:rsidRPr="006D06A4">
        <w:rPr>
          <w:rFonts w:ascii="Times New Roman" w:hAnsi="Times New Roman" w:cs="Times New Roman"/>
          <w:sz w:val="24"/>
          <w:szCs w:val="24"/>
        </w:rPr>
        <w:t xml:space="preserve">la rendicontazione </w:t>
      </w:r>
      <w:r w:rsidR="001F202A" w:rsidRPr="006D06A4">
        <w:rPr>
          <w:rFonts w:ascii="Times New Roman" w:hAnsi="Times New Roman" w:cs="Times New Roman"/>
          <w:sz w:val="24"/>
          <w:szCs w:val="24"/>
        </w:rPr>
        <w:t>di sostenibilità, differenziati per grandi imprese e PMI e con obblighi informativi sia trasversali (“</w:t>
      </w:r>
      <w:r w:rsidR="001F202A" w:rsidRPr="006D06A4">
        <w:rPr>
          <w:rFonts w:ascii="Times New Roman" w:hAnsi="Times New Roman" w:cs="Times New Roman"/>
          <w:i/>
          <w:iCs/>
          <w:sz w:val="24"/>
          <w:szCs w:val="24"/>
        </w:rPr>
        <w:t>sector agnostic</w:t>
      </w:r>
      <w:r w:rsidR="001F202A" w:rsidRPr="006D06A4">
        <w:rPr>
          <w:rFonts w:ascii="Times New Roman" w:hAnsi="Times New Roman" w:cs="Times New Roman"/>
          <w:sz w:val="24"/>
          <w:szCs w:val="24"/>
        </w:rPr>
        <w:t>”) che settoriali (“</w:t>
      </w:r>
      <w:r w:rsidR="001F202A" w:rsidRPr="006D06A4">
        <w:rPr>
          <w:rFonts w:ascii="Times New Roman" w:hAnsi="Times New Roman" w:cs="Times New Roman"/>
          <w:i/>
          <w:iCs/>
          <w:sz w:val="24"/>
          <w:szCs w:val="24"/>
        </w:rPr>
        <w:t>sector specific</w:t>
      </w:r>
      <w:r w:rsidR="001F202A" w:rsidRPr="006D06A4">
        <w:rPr>
          <w:rFonts w:ascii="Times New Roman" w:hAnsi="Times New Roman" w:cs="Times New Roman"/>
          <w:sz w:val="24"/>
          <w:szCs w:val="24"/>
        </w:rPr>
        <w:t>”)</w:t>
      </w:r>
      <w:r w:rsidR="004E62B7">
        <w:rPr>
          <w:rFonts w:ascii="Times New Roman" w:hAnsi="Times New Roman" w:cs="Times New Roman"/>
          <w:sz w:val="24"/>
          <w:szCs w:val="24"/>
        </w:rPr>
        <w:t>, in un’ottica di “doppia materialità”</w:t>
      </w:r>
      <w:r w:rsidR="001F202A" w:rsidRPr="006D06A4">
        <w:rPr>
          <w:rFonts w:ascii="Times New Roman" w:hAnsi="Times New Roman" w:cs="Times New Roman"/>
          <w:sz w:val="24"/>
          <w:szCs w:val="24"/>
        </w:rPr>
        <w:t xml:space="preserve">. </w:t>
      </w:r>
    </w:p>
    <w:p w14:paraId="70EBEB2C" w14:textId="75E5484B" w:rsidR="00E85A89" w:rsidRPr="006D06A4" w:rsidRDefault="00E85A89" w:rsidP="006D06A4">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Per perseguire tale fine, </w:t>
      </w:r>
      <w:r w:rsidRPr="001F202A">
        <w:rPr>
          <w:rFonts w:ascii="Times New Roman" w:hAnsi="Times New Roman" w:cs="Times New Roman"/>
          <w:sz w:val="24"/>
          <w:szCs w:val="24"/>
        </w:rPr>
        <w:t xml:space="preserve">l’EFRAG ha profondamente </w:t>
      </w:r>
      <w:r>
        <w:rPr>
          <w:rFonts w:ascii="Times New Roman" w:hAnsi="Times New Roman" w:cs="Times New Roman"/>
          <w:sz w:val="24"/>
          <w:szCs w:val="24"/>
        </w:rPr>
        <w:t xml:space="preserve">e rapidamente </w:t>
      </w:r>
      <w:r w:rsidRPr="001F202A">
        <w:rPr>
          <w:rFonts w:ascii="Times New Roman" w:hAnsi="Times New Roman" w:cs="Times New Roman"/>
          <w:sz w:val="24"/>
          <w:szCs w:val="24"/>
        </w:rPr>
        <w:t>modificato il proprio assetto istituzionale</w:t>
      </w:r>
      <w:r>
        <w:rPr>
          <w:rFonts w:ascii="Times New Roman" w:hAnsi="Times New Roman" w:cs="Times New Roman"/>
          <w:sz w:val="24"/>
          <w:szCs w:val="24"/>
        </w:rPr>
        <w:t xml:space="preserve"> e organizzativo</w:t>
      </w:r>
      <w:r w:rsidRPr="001F202A">
        <w:rPr>
          <w:rFonts w:ascii="Times New Roman" w:hAnsi="Times New Roman" w:cs="Times New Roman"/>
          <w:sz w:val="24"/>
          <w:szCs w:val="24"/>
        </w:rPr>
        <w:t>, inaugurando</w:t>
      </w:r>
      <w:r>
        <w:rPr>
          <w:rFonts w:ascii="Times New Roman" w:hAnsi="Times New Roman" w:cs="Times New Roman"/>
          <w:sz w:val="24"/>
          <w:szCs w:val="24"/>
        </w:rPr>
        <w:t xml:space="preserve"> </w:t>
      </w:r>
      <w:r w:rsidRPr="001F202A">
        <w:rPr>
          <w:rFonts w:ascii="Times New Roman" w:hAnsi="Times New Roman" w:cs="Times New Roman"/>
          <w:sz w:val="24"/>
          <w:szCs w:val="24"/>
        </w:rPr>
        <w:t xml:space="preserve">un “pillar” dedicato alla sostenibilità con un proprio Board, un Technical Expert Group (TEG) ad hoc, e uno staff </w:t>
      </w:r>
      <w:r>
        <w:rPr>
          <w:rFonts w:ascii="Times New Roman" w:hAnsi="Times New Roman" w:cs="Times New Roman"/>
          <w:sz w:val="24"/>
          <w:szCs w:val="24"/>
        </w:rPr>
        <w:t>consacrato a tale nuova “gamba” di attività</w:t>
      </w:r>
      <w:r w:rsidRPr="001F202A">
        <w:rPr>
          <w:rFonts w:ascii="Times New Roman" w:hAnsi="Times New Roman" w:cs="Times New Roman"/>
          <w:sz w:val="24"/>
          <w:szCs w:val="24"/>
        </w:rPr>
        <w:t xml:space="preserve">. </w:t>
      </w:r>
    </w:p>
    <w:p w14:paraId="421540E0" w14:textId="6612A742" w:rsidR="001F202A" w:rsidRPr="001F202A" w:rsidRDefault="00E85A89" w:rsidP="001F202A">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In ragione </w:t>
      </w:r>
      <w:r w:rsidR="00BB4362">
        <w:rPr>
          <w:rFonts w:ascii="Times New Roman" w:hAnsi="Times New Roman" w:cs="Times New Roman"/>
          <w:sz w:val="24"/>
          <w:szCs w:val="24"/>
        </w:rPr>
        <w:t>di questo incarico</w:t>
      </w:r>
      <w:r w:rsidR="001F202A" w:rsidRPr="001F202A">
        <w:rPr>
          <w:rFonts w:ascii="Times New Roman" w:hAnsi="Times New Roman" w:cs="Times New Roman"/>
          <w:sz w:val="24"/>
          <w:szCs w:val="24"/>
        </w:rPr>
        <w:t xml:space="preserve">, l’EFRAG ha </w:t>
      </w:r>
      <w:r w:rsidR="009C67F2">
        <w:rPr>
          <w:rFonts w:ascii="Times New Roman" w:hAnsi="Times New Roman" w:cs="Times New Roman"/>
          <w:sz w:val="24"/>
          <w:szCs w:val="24"/>
        </w:rPr>
        <w:t xml:space="preserve">proceduto </w:t>
      </w:r>
      <w:r w:rsidR="00BB4362">
        <w:rPr>
          <w:rFonts w:ascii="Times New Roman" w:hAnsi="Times New Roman" w:cs="Times New Roman"/>
          <w:sz w:val="24"/>
          <w:szCs w:val="24"/>
        </w:rPr>
        <w:t xml:space="preserve">negli anni successivi </w:t>
      </w:r>
      <w:r w:rsidR="009C67F2">
        <w:rPr>
          <w:rFonts w:ascii="Times New Roman" w:hAnsi="Times New Roman" w:cs="Times New Roman"/>
          <w:sz w:val="24"/>
          <w:szCs w:val="24"/>
        </w:rPr>
        <w:t xml:space="preserve">ad </w:t>
      </w:r>
      <w:r w:rsidR="001F202A" w:rsidRPr="001F202A">
        <w:rPr>
          <w:rFonts w:ascii="Times New Roman" w:hAnsi="Times New Roman" w:cs="Times New Roman"/>
          <w:sz w:val="24"/>
          <w:szCs w:val="24"/>
        </w:rPr>
        <w:t>elabora</w:t>
      </w:r>
      <w:r w:rsidR="009C67F2">
        <w:rPr>
          <w:rFonts w:ascii="Times New Roman" w:hAnsi="Times New Roman" w:cs="Times New Roman"/>
          <w:sz w:val="24"/>
          <w:szCs w:val="24"/>
        </w:rPr>
        <w:t>re</w:t>
      </w:r>
      <w:r w:rsidR="001F202A" w:rsidRPr="001F202A">
        <w:rPr>
          <w:rFonts w:ascii="Times New Roman" w:hAnsi="Times New Roman" w:cs="Times New Roman"/>
          <w:sz w:val="24"/>
          <w:szCs w:val="24"/>
        </w:rPr>
        <w:t xml:space="preserve"> </w:t>
      </w:r>
      <w:r w:rsidR="004A3490">
        <w:rPr>
          <w:rFonts w:ascii="Times New Roman" w:hAnsi="Times New Roman" w:cs="Times New Roman"/>
          <w:sz w:val="24"/>
          <w:szCs w:val="24"/>
        </w:rPr>
        <w:t xml:space="preserve">le bozze di </w:t>
      </w:r>
      <w:r w:rsidR="00A90751">
        <w:rPr>
          <w:rFonts w:ascii="Times New Roman" w:hAnsi="Times New Roman" w:cs="Times New Roman"/>
          <w:sz w:val="24"/>
          <w:szCs w:val="24"/>
        </w:rPr>
        <w:t xml:space="preserve">dodici </w:t>
      </w:r>
      <w:r w:rsidR="001F202A" w:rsidRPr="001F202A">
        <w:rPr>
          <w:rFonts w:ascii="Times New Roman" w:hAnsi="Times New Roman" w:cs="Times New Roman"/>
          <w:sz w:val="24"/>
          <w:szCs w:val="24"/>
        </w:rPr>
        <w:t xml:space="preserve">standard, denominati </w:t>
      </w:r>
      <w:r w:rsidR="001F202A" w:rsidRPr="001F202A">
        <w:rPr>
          <w:rFonts w:ascii="Times New Roman" w:hAnsi="Times New Roman" w:cs="Times New Roman"/>
          <w:b/>
          <w:bCs/>
          <w:sz w:val="24"/>
          <w:szCs w:val="24"/>
        </w:rPr>
        <w:t>European Sustainability Reporting</w:t>
      </w:r>
      <w:r w:rsidR="001F202A" w:rsidRPr="001F202A">
        <w:rPr>
          <w:rFonts w:ascii="Times New Roman" w:hAnsi="Times New Roman" w:cs="Times New Roman"/>
          <w:sz w:val="24"/>
          <w:szCs w:val="24"/>
        </w:rPr>
        <w:t xml:space="preserve"> </w:t>
      </w:r>
      <w:r w:rsidR="001F202A" w:rsidRPr="001F202A">
        <w:rPr>
          <w:rFonts w:ascii="Times New Roman" w:hAnsi="Times New Roman" w:cs="Times New Roman"/>
          <w:b/>
          <w:bCs/>
          <w:sz w:val="24"/>
          <w:szCs w:val="24"/>
        </w:rPr>
        <w:t>Standards (ESRS)</w:t>
      </w:r>
      <w:r w:rsidR="007F709B" w:rsidRPr="007F709B">
        <w:rPr>
          <w:rFonts w:ascii="Times New Roman" w:hAnsi="Times New Roman" w:cs="Times New Roman"/>
          <w:sz w:val="24"/>
          <w:szCs w:val="24"/>
        </w:rPr>
        <w:t>,</w:t>
      </w:r>
      <w:r w:rsidR="007F709B">
        <w:rPr>
          <w:rFonts w:ascii="Times New Roman" w:hAnsi="Times New Roman" w:cs="Times New Roman"/>
          <w:sz w:val="24"/>
          <w:szCs w:val="24"/>
        </w:rPr>
        <w:t xml:space="preserve"> </w:t>
      </w:r>
      <w:r w:rsidR="001F202A" w:rsidRPr="001F202A">
        <w:rPr>
          <w:rFonts w:ascii="Times New Roman" w:hAnsi="Times New Roman" w:cs="Times New Roman"/>
          <w:sz w:val="24"/>
          <w:szCs w:val="24"/>
        </w:rPr>
        <w:t xml:space="preserve">di cui due aventi natura trasversale, cinque su tematiche ambientali, quattro su argomenti di natura sociale e uno sulla governance e in particolare sulla condotta di business legata a questioni di sostenibilità. </w:t>
      </w:r>
      <w:r w:rsidR="004A3490">
        <w:rPr>
          <w:rFonts w:ascii="Times New Roman" w:hAnsi="Times New Roman" w:cs="Times New Roman"/>
          <w:sz w:val="24"/>
          <w:szCs w:val="24"/>
        </w:rPr>
        <w:t xml:space="preserve">Tali bozze </w:t>
      </w:r>
      <w:r w:rsidR="007560B4">
        <w:rPr>
          <w:rFonts w:ascii="Times New Roman" w:hAnsi="Times New Roman" w:cs="Times New Roman"/>
          <w:sz w:val="24"/>
          <w:szCs w:val="24"/>
        </w:rPr>
        <w:t>sono stat</w:t>
      </w:r>
      <w:r w:rsidR="004A3490">
        <w:rPr>
          <w:rFonts w:ascii="Times New Roman" w:hAnsi="Times New Roman" w:cs="Times New Roman"/>
          <w:sz w:val="24"/>
          <w:szCs w:val="24"/>
        </w:rPr>
        <w:t>e</w:t>
      </w:r>
      <w:r w:rsidR="007560B4">
        <w:rPr>
          <w:rFonts w:ascii="Times New Roman" w:hAnsi="Times New Roman" w:cs="Times New Roman"/>
          <w:sz w:val="24"/>
          <w:szCs w:val="24"/>
        </w:rPr>
        <w:t xml:space="preserve"> inviat</w:t>
      </w:r>
      <w:r w:rsidR="004A3490">
        <w:rPr>
          <w:rFonts w:ascii="Times New Roman" w:hAnsi="Times New Roman" w:cs="Times New Roman"/>
          <w:sz w:val="24"/>
          <w:szCs w:val="24"/>
        </w:rPr>
        <w:t>e</w:t>
      </w:r>
      <w:r w:rsidR="007560B4">
        <w:rPr>
          <w:rFonts w:ascii="Times New Roman" w:hAnsi="Times New Roman" w:cs="Times New Roman"/>
          <w:sz w:val="24"/>
          <w:szCs w:val="24"/>
        </w:rPr>
        <w:t xml:space="preserve"> alla Commissione Europea </w:t>
      </w:r>
      <w:r w:rsidR="004A3490">
        <w:rPr>
          <w:rFonts w:ascii="Times New Roman" w:hAnsi="Times New Roman" w:cs="Times New Roman"/>
          <w:sz w:val="24"/>
          <w:szCs w:val="24"/>
        </w:rPr>
        <w:t xml:space="preserve">sotto forma di </w:t>
      </w:r>
      <w:r w:rsidR="007560B4">
        <w:rPr>
          <w:rFonts w:ascii="Times New Roman" w:hAnsi="Times New Roman" w:cs="Times New Roman"/>
          <w:sz w:val="24"/>
          <w:szCs w:val="24"/>
        </w:rPr>
        <w:t xml:space="preserve">parere tecnico nel novembre 2023 </w:t>
      </w:r>
      <w:r w:rsidR="009C67F2">
        <w:rPr>
          <w:rFonts w:ascii="Times New Roman" w:hAnsi="Times New Roman" w:cs="Times New Roman"/>
          <w:sz w:val="24"/>
          <w:szCs w:val="24"/>
        </w:rPr>
        <w:t>e sono stat</w:t>
      </w:r>
      <w:r w:rsidR="004A3490">
        <w:rPr>
          <w:rFonts w:ascii="Times New Roman" w:hAnsi="Times New Roman" w:cs="Times New Roman"/>
          <w:sz w:val="24"/>
          <w:szCs w:val="24"/>
        </w:rPr>
        <w:t>e</w:t>
      </w:r>
      <w:r w:rsidR="009C67F2">
        <w:rPr>
          <w:rFonts w:ascii="Times New Roman" w:hAnsi="Times New Roman" w:cs="Times New Roman"/>
          <w:sz w:val="24"/>
          <w:szCs w:val="24"/>
        </w:rPr>
        <w:t xml:space="preserve"> </w:t>
      </w:r>
      <w:r w:rsidR="00A22EAD">
        <w:rPr>
          <w:rFonts w:ascii="Times New Roman" w:hAnsi="Times New Roman" w:cs="Times New Roman"/>
          <w:sz w:val="24"/>
          <w:szCs w:val="24"/>
        </w:rPr>
        <w:t xml:space="preserve">fatte proprie dalla stessa divenendo così standard </w:t>
      </w:r>
      <w:r w:rsidR="007F709B">
        <w:rPr>
          <w:rFonts w:ascii="Times New Roman" w:hAnsi="Times New Roman" w:cs="Times New Roman"/>
          <w:sz w:val="24"/>
          <w:szCs w:val="24"/>
        </w:rPr>
        <w:t xml:space="preserve">definitivamente </w:t>
      </w:r>
      <w:r w:rsidR="001F202A" w:rsidRPr="001F202A">
        <w:rPr>
          <w:rFonts w:ascii="Times New Roman" w:hAnsi="Times New Roman" w:cs="Times New Roman"/>
          <w:sz w:val="24"/>
          <w:szCs w:val="24"/>
        </w:rPr>
        <w:t>pubblicat</w:t>
      </w:r>
      <w:r w:rsidR="00A22EAD">
        <w:rPr>
          <w:rFonts w:ascii="Times New Roman" w:hAnsi="Times New Roman" w:cs="Times New Roman"/>
          <w:sz w:val="24"/>
          <w:szCs w:val="24"/>
        </w:rPr>
        <w:t>i</w:t>
      </w:r>
      <w:r w:rsidR="001F202A" w:rsidRPr="001F202A">
        <w:rPr>
          <w:rFonts w:ascii="Times New Roman" w:hAnsi="Times New Roman" w:cs="Times New Roman"/>
          <w:sz w:val="24"/>
          <w:szCs w:val="24"/>
        </w:rPr>
        <w:t xml:space="preserve"> </w:t>
      </w:r>
      <w:r w:rsidR="00452F82">
        <w:rPr>
          <w:rFonts w:ascii="Times New Roman" w:hAnsi="Times New Roman" w:cs="Times New Roman"/>
          <w:sz w:val="24"/>
          <w:szCs w:val="24"/>
        </w:rPr>
        <w:t xml:space="preserve">come </w:t>
      </w:r>
      <w:r w:rsidR="00A22EAD">
        <w:rPr>
          <w:rFonts w:ascii="Times New Roman" w:hAnsi="Times New Roman" w:cs="Times New Roman"/>
          <w:sz w:val="24"/>
          <w:szCs w:val="24"/>
        </w:rPr>
        <w:t xml:space="preserve">Regolamento </w:t>
      </w:r>
      <w:r w:rsidR="00A44479">
        <w:rPr>
          <w:rFonts w:ascii="Times New Roman" w:hAnsi="Times New Roman" w:cs="Times New Roman"/>
          <w:sz w:val="24"/>
          <w:szCs w:val="24"/>
        </w:rPr>
        <w:t xml:space="preserve">Delegato </w:t>
      </w:r>
      <w:r w:rsidR="00452F82">
        <w:rPr>
          <w:rFonts w:ascii="Times New Roman" w:hAnsi="Times New Roman" w:cs="Times New Roman"/>
          <w:sz w:val="24"/>
          <w:szCs w:val="24"/>
        </w:rPr>
        <w:t>– datato 31</w:t>
      </w:r>
      <w:r w:rsidR="001F202A" w:rsidRPr="001F202A">
        <w:rPr>
          <w:rFonts w:ascii="Times New Roman" w:hAnsi="Times New Roman" w:cs="Times New Roman"/>
          <w:sz w:val="24"/>
          <w:szCs w:val="24"/>
        </w:rPr>
        <w:t xml:space="preserve"> </w:t>
      </w:r>
      <w:r w:rsidR="00A44479">
        <w:rPr>
          <w:rFonts w:ascii="Times New Roman" w:hAnsi="Times New Roman" w:cs="Times New Roman"/>
          <w:sz w:val="24"/>
          <w:szCs w:val="24"/>
        </w:rPr>
        <w:t xml:space="preserve">luglio </w:t>
      </w:r>
      <w:r w:rsidR="001F202A" w:rsidRPr="001F202A">
        <w:rPr>
          <w:rFonts w:ascii="Times New Roman" w:hAnsi="Times New Roman" w:cs="Times New Roman"/>
          <w:sz w:val="24"/>
          <w:szCs w:val="24"/>
        </w:rPr>
        <w:t>2023</w:t>
      </w:r>
      <w:r w:rsidR="00A44479">
        <w:rPr>
          <w:rFonts w:ascii="Times New Roman" w:hAnsi="Times New Roman" w:cs="Times New Roman"/>
          <w:sz w:val="24"/>
          <w:szCs w:val="24"/>
        </w:rPr>
        <w:t xml:space="preserve"> </w:t>
      </w:r>
      <w:r w:rsidR="00452F82">
        <w:rPr>
          <w:rFonts w:ascii="Times New Roman" w:hAnsi="Times New Roman" w:cs="Times New Roman"/>
          <w:sz w:val="24"/>
          <w:szCs w:val="24"/>
        </w:rPr>
        <w:t>– nella</w:t>
      </w:r>
      <w:r w:rsidR="00A44479">
        <w:rPr>
          <w:rFonts w:ascii="Times New Roman" w:hAnsi="Times New Roman" w:cs="Times New Roman"/>
          <w:sz w:val="24"/>
          <w:szCs w:val="24"/>
        </w:rPr>
        <w:t xml:space="preserve"> Gazzetta Ufficiale </w:t>
      </w:r>
      <w:r w:rsidR="00452F82">
        <w:rPr>
          <w:rFonts w:ascii="Times New Roman" w:hAnsi="Times New Roman" w:cs="Times New Roman"/>
          <w:sz w:val="24"/>
          <w:szCs w:val="24"/>
        </w:rPr>
        <w:t>dell</w:t>
      </w:r>
      <w:r w:rsidR="007F709B">
        <w:rPr>
          <w:rFonts w:ascii="Times New Roman" w:hAnsi="Times New Roman" w:cs="Times New Roman"/>
          <w:sz w:val="24"/>
          <w:szCs w:val="24"/>
        </w:rPr>
        <w:t xml:space="preserve">a </w:t>
      </w:r>
      <w:r w:rsidR="00452F82">
        <w:rPr>
          <w:rFonts w:ascii="Times New Roman" w:hAnsi="Times New Roman" w:cs="Times New Roman"/>
          <w:sz w:val="24"/>
          <w:szCs w:val="24"/>
        </w:rPr>
        <w:t>U</w:t>
      </w:r>
      <w:r w:rsidR="007F709B">
        <w:rPr>
          <w:rFonts w:ascii="Times New Roman" w:hAnsi="Times New Roman" w:cs="Times New Roman"/>
          <w:sz w:val="24"/>
          <w:szCs w:val="24"/>
        </w:rPr>
        <w:t>E</w:t>
      </w:r>
      <w:r w:rsidR="00A44479">
        <w:rPr>
          <w:rFonts w:ascii="Times New Roman" w:hAnsi="Times New Roman" w:cs="Times New Roman"/>
          <w:sz w:val="24"/>
          <w:szCs w:val="24"/>
        </w:rPr>
        <w:t xml:space="preserve"> </w:t>
      </w:r>
      <w:r w:rsidR="00452F82">
        <w:rPr>
          <w:rFonts w:ascii="Times New Roman" w:hAnsi="Times New Roman" w:cs="Times New Roman"/>
          <w:sz w:val="24"/>
          <w:szCs w:val="24"/>
        </w:rPr>
        <w:t>del 22</w:t>
      </w:r>
      <w:r w:rsidR="00A44479">
        <w:rPr>
          <w:rFonts w:ascii="Times New Roman" w:hAnsi="Times New Roman" w:cs="Times New Roman"/>
          <w:sz w:val="24"/>
          <w:szCs w:val="24"/>
        </w:rPr>
        <w:t xml:space="preserve"> dicembre 2023</w:t>
      </w:r>
      <w:r w:rsidR="009C67F2">
        <w:rPr>
          <w:rFonts w:ascii="Times New Roman" w:hAnsi="Times New Roman" w:cs="Times New Roman"/>
          <w:sz w:val="24"/>
          <w:szCs w:val="24"/>
        </w:rPr>
        <w:t xml:space="preserve">, </w:t>
      </w:r>
      <w:r w:rsidR="00A22EAD">
        <w:rPr>
          <w:rFonts w:ascii="Times New Roman" w:hAnsi="Times New Roman" w:cs="Times New Roman"/>
          <w:sz w:val="24"/>
          <w:szCs w:val="24"/>
        </w:rPr>
        <w:t xml:space="preserve">e risultando </w:t>
      </w:r>
      <w:r w:rsidR="009C67F2">
        <w:rPr>
          <w:rFonts w:ascii="Times New Roman" w:hAnsi="Times New Roman" w:cs="Times New Roman"/>
          <w:sz w:val="24"/>
          <w:szCs w:val="24"/>
        </w:rPr>
        <w:t xml:space="preserve">obbligatori per le imprese </w:t>
      </w:r>
      <w:r w:rsidR="007F709B">
        <w:rPr>
          <w:rFonts w:ascii="Times New Roman" w:hAnsi="Times New Roman" w:cs="Times New Roman"/>
          <w:sz w:val="24"/>
          <w:szCs w:val="24"/>
        </w:rPr>
        <w:t>che ricadono nel</w:t>
      </w:r>
      <w:r w:rsidR="004A3490">
        <w:rPr>
          <w:rFonts w:ascii="Times New Roman" w:hAnsi="Times New Roman" w:cs="Times New Roman"/>
          <w:sz w:val="24"/>
          <w:szCs w:val="24"/>
        </w:rPr>
        <w:t>l’ambito</w:t>
      </w:r>
      <w:r w:rsidR="007F709B">
        <w:rPr>
          <w:rFonts w:ascii="Times New Roman" w:hAnsi="Times New Roman" w:cs="Times New Roman"/>
          <w:sz w:val="24"/>
          <w:szCs w:val="24"/>
        </w:rPr>
        <w:t xml:space="preserve"> di applicazione</w:t>
      </w:r>
      <w:r w:rsidR="009C67F2">
        <w:rPr>
          <w:rFonts w:ascii="Times New Roman" w:hAnsi="Times New Roman" w:cs="Times New Roman"/>
          <w:sz w:val="24"/>
          <w:szCs w:val="24"/>
        </w:rPr>
        <w:t xml:space="preserve"> </w:t>
      </w:r>
      <w:r w:rsidR="004A3490">
        <w:rPr>
          <w:rFonts w:ascii="Times New Roman" w:hAnsi="Times New Roman" w:cs="Times New Roman"/>
          <w:sz w:val="24"/>
          <w:szCs w:val="24"/>
        </w:rPr>
        <w:t>della nuova Direttiva</w:t>
      </w:r>
      <w:r w:rsidR="00DA5784">
        <w:rPr>
          <w:rFonts w:ascii="Times New Roman" w:hAnsi="Times New Roman" w:cs="Times New Roman"/>
          <w:sz w:val="24"/>
          <w:szCs w:val="24"/>
        </w:rPr>
        <w:t xml:space="preserve"> CSRD</w:t>
      </w:r>
      <w:r w:rsidR="004A3490">
        <w:rPr>
          <w:rFonts w:ascii="Times New Roman" w:hAnsi="Times New Roman" w:cs="Times New Roman"/>
          <w:sz w:val="24"/>
          <w:szCs w:val="24"/>
        </w:rPr>
        <w:t xml:space="preserve"> </w:t>
      </w:r>
      <w:r w:rsidR="009C67F2">
        <w:rPr>
          <w:rFonts w:ascii="Times New Roman" w:hAnsi="Times New Roman" w:cs="Times New Roman"/>
          <w:sz w:val="24"/>
          <w:szCs w:val="24"/>
        </w:rPr>
        <w:t>dal 1° gennaio 2024</w:t>
      </w:r>
      <w:r w:rsidR="001F202A" w:rsidRPr="001F202A">
        <w:rPr>
          <w:rFonts w:ascii="Times New Roman" w:hAnsi="Times New Roman" w:cs="Times New Roman"/>
          <w:sz w:val="24"/>
          <w:szCs w:val="24"/>
        </w:rPr>
        <w:t xml:space="preserve">. </w:t>
      </w:r>
    </w:p>
    <w:p w14:paraId="63532841" w14:textId="45BFACD7" w:rsidR="00E6663F" w:rsidRDefault="00A01F1D" w:rsidP="00A01F1D">
      <w:pPr>
        <w:autoSpaceDE w:val="0"/>
        <w:autoSpaceDN w:val="0"/>
        <w:adjustRightInd w:val="0"/>
        <w:spacing w:after="0" w:line="240" w:lineRule="auto"/>
        <w:jc w:val="both"/>
        <w:rPr>
          <w:rFonts w:ascii="Times New Roman" w:hAnsi="Times New Roman" w:cs="Times New Roman"/>
          <w:sz w:val="24"/>
          <w:szCs w:val="24"/>
        </w:rPr>
      </w:pPr>
      <w:r w:rsidRPr="00A01F1D">
        <w:rPr>
          <w:rFonts w:ascii="Times New Roman" w:hAnsi="Times New Roman" w:cs="Times New Roman"/>
          <w:sz w:val="24"/>
          <w:szCs w:val="24"/>
        </w:rPr>
        <w:t xml:space="preserve">L'EFRAG </w:t>
      </w:r>
      <w:r w:rsidR="00E6663F">
        <w:rPr>
          <w:rFonts w:ascii="Times New Roman" w:hAnsi="Times New Roman" w:cs="Times New Roman"/>
          <w:sz w:val="24"/>
          <w:szCs w:val="24"/>
        </w:rPr>
        <w:t xml:space="preserve">intende </w:t>
      </w:r>
      <w:r w:rsidR="00BB4362">
        <w:rPr>
          <w:rFonts w:ascii="Times New Roman" w:hAnsi="Times New Roman" w:cs="Times New Roman"/>
          <w:sz w:val="24"/>
          <w:szCs w:val="24"/>
        </w:rPr>
        <w:t xml:space="preserve">altresì </w:t>
      </w:r>
      <w:r w:rsidRPr="00A01F1D">
        <w:rPr>
          <w:rFonts w:ascii="Times New Roman" w:hAnsi="Times New Roman" w:cs="Times New Roman"/>
          <w:sz w:val="24"/>
          <w:szCs w:val="24"/>
        </w:rPr>
        <w:t xml:space="preserve">pubblicare </w:t>
      </w:r>
      <w:r>
        <w:rPr>
          <w:rFonts w:ascii="Times New Roman" w:hAnsi="Times New Roman" w:cs="Times New Roman"/>
          <w:sz w:val="24"/>
          <w:szCs w:val="24"/>
        </w:rPr>
        <w:t xml:space="preserve">le bozze di </w:t>
      </w:r>
      <w:r w:rsidRPr="00A01F1D">
        <w:rPr>
          <w:rFonts w:ascii="Times New Roman" w:hAnsi="Times New Roman" w:cs="Times New Roman"/>
          <w:sz w:val="24"/>
          <w:szCs w:val="24"/>
        </w:rPr>
        <w:t xml:space="preserve">ESRS </w:t>
      </w:r>
      <w:r>
        <w:rPr>
          <w:rFonts w:ascii="Times New Roman" w:hAnsi="Times New Roman" w:cs="Times New Roman"/>
          <w:sz w:val="24"/>
          <w:szCs w:val="24"/>
        </w:rPr>
        <w:t xml:space="preserve">per le PMI quotate </w:t>
      </w:r>
      <w:r w:rsidR="00E6663F">
        <w:rPr>
          <w:rFonts w:ascii="Times New Roman" w:hAnsi="Times New Roman" w:cs="Times New Roman"/>
          <w:sz w:val="24"/>
          <w:szCs w:val="24"/>
        </w:rPr>
        <w:t xml:space="preserve">in </w:t>
      </w:r>
      <w:r w:rsidRPr="00A01F1D">
        <w:rPr>
          <w:rFonts w:ascii="Times New Roman" w:hAnsi="Times New Roman" w:cs="Times New Roman"/>
          <w:sz w:val="24"/>
          <w:szCs w:val="24"/>
        </w:rPr>
        <w:t xml:space="preserve">consultazione </w:t>
      </w:r>
      <w:r>
        <w:rPr>
          <w:rFonts w:ascii="Times New Roman" w:hAnsi="Times New Roman" w:cs="Times New Roman"/>
          <w:sz w:val="24"/>
          <w:szCs w:val="24"/>
        </w:rPr>
        <w:t>a</w:t>
      </w:r>
      <w:r w:rsidRPr="00A01F1D">
        <w:rPr>
          <w:rFonts w:ascii="Times New Roman" w:hAnsi="Times New Roman" w:cs="Times New Roman"/>
          <w:sz w:val="24"/>
          <w:szCs w:val="24"/>
        </w:rPr>
        <w:t xml:space="preserve"> gennaio 2024 e </w:t>
      </w:r>
      <w:r>
        <w:rPr>
          <w:rFonts w:ascii="Times New Roman" w:hAnsi="Times New Roman" w:cs="Times New Roman"/>
          <w:sz w:val="24"/>
          <w:szCs w:val="24"/>
        </w:rPr>
        <w:t>quindi</w:t>
      </w:r>
      <w:r w:rsidRPr="00A01F1D">
        <w:rPr>
          <w:rFonts w:ascii="Times New Roman" w:hAnsi="Times New Roman" w:cs="Times New Roman"/>
          <w:sz w:val="24"/>
          <w:szCs w:val="24"/>
        </w:rPr>
        <w:t xml:space="preserve"> fornire il proprio parere tecnico </w:t>
      </w:r>
      <w:r w:rsidR="00E6663F">
        <w:rPr>
          <w:rFonts w:ascii="Times New Roman" w:hAnsi="Times New Roman" w:cs="Times New Roman"/>
          <w:sz w:val="24"/>
          <w:szCs w:val="24"/>
        </w:rPr>
        <w:t xml:space="preserve">in merito </w:t>
      </w:r>
      <w:r w:rsidRPr="00A01F1D">
        <w:rPr>
          <w:rFonts w:ascii="Times New Roman" w:hAnsi="Times New Roman" w:cs="Times New Roman"/>
          <w:sz w:val="24"/>
          <w:szCs w:val="24"/>
        </w:rPr>
        <w:t>alla</w:t>
      </w:r>
      <w:r>
        <w:rPr>
          <w:rFonts w:ascii="Times New Roman" w:hAnsi="Times New Roman" w:cs="Times New Roman"/>
          <w:sz w:val="24"/>
          <w:szCs w:val="24"/>
        </w:rPr>
        <w:t xml:space="preserve"> Commissione Europea </w:t>
      </w:r>
      <w:r w:rsidRPr="00A01F1D">
        <w:rPr>
          <w:rFonts w:ascii="Times New Roman" w:hAnsi="Times New Roman" w:cs="Times New Roman"/>
          <w:sz w:val="24"/>
          <w:szCs w:val="24"/>
        </w:rPr>
        <w:t>a novembre 2024</w:t>
      </w:r>
      <w:r>
        <w:rPr>
          <w:rFonts w:ascii="Times New Roman" w:hAnsi="Times New Roman" w:cs="Times New Roman"/>
          <w:sz w:val="24"/>
          <w:szCs w:val="24"/>
        </w:rPr>
        <w:t xml:space="preserve">. </w:t>
      </w:r>
      <w:r w:rsidR="00E6663F">
        <w:rPr>
          <w:rFonts w:ascii="Times New Roman" w:hAnsi="Times New Roman" w:cs="Times New Roman"/>
          <w:sz w:val="24"/>
          <w:szCs w:val="24"/>
        </w:rPr>
        <w:t xml:space="preserve">Il medesimo percorso è previsto anche la </w:t>
      </w:r>
      <w:r>
        <w:rPr>
          <w:rFonts w:ascii="Times New Roman" w:hAnsi="Times New Roman" w:cs="Times New Roman"/>
          <w:sz w:val="24"/>
          <w:szCs w:val="24"/>
        </w:rPr>
        <w:t xml:space="preserve">bozza di standard </w:t>
      </w:r>
      <w:r w:rsidR="00E6663F">
        <w:rPr>
          <w:rFonts w:ascii="Times New Roman" w:hAnsi="Times New Roman" w:cs="Times New Roman"/>
          <w:sz w:val="24"/>
          <w:szCs w:val="24"/>
        </w:rPr>
        <w:t xml:space="preserve">– da applicarsi su base </w:t>
      </w:r>
      <w:r>
        <w:rPr>
          <w:rFonts w:ascii="Times New Roman" w:hAnsi="Times New Roman" w:cs="Times New Roman"/>
          <w:sz w:val="24"/>
          <w:szCs w:val="24"/>
        </w:rPr>
        <w:t>volontari</w:t>
      </w:r>
      <w:r w:rsidR="00E6663F">
        <w:rPr>
          <w:rFonts w:ascii="Times New Roman" w:hAnsi="Times New Roman" w:cs="Times New Roman"/>
          <w:sz w:val="24"/>
          <w:szCs w:val="24"/>
        </w:rPr>
        <w:t>a</w:t>
      </w:r>
      <w:r>
        <w:rPr>
          <w:rFonts w:ascii="Times New Roman" w:hAnsi="Times New Roman" w:cs="Times New Roman"/>
          <w:sz w:val="24"/>
          <w:szCs w:val="24"/>
        </w:rPr>
        <w:t xml:space="preserve"> </w:t>
      </w:r>
      <w:r w:rsidR="00E6663F">
        <w:rPr>
          <w:rFonts w:ascii="Times New Roman" w:hAnsi="Times New Roman" w:cs="Times New Roman"/>
          <w:sz w:val="24"/>
          <w:szCs w:val="24"/>
        </w:rPr>
        <w:t xml:space="preserve">– </w:t>
      </w:r>
      <w:r>
        <w:rPr>
          <w:rFonts w:ascii="Times New Roman" w:hAnsi="Times New Roman" w:cs="Times New Roman"/>
          <w:sz w:val="24"/>
          <w:szCs w:val="24"/>
        </w:rPr>
        <w:t xml:space="preserve">per le PMI che non ricadono nell’ambito della </w:t>
      </w:r>
      <w:r w:rsidR="00E6663F">
        <w:rPr>
          <w:rFonts w:ascii="Times New Roman" w:hAnsi="Times New Roman" w:cs="Times New Roman"/>
          <w:sz w:val="24"/>
          <w:szCs w:val="24"/>
        </w:rPr>
        <w:t xml:space="preserve">nuova Direttiva </w:t>
      </w:r>
      <w:r>
        <w:rPr>
          <w:rFonts w:ascii="Times New Roman" w:hAnsi="Times New Roman" w:cs="Times New Roman"/>
          <w:sz w:val="24"/>
          <w:szCs w:val="24"/>
        </w:rPr>
        <w:t xml:space="preserve">CSRD. </w:t>
      </w:r>
    </w:p>
    <w:p w14:paraId="4CD29BBE" w14:textId="67D42F25" w:rsidR="00A01F1D" w:rsidRDefault="00A01F1D" w:rsidP="00A01F1D">
      <w:pPr>
        <w:autoSpaceDE w:val="0"/>
        <w:autoSpaceDN w:val="0"/>
        <w:adjustRightInd w:val="0"/>
        <w:spacing w:after="0" w:line="240" w:lineRule="auto"/>
        <w:jc w:val="both"/>
        <w:rPr>
          <w:rFonts w:ascii="Times New Roman" w:hAnsi="Times New Roman" w:cs="Times New Roman"/>
          <w:sz w:val="24"/>
          <w:szCs w:val="24"/>
        </w:rPr>
      </w:pPr>
      <w:r w:rsidRPr="00A01F1D">
        <w:rPr>
          <w:rFonts w:ascii="Times New Roman" w:hAnsi="Times New Roman" w:cs="Times New Roman"/>
          <w:sz w:val="24"/>
          <w:szCs w:val="24"/>
        </w:rPr>
        <w:t xml:space="preserve">Nel 1° trimestre del 2024 l'EFRAG pubblicherà </w:t>
      </w:r>
      <w:r>
        <w:rPr>
          <w:rFonts w:ascii="Times New Roman" w:hAnsi="Times New Roman" w:cs="Times New Roman"/>
          <w:sz w:val="24"/>
          <w:szCs w:val="24"/>
        </w:rPr>
        <w:t xml:space="preserve">sempre </w:t>
      </w:r>
      <w:r w:rsidRPr="00A01F1D">
        <w:rPr>
          <w:rFonts w:ascii="Times New Roman" w:hAnsi="Times New Roman" w:cs="Times New Roman"/>
          <w:sz w:val="24"/>
          <w:szCs w:val="24"/>
        </w:rPr>
        <w:t xml:space="preserve">per consultazione </w:t>
      </w:r>
      <w:r>
        <w:rPr>
          <w:rFonts w:ascii="Times New Roman" w:hAnsi="Times New Roman" w:cs="Times New Roman"/>
          <w:sz w:val="24"/>
          <w:szCs w:val="24"/>
        </w:rPr>
        <w:t xml:space="preserve">pubblica </w:t>
      </w:r>
      <w:r w:rsidRPr="00A01F1D">
        <w:rPr>
          <w:rFonts w:ascii="Times New Roman" w:hAnsi="Times New Roman" w:cs="Times New Roman"/>
          <w:sz w:val="24"/>
          <w:szCs w:val="24"/>
        </w:rPr>
        <w:t xml:space="preserve">la tassonomia XBRL </w:t>
      </w:r>
      <w:r w:rsidR="00E6663F">
        <w:rPr>
          <w:rFonts w:ascii="Times New Roman" w:hAnsi="Times New Roman" w:cs="Times New Roman"/>
          <w:sz w:val="24"/>
          <w:szCs w:val="24"/>
        </w:rPr>
        <w:t xml:space="preserve">riferita agli </w:t>
      </w:r>
      <w:r w:rsidRPr="00A01F1D">
        <w:rPr>
          <w:rFonts w:ascii="Times New Roman" w:hAnsi="Times New Roman" w:cs="Times New Roman"/>
          <w:sz w:val="24"/>
          <w:szCs w:val="24"/>
        </w:rPr>
        <w:t>ESRS, e nella seconda metà del 2024 pubblicherà il suo parere finale.</w:t>
      </w:r>
      <w:r>
        <w:rPr>
          <w:rFonts w:ascii="Times New Roman" w:hAnsi="Times New Roman" w:cs="Times New Roman"/>
          <w:sz w:val="24"/>
          <w:szCs w:val="24"/>
        </w:rPr>
        <w:t xml:space="preserve"> </w:t>
      </w:r>
      <w:r w:rsidRPr="00A01F1D">
        <w:rPr>
          <w:rFonts w:ascii="Times New Roman" w:hAnsi="Times New Roman" w:cs="Times New Roman"/>
          <w:sz w:val="24"/>
          <w:szCs w:val="24"/>
        </w:rPr>
        <w:t xml:space="preserve">Questo deliverable costituisce una raccomandazione tecnica alla Commissione </w:t>
      </w:r>
      <w:r w:rsidR="00E6663F">
        <w:rPr>
          <w:rFonts w:ascii="Times New Roman" w:hAnsi="Times New Roman" w:cs="Times New Roman"/>
          <w:sz w:val="24"/>
          <w:szCs w:val="24"/>
        </w:rPr>
        <w:t>E</w:t>
      </w:r>
      <w:r w:rsidRPr="00A01F1D">
        <w:rPr>
          <w:rFonts w:ascii="Times New Roman" w:hAnsi="Times New Roman" w:cs="Times New Roman"/>
          <w:sz w:val="24"/>
          <w:szCs w:val="24"/>
        </w:rPr>
        <w:t>uropea sulle regole di digitalizzazione de</w:t>
      </w:r>
      <w:r>
        <w:rPr>
          <w:rFonts w:ascii="Times New Roman" w:hAnsi="Times New Roman" w:cs="Times New Roman"/>
          <w:sz w:val="24"/>
          <w:szCs w:val="24"/>
        </w:rPr>
        <w:t xml:space="preserve">gli </w:t>
      </w:r>
      <w:r w:rsidRPr="00A01F1D">
        <w:rPr>
          <w:rFonts w:ascii="Times New Roman" w:hAnsi="Times New Roman" w:cs="Times New Roman"/>
          <w:sz w:val="24"/>
          <w:szCs w:val="24"/>
        </w:rPr>
        <w:t>ESRS</w:t>
      </w:r>
      <w:r w:rsidR="00E6663F">
        <w:rPr>
          <w:rFonts w:ascii="Times New Roman" w:hAnsi="Times New Roman" w:cs="Times New Roman"/>
          <w:sz w:val="24"/>
          <w:szCs w:val="24"/>
        </w:rPr>
        <w:t>, su cui s</w:t>
      </w:r>
      <w:r w:rsidRPr="00A01F1D">
        <w:rPr>
          <w:rFonts w:ascii="Times New Roman" w:hAnsi="Times New Roman" w:cs="Times New Roman"/>
          <w:sz w:val="24"/>
          <w:szCs w:val="24"/>
        </w:rPr>
        <w:t xml:space="preserve">uccessivamente l'ESMA </w:t>
      </w:r>
      <w:r w:rsidR="00E6663F">
        <w:rPr>
          <w:rFonts w:ascii="Times New Roman" w:hAnsi="Times New Roman" w:cs="Times New Roman"/>
          <w:sz w:val="24"/>
          <w:szCs w:val="24"/>
        </w:rPr>
        <w:t>– organo preposto dalla normativa europea – e</w:t>
      </w:r>
      <w:r>
        <w:rPr>
          <w:rFonts w:ascii="Times New Roman" w:hAnsi="Times New Roman" w:cs="Times New Roman"/>
          <w:sz w:val="24"/>
          <w:szCs w:val="24"/>
        </w:rPr>
        <w:t xml:space="preserve">sprimerà un proprio parere </w:t>
      </w:r>
      <w:r w:rsidR="00E6663F">
        <w:rPr>
          <w:rFonts w:ascii="Times New Roman" w:hAnsi="Times New Roman" w:cs="Times New Roman"/>
          <w:sz w:val="24"/>
          <w:szCs w:val="24"/>
        </w:rPr>
        <w:t xml:space="preserve">finale in relazione alla </w:t>
      </w:r>
      <w:r w:rsidRPr="00A01F1D">
        <w:rPr>
          <w:rFonts w:ascii="Times New Roman" w:hAnsi="Times New Roman" w:cs="Times New Roman"/>
          <w:sz w:val="24"/>
          <w:szCs w:val="24"/>
        </w:rPr>
        <w:t xml:space="preserve">digitalizzazione </w:t>
      </w:r>
      <w:r w:rsidR="00E6663F">
        <w:rPr>
          <w:rFonts w:ascii="Times New Roman" w:hAnsi="Times New Roman" w:cs="Times New Roman"/>
          <w:sz w:val="24"/>
          <w:szCs w:val="24"/>
        </w:rPr>
        <w:t xml:space="preserve">dell’informativa di sostenibilità </w:t>
      </w:r>
      <w:r w:rsidRPr="00A01F1D">
        <w:rPr>
          <w:rFonts w:ascii="Times New Roman" w:hAnsi="Times New Roman" w:cs="Times New Roman"/>
          <w:sz w:val="24"/>
          <w:szCs w:val="24"/>
        </w:rPr>
        <w:t>e sulla data di entrata in vigore</w:t>
      </w:r>
      <w:r w:rsidR="00E6663F">
        <w:rPr>
          <w:rFonts w:ascii="Times New Roman" w:hAnsi="Times New Roman" w:cs="Times New Roman"/>
          <w:sz w:val="24"/>
          <w:szCs w:val="24"/>
        </w:rPr>
        <w:t xml:space="preserve"> della tassonomia XBRL</w:t>
      </w:r>
      <w:r w:rsidRPr="00A01F1D">
        <w:rPr>
          <w:rFonts w:ascii="Times New Roman" w:hAnsi="Times New Roman" w:cs="Times New Roman"/>
          <w:sz w:val="24"/>
          <w:szCs w:val="24"/>
        </w:rPr>
        <w:t>.</w:t>
      </w:r>
      <w:r>
        <w:rPr>
          <w:rFonts w:ascii="Times New Roman" w:hAnsi="Times New Roman" w:cs="Times New Roman"/>
          <w:sz w:val="24"/>
          <w:szCs w:val="24"/>
        </w:rPr>
        <w:t xml:space="preserve"> </w:t>
      </w:r>
    </w:p>
    <w:p w14:paraId="446696D5" w14:textId="7DE0DE1F" w:rsidR="001F202A" w:rsidRDefault="00A01F1D" w:rsidP="00A01F1D">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In merito agli standard settoriali europei per il reporting di sostenibilità n</w:t>
      </w:r>
      <w:r w:rsidRPr="00A01F1D">
        <w:rPr>
          <w:rFonts w:ascii="Times New Roman" w:hAnsi="Times New Roman" w:cs="Times New Roman"/>
          <w:sz w:val="24"/>
          <w:szCs w:val="24"/>
        </w:rPr>
        <w:t>ella prima metà del 2024 l'EFRAG prevede di finalizzare le bozze d</w:t>
      </w:r>
      <w:r>
        <w:rPr>
          <w:rFonts w:ascii="Times New Roman" w:hAnsi="Times New Roman" w:cs="Times New Roman"/>
          <w:sz w:val="24"/>
          <w:szCs w:val="24"/>
        </w:rPr>
        <w:t xml:space="preserve">ei </w:t>
      </w:r>
      <w:r w:rsidRPr="00A01F1D">
        <w:rPr>
          <w:rFonts w:ascii="Times New Roman" w:hAnsi="Times New Roman" w:cs="Times New Roman"/>
          <w:sz w:val="24"/>
          <w:szCs w:val="24"/>
        </w:rPr>
        <w:t>seguenti</w:t>
      </w:r>
      <w:r>
        <w:rPr>
          <w:rFonts w:ascii="Times New Roman" w:hAnsi="Times New Roman" w:cs="Times New Roman"/>
          <w:sz w:val="24"/>
          <w:szCs w:val="24"/>
        </w:rPr>
        <w:t xml:space="preserve"> documenti</w:t>
      </w:r>
      <w:r w:rsidRPr="00A01F1D">
        <w:rPr>
          <w:rFonts w:ascii="Times New Roman" w:hAnsi="Times New Roman" w:cs="Times New Roman"/>
          <w:sz w:val="24"/>
          <w:szCs w:val="24"/>
        </w:rPr>
        <w:t>: i) l'orientamento generale a</w:t>
      </w:r>
      <w:r>
        <w:rPr>
          <w:rFonts w:ascii="Times New Roman" w:hAnsi="Times New Roman" w:cs="Times New Roman"/>
          <w:sz w:val="24"/>
          <w:szCs w:val="24"/>
        </w:rPr>
        <w:t xml:space="preserve">gli </w:t>
      </w:r>
      <w:r w:rsidRPr="00A01F1D">
        <w:rPr>
          <w:rFonts w:ascii="Times New Roman" w:hAnsi="Times New Roman" w:cs="Times New Roman"/>
          <w:sz w:val="24"/>
          <w:szCs w:val="24"/>
        </w:rPr>
        <w:t>ESRS settorial</w:t>
      </w:r>
      <w:r>
        <w:rPr>
          <w:rFonts w:ascii="Times New Roman" w:hAnsi="Times New Roman" w:cs="Times New Roman"/>
          <w:sz w:val="24"/>
          <w:szCs w:val="24"/>
        </w:rPr>
        <w:t>i</w:t>
      </w:r>
      <w:r w:rsidRPr="00A01F1D">
        <w:rPr>
          <w:rFonts w:ascii="Times New Roman" w:hAnsi="Times New Roman" w:cs="Times New Roman"/>
          <w:sz w:val="24"/>
          <w:szCs w:val="24"/>
        </w:rPr>
        <w:t>, ii) l'approccio di classificazione settoriale de</w:t>
      </w:r>
      <w:r>
        <w:rPr>
          <w:rFonts w:ascii="Times New Roman" w:hAnsi="Times New Roman" w:cs="Times New Roman"/>
          <w:sz w:val="24"/>
          <w:szCs w:val="24"/>
        </w:rPr>
        <w:t xml:space="preserve">gli </w:t>
      </w:r>
      <w:r w:rsidRPr="00A01F1D">
        <w:rPr>
          <w:rFonts w:ascii="Times New Roman" w:hAnsi="Times New Roman" w:cs="Times New Roman"/>
          <w:sz w:val="24"/>
          <w:szCs w:val="24"/>
        </w:rPr>
        <w:t xml:space="preserve">ESRS, basato sulla classificazione statistica delle attività economiche nella Comunità europea (NACE), e iii) due </w:t>
      </w:r>
      <w:r>
        <w:rPr>
          <w:rFonts w:ascii="Times New Roman" w:hAnsi="Times New Roman" w:cs="Times New Roman"/>
          <w:sz w:val="24"/>
          <w:szCs w:val="24"/>
        </w:rPr>
        <w:t xml:space="preserve">bozze </w:t>
      </w:r>
      <w:r w:rsidRPr="00A01F1D">
        <w:rPr>
          <w:rFonts w:ascii="Times New Roman" w:hAnsi="Times New Roman" w:cs="Times New Roman"/>
          <w:sz w:val="24"/>
          <w:szCs w:val="24"/>
        </w:rPr>
        <w:t xml:space="preserve">di ESRS per i settori ad </w:t>
      </w:r>
      <w:r w:rsidRPr="00A01F1D">
        <w:rPr>
          <w:rFonts w:ascii="Times New Roman" w:hAnsi="Times New Roman" w:cs="Times New Roman"/>
          <w:sz w:val="24"/>
          <w:szCs w:val="24"/>
        </w:rPr>
        <w:lastRenderedPageBreak/>
        <w:t>alto impatto, rispettivamente petrolio e gas, che copr</w:t>
      </w:r>
      <w:r w:rsidR="00BB4362">
        <w:rPr>
          <w:rFonts w:ascii="Times New Roman" w:hAnsi="Times New Roman" w:cs="Times New Roman"/>
          <w:sz w:val="24"/>
          <w:szCs w:val="24"/>
        </w:rPr>
        <w:t>a</w:t>
      </w:r>
      <w:r w:rsidRPr="00A01F1D">
        <w:rPr>
          <w:rFonts w:ascii="Times New Roman" w:hAnsi="Times New Roman" w:cs="Times New Roman"/>
          <w:sz w:val="24"/>
          <w:szCs w:val="24"/>
        </w:rPr>
        <w:t xml:space="preserve">no le attività da monte a valle, e l'industria mineraria, estrattiva e carbonifera. </w:t>
      </w:r>
    </w:p>
    <w:p w14:paraId="2D2971A3" w14:textId="28183CC9" w:rsidR="004A3E4A" w:rsidRDefault="004A3E4A" w:rsidP="004A3E4A">
      <w:pPr>
        <w:autoSpaceDE w:val="0"/>
        <w:autoSpaceDN w:val="0"/>
        <w:adjustRightInd w:val="0"/>
        <w:spacing w:after="0" w:line="240" w:lineRule="auto"/>
        <w:jc w:val="both"/>
        <w:rPr>
          <w:rFonts w:ascii="Times New Roman" w:hAnsi="Times New Roman" w:cs="Times New Roman"/>
          <w:sz w:val="24"/>
          <w:szCs w:val="24"/>
        </w:rPr>
      </w:pPr>
      <w:r w:rsidRPr="004A3E4A">
        <w:rPr>
          <w:rFonts w:ascii="Times New Roman" w:hAnsi="Times New Roman" w:cs="Times New Roman"/>
          <w:sz w:val="24"/>
          <w:szCs w:val="24"/>
        </w:rPr>
        <w:t>A norma dell'articolo 40</w:t>
      </w:r>
      <w:r w:rsidR="00BB4362">
        <w:rPr>
          <w:rFonts w:ascii="Times New Roman" w:hAnsi="Times New Roman" w:cs="Times New Roman"/>
          <w:sz w:val="24"/>
          <w:szCs w:val="24"/>
        </w:rPr>
        <w:t>-</w:t>
      </w:r>
      <w:r w:rsidRPr="004A3E4A">
        <w:rPr>
          <w:rFonts w:ascii="Times New Roman" w:hAnsi="Times New Roman" w:cs="Times New Roman"/>
          <w:sz w:val="24"/>
          <w:szCs w:val="24"/>
        </w:rPr>
        <w:t xml:space="preserve">bis della CSRD, </w:t>
      </w:r>
      <w:r w:rsidR="00BB4362">
        <w:rPr>
          <w:rFonts w:ascii="Times New Roman" w:hAnsi="Times New Roman" w:cs="Times New Roman"/>
          <w:sz w:val="24"/>
          <w:szCs w:val="24"/>
        </w:rPr>
        <w:t xml:space="preserve">come già ricordato, </w:t>
      </w:r>
      <w:r w:rsidRPr="00BA1A97">
        <w:rPr>
          <w:rFonts w:ascii="Times New Roman" w:hAnsi="Times New Roman" w:cs="Times New Roman"/>
          <w:sz w:val="24"/>
          <w:szCs w:val="24"/>
        </w:rPr>
        <w:t>le succursali o filia</w:t>
      </w:r>
      <w:r w:rsidR="004B5A85">
        <w:rPr>
          <w:rFonts w:ascii="Times New Roman" w:hAnsi="Times New Roman" w:cs="Times New Roman"/>
          <w:sz w:val="24"/>
          <w:szCs w:val="24"/>
        </w:rPr>
        <w:t>li</w:t>
      </w:r>
      <w:r w:rsidRPr="00BA1A97">
        <w:rPr>
          <w:rFonts w:ascii="Times New Roman" w:hAnsi="Times New Roman" w:cs="Times New Roman"/>
          <w:sz w:val="24"/>
          <w:szCs w:val="24"/>
        </w:rPr>
        <w:t xml:space="preserve"> UE</w:t>
      </w:r>
      <w:r w:rsidRPr="004A3E4A">
        <w:rPr>
          <w:rFonts w:ascii="Times New Roman" w:hAnsi="Times New Roman" w:cs="Times New Roman"/>
          <w:sz w:val="24"/>
          <w:szCs w:val="24"/>
        </w:rPr>
        <w:t xml:space="preserve"> di società di </w:t>
      </w:r>
      <w:r w:rsidR="004B5A85">
        <w:rPr>
          <w:rFonts w:ascii="Times New Roman" w:hAnsi="Times New Roman" w:cs="Times New Roman"/>
          <w:sz w:val="24"/>
          <w:szCs w:val="24"/>
        </w:rPr>
        <w:t>P</w:t>
      </w:r>
      <w:r w:rsidRPr="004A3E4A">
        <w:rPr>
          <w:rFonts w:ascii="Times New Roman" w:hAnsi="Times New Roman" w:cs="Times New Roman"/>
          <w:sz w:val="24"/>
          <w:szCs w:val="24"/>
        </w:rPr>
        <w:t xml:space="preserve">aesi terzi che generano più di 150 milioni di euro nell'UE </w:t>
      </w:r>
      <w:r>
        <w:rPr>
          <w:rFonts w:ascii="Times New Roman" w:hAnsi="Times New Roman" w:cs="Times New Roman"/>
          <w:sz w:val="24"/>
          <w:szCs w:val="24"/>
        </w:rPr>
        <w:t xml:space="preserve">devono </w:t>
      </w:r>
      <w:r w:rsidRPr="004A3E4A">
        <w:rPr>
          <w:rFonts w:ascii="Times New Roman" w:hAnsi="Times New Roman" w:cs="Times New Roman"/>
          <w:sz w:val="24"/>
          <w:szCs w:val="24"/>
        </w:rPr>
        <w:t>pubblica</w:t>
      </w:r>
      <w:r>
        <w:rPr>
          <w:rFonts w:ascii="Times New Roman" w:hAnsi="Times New Roman" w:cs="Times New Roman"/>
          <w:sz w:val="24"/>
          <w:szCs w:val="24"/>
        </w:rPr>
        <w:t>re</w:t>
      </w:r>
      <w:r w:rsidRPr="004A3E4A">
        <w:rPr>
          <w:rFonts w:ascii="Times New Roman" w:hAnsi="Times New Roman" w:cs="Times New Roman"/>
          <w:sz w:val="24"/>
          <w:szCs w:val="24"/>
        </w:rPr>
        <w:t xml:space="preserve"> informazioni relative alla sostenibilità </w:t>
      </w:r>
      <w:r>
        <w:rPr>
          <w:rFonts w:ascii="Times New Roman" w:hAnsi="Times New Roman" w:cs="Times New Roman"/>
          <w:sz w:val="24"/>
          <w:szCs w:val="24"/>
        </w:rPr>
        <w:t>seguendo gli ESRS a partire</w:t>
      </w:r>
      <w:r w:rsidRPr="004A3E4A">
        <w:rPr>
          <w:rFonts w:ascii="Times New Roman" w:hAnsi="Times New Roman" w:cs="Times New Roman"/>
          <w:sz w:val="24"/>
          <w:szCs w:val="24"/>
        </w:rPr>
        <w:t xml:space="preserve"> </w:t>
      </w:r>
      <w:r>
        <w:rPr>
          <w:rFonts w:ascii="Times New Roman" w:hAnsi="Times New Roman" w:cs="Times New Roman"/>
          <w:sz w:val="24"/>
          <w:szCs w:val="24"/>
        </w:rPr>
        <w:t xml:space="preserve">dal </w:t>
      </w:r>
      <w:r w:rsidRPr="004A3E4A">
        <w:rPr>
          <w:rFonts w:ascii="Times New Roman" w:hAnsi="Times New Roman" w:cs="Times New Roman"/>
          <w:sz w:val="24"/>
          <w:szCs w:val="24"/>
        </w:rPr>
        <w:t>1° gennaio 2028. La CSRD prevede l'adozione di norme distinte in particolare per il caso di tali società extra-UE</w:t>
      </w:r>
      <w:r>
        <w:rPr>
          <w:rFonts w:ascii="Times New Roman" w:hAnsi="Times New Roman" w:cs="Times New Roman"/>
          <w:sz w:val="24"/>
          <w:szCs w:val="24"/>
        </w:rPr>
        <w:t>. L</w:t>
      </w:r>
      <w:r w:rsidRPr="004A3E4A">
        <w:rPr>
          <w:rFonts w:ascii="Times New Roman" w:hAnsi="Times New Roman" w:cs="Times New Roman"/>
          <w:sz w:val="24"/>
          <w:szCs w:val="24"/>
        </w:rPr>
        <w:t xml:space="preserve">'adozione di tali norme come atto delegato </w:t>
      </w:r>
      <w:r>
        <w:rPr>
          <w:rFonts w:ascii="Times New Roman" w:hAnsi="Times New Roman" w:cs="Times New Roman"/>
          <w:sz w:val="24"/>
          <w:szCs w:val="24"/>
        </w:rPr>
        <w:t>doveva</w:t>
      </w:r>
      <w:r w:rsidRPr="004A3E4A">
        <w:rPr>
          <w:rFonts w:ascii="Times New Roman" w:hAnsi="Times New Roman" w:cs="Times New Roman"/>
          <w:sz w:val="24"/>
          <w:szCs w:val="24"/>
        </w:rPr>
        <w:t xml:space="preserve"> </w:t>
      </w:r>
      <w:r>
        <w:rPr>
          <w:rFonts w:ascii="Times New Roman" w:hAnsi="Times New Roman" w:cs="Times New Roman"/>
          <w:sz w:val="24"/>
          <w:szCs w:val="24"/>
        </w:rPr>
        <w:t>avvenire a</w:t>
      </w:r>
      <w:r w:rsidRPr="004A3E4A">
        <w:rPr>
          <w:rFonts w:ascii="Times New Roman" w:hAnsi="Times New Roman" w:cs="Times New Roman"/>
          <w:sz w:val="24"/>
          <w:szCs w:val="24"/>
        </w:rPr>
        <w:t xml:space="preserve"> giugno 2024. Tuttavia, la Commissione europea ha proposto di posticipare la scadenza di due anni, a giugno 2026. Supponendo che tale rinvio sia confermato, l'EFRAG dovrebbe fornire il suo parere </w:t>
      </w:r>
      <w:r w:rsidR="00BB4362">
        <w:rPr>
          <w:rFonts w:ascii="Times New Roman" w:hAnsi="Times New Roman" w:cs="Times New Roman"/>
          <w:sz w:val="24"/>
          <w:szCs w:val="24"/>
        </w:rPr>
        <w:t xml:space="preserve">sotto forma di bozza di standard </w:t>
      </w:r>
      <w:r w:rsidRPr="004A3E4A">
        <w:rPr>
          <w:rFonts w:ascii="Times New Roman" w:hAnsi="Times New Roman" w:cs="Times New Roman"/>
          <w:sz w:val="24"/>
          <w:szCs w:val="24"/>
        </w:rPr>
        <w:t xml:space="preserve">alla Commissione </w:t>
      </w:r>
      <w:r w:rsidR="00BB4362">
        <w:rPr>
          <w:rFonts w:ascii="Times New Roman" w:hAnsi="Times New Roman" w:cs="Times New Roman"/>
          <w:sz w:val="24"/>
          <w:szCs w:val="24"/>
        </w:rPr>
        <w:t xml:space="preserve">europea </w:t>
      </w:r>
      <w:r w:rsidRPr="004A3E4A">
        <w:rPr>
          <w:rFonts w:ascii="Times New Roman" w:hAnsi="Times New Roman" w:cs="Times New Roman"/>
          <w:sz w:val="24"/>
          <w:szCs w:val="24"/>
        </w:rPr>
        <w:t>entro novembre 2025.</w:t>
      </w:r>
      <w:r>
        <w:rPr>
          <w:rFonts w:ascii="Times New Roman" w:hAnsi="Times New Roman" w:cs="Times New Roman"/>
          <w:sz w:val="24"/>
          <w:szCs w:val="24"/>
        </w:rPr>
        <w:t xml:space="preserve"> </w:t>
      </w:r>
      <w:r w:rsidRPr="004A3E4A">
        <w:rPr>
          <w:rFonts w:ascii="Times New Roman" w:hAnsi="Times New Roman" w:cs="Times New Roman"/>
          <w:sz w:val="24"/>
          <w:szCs w:val="24"/>
        </w:rPr>
        <w:t xml:space="preserve">La consultazione inizierà nel 4° trimestre 2024 o </w:t>
      </w:r>
      <w:r>
        <w:rPr>
          <w:rFonts w:ascii="Times New Roman" w:hAnsi="Times New Roman" w:cs="Times New Roman"/>
          <w:sz w:val="24"/>
          <w:szCs w:val="24"/>
        </w:rPr>
        <w:t xml:space="preserve">al massimo </w:t>
      </w:r>
      <w:r w:rsidRPr="004A3E4A">
        <w:rPr>
          <w:rFonts w:ascii="Times New Roman" w:hAnsi="Times New Roman" w:cs="Times New Roman"/>
          <w:sz w:val="24"/>
          <w:szCs w:val="24"/>
        </w:rPr>
        <w:t>nel 1° trimestre 2025.</w:t>
      </w:r>
    </w:p>
    <w:p w14:paraId="37421D1A" w14:textId="77777777" w:rsidR="00A01F1D" w:rsidRDefault="00A01F1D" w:rsidP="00A01F1D">
      <w:pPr>
        <w:autoSpaceDE w:val="0"/>
        <w:autoSpaceDN w:val="0"/>
        <w:adjustRightInd w:val="0"/>
        <w:spacing w:after="0" w:line="240" w:lineRule="auto"/>
        <w:jc w:val="both"/>
        <w:rPr>
          <w:rFonts w:ascii="Times New Roman" w:hAnsi="Times New Roman" w:cs="Times New Roman"/>
          <w:sz w:val="24"/>
          <w:szCs w:val="24"/>
        </w:rPr>
      </w:pPr>
    </w:p>
    <w:p w14:paraId="64CC2DA8" w14:textId="77777777" w:rsidR="0093704D" w:rsidRDefault="0093704D" w:rsidP="00A01F1D">
      <w:pPr>
        <w:autoSpaceDE w:val="0"/>
        <w:autoSpaceDN w:val="0"/>
        <w:adjustRightInd w:val="0"/>
        <w:spacing w:after="0" w:line="240" w:lineRule="auto"/>
        <w:jc w:val="both"/>
        <w:rPr>
          <w:rFonts w:ascii="Times New Roman" w:hAnsi="Times New Roman" w:cs="Times New Roman"/>
          <w:sz w:val="24"/>
          <w:szCs w:val="24"/>
        </w:rPr>
      </w:pPr>
    </w:p>
    <w:p w14:paraId="40967447" w14:textId="57D3ACDA" w:rsidR="00AA3C27" w:rsidRPr="00CB753A" w:rsidRDefault="008A5483" w:rsidP="00AA3C27">
      <w:pPr>
        <w:autoSpaceDE w:val="0"/>
        <w:autoSpaceDN w:val="0"/>
        <w:adjustRightInd w:val="0"/>
        <w:spacing w:after="0" w:line="24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3</w:t>
      </w:r>
      <w:r w:rsidR="00AA3C27">
        <w:rPr>
          <w:rFonts w:ascii="Times New Roman" w:hAnsi="Times New Roman" w:cs="Times New Roman"/>
          <w:b/>
          <w:bCs/>
          <w:color w:val="000000"/>
          <w:sz w:val="24"/>
          <w:szCs w:val="24"/>
        </w:rPr>
        <w:t xml:space="preserve">. </w:t>
      </w:r>
      <w:r w:rsidR="000F2C55">
        <w:rPr>
          <w:rFonts w:ascii="Times New Roman" w:hAnsi="Times New Roman" w:cs="Times New Roman"/>
          <w:b/>
          <w:bCs/>
          <w:color w:val="000000"/>
          <w:sz w:val="24"/>
          <w:szCs w:val="24"/>
        </w:rPr>
        <w:t>L</w:t>
      </w:r>
      <w:r w:rsidR="00AA3C27">
        <w:rPr>
          <w:rFonts w:ascii="Times New Roman" w:hAnsi="Times New Roman" w:cs="Times New Roman"/>
          <w:b/>
          <w:bCs/>
          <w:color w:val="000000"/>
          <w:sz w:val="24"/>
          <w:szCs w:val="24"/>
        </w:rPr>
        <w:t>e iniziative internazionali nel campo della</w:t>
      </w:r>
      <w:r w:rsidR="00AA3C27" w:rsidRPr="00CB753A">
        <w:rPr>
          <w:rFonts w:ascii="Times New Roman" w:hAnsi="Times New Roman" w:cs="Times New Roman"/>
          <w:b/>
          <w:bCs/>
          <w:color w:val="000000"/>
          <w:sz w:val="24"/>
          <w:szCs w:val="24"/>
        </w:rPr>
        <w:t xml:space="preserve"> standardizzazione del reporting di sostenibilità</w:t>
      </w:r>
    </w:p>
    <w:p w14:paraId="3119A9DE" w14:textId="77777777" w:rsidR="00AA3C27" w:rsidRPr="001F202A" w:rsidRDefault="00AA3C27" w:rsidP="00A01F1D">
      <w:pPr>
        <w:autoSpaceDE w:val="0"/>
        <w:autoSpaceDN w:val="0"/>
        <w:adjustRightInd w:val="0"/>
        <w:spacing w:after="0" w:line="240" w:lineRule="auto"/>
        <w:jc w:val="both"/>
        <w:rPr>
          <w:rFonts w:ascii="Times New Roman" w:hAnsi="Times New Roman" w:cs="Times New Roman"/>
          <w:sz w:val="24"/>
          <w:szCs w:val="24"/>
        </w:rPr>
      </w:pPr>
    </w:p>
    <w:p w14:paraId="665EDF6F" w14:textId="03B72D14" w:rsidR="00AA3C27" w:rsidRDefault="00AA3C27" w:rsidP="001F202A">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In chiave internazionale, a seguito dei pr</w:t>
      </w:r>
      <w:r w:rsidR="0093704D">
        <w:rPr>
          <w:rFonts w:ascii="Times New Roman" w:hAnsi="Times New Roman" w:cs="Times New Roman"/>
          <w:sz w:val="24"/>
          <w:szCs w:val="24"/>
        </w:rPr>
        <w:t>o</w:t>
      </w:r>
      <w:r>
        <w:rPr>
          <w:rFonts w:ascii="Times New Roman" w:hAnsi="Times New Roman" w:cs="Times New Roman"/>
          <w:sz w:val="24"/>
          <w:szCs w:val="24"/>
        </w:rPr>
        <w:t>cessi di consolidamento che saranno illustrati nel prosieguo</w:t>
      </w:r>
      <w:r w:rsidR="0093704D">
        <w:rPr>
          <w:rFonts w:ascii="Times New Roman" w:hAnsi="Times New Roman" w:cs="Times New Roman"/>
          <w:sz w:val="24"/>
          <w:szCs w:val="24"/>
        </w:rPr>
        <w:t>,</w:t>
      </w:r>
      <w:r>
        <w:rPr>
          <w:rFonts w:ascii="Times New Roman" w:hAnsi="Times New Roman" w:cs="Times New Roman"/>
          <w:sz w:val="24"/>
          <w:szCs w:val="24"/>
        </w:rPr>
        <w:t xml:space="preserve"> sono due le principali iniziative rimaste </w:t>
      </w:r>
      <w:r w:rsidR="0093704D">
        <w:rPr>
          <w:rFonts w:ascii="Times New Roman" w:hAnsi="Times New Roman" w:cs="Times New Roman"/>
          <w:sz w:val="24"/>
          <w:szCs w:val="24"/>
        </w:rPr>
        <w:t xml:space="preserve">quale riferimento </w:t>
      </w:r>
      <w:r>
        <w:rPr>
          <w:rFonts w:ascii="Times New Roman" w:hAnsi="Times New Roman" w:cs="Times New Roman"/>
          <w:sz w:val="24"/>
          <w:szCs w:val="24"/>
        </w:rPr>
        <w:t xml:space="preserve">nel campo della standardizzazione dell’informazione di sostenibilità. </w:t>
      </w:r>
    </w:p>
    <w:p w14:paraId="2328AAB9" w14:textId="77777777" w:rsidR="00AA3C27" w:rsidRDefault="00AA3C27" w:rsidP="001F202A">
      <w:pPr>
        <w:autoSpaceDE w:val="0"/>
        <w:autoSpaceDN w:val="0"/>
        <w:adjustRightInd w:val="0"/>
        <w:spacing w:after="0" w:line="240" w:lineRule="auto"/>
        <w:jc w:val="both"/>
        <w:rPr>
          <w:rFonts w:ascii="Times New Roman" w:hAnsi="Times New Roman" w:cs="Times New Roman"/>
          <w:sz w:val="24"/>
          <w:szCs w:val="24"/>
        </w:rPr>
      </w:pPr>
    </w:p>
    <w:p w14:paraId="4FFE78AA" w14:textId="0CCE1B42" w:rsidR="00AA3C27" w:rsidRPr="00E11234" w:rsidRDefault="008A5483" w:rsidP="001F202A">
      <w:pPr>
        <w:autoSpaceDE w:val="0"/>
        <w:autoSpaceDN w:val="0"/>
        <w:adjustRightInd w:val="0"/>
        <w:spacing w:after="0" w:line="240" w:lineRule="auto"/>
        <w:jc w:val="both"/>
        <w:rPr>
          <w:rFonts w:ascii="Times New Roman" w:hAnsi="Times New Roman" w:cs="Times New Roman"/>
          <w:b/>
          <w:bCs/>
          <w:i/>
          <w:iCs/>
          <w:sz w:val="24"/>
          <w:szCs w:val="24"/>
          <w:lang w:val="en-US"/>
        </w:rPr>
      </w:pPr>
      <w:r>
        <w:rPr>
          <w:rFonts w:ascii="Times New Roman" w:hAnsi="Times New Roman" w:cs="Times New Roman"/>
          <w:b/>
          <w:bCs/>
          <w:i/>
          <w:iCs/>
          <w:sz w:val="24"/>
          <w:szCs w:val="24"/>
          <w:lang w:val="en-US"/>
        </w:rPr>
        <w:t>3</w:t>
      </w:r>
      <w:r w:rsidR="00AA3C27" w:rsidRPr="00E11234">
        <w:rPr>
          <w:rFonts w:ascii="Times New Roman" w:hAnsi="Times New Roman" w:cs="Times New Roman"/>
          <w:b/>
          <w:bCs/>
          <w:i/>
          <w:iCs/>
          <w:sz w:val="24"/>
          <w:szCs w:val="24"/>
          <w:lang w:val="en-US"/>
        </w:rPr>
        <w:t>.1</w:t>
      </w:r>
      <w:r w:rsidR="005347E6">
        <w:rPr>
          <w:rFonts w:ascii="Times New Roman" w:hAnsi="Times New Roman" w:cs="Times New Roman"/>
          <w:b/>
          <w:bCs/>
          <w:i/>
          <w:iCs/>
          <w:sz w:val="24"/>
          <w:szCs w:val="24"/>
          <w:lang w:val="en-US"/>
        </w:rPr>
        <w:t>.</w:t>
      </w:r>
      <w:r w:rsidR="00AA3C27" w:rsidRPr="00E11234">
        <w:rPr>
          <w:rFonts w:ascii="Times New Roman" w:hAnsi="Times New Roman" w:cs="Times New Roman"/>
          <w:b/>
          <w:bCs/>
          <w:i/>
          <w:iCs/>
          <w:sz w:val="24"/>
          <w:szCs w:val="24"/>
          <w:lang w:val="en-US"/>
        </w:rPr>
        <w:t xml:space="preserve"> L’International Sustainability Standards Board (ISSB)</w:t>
      </w:r>
    </w:p>
    <w:p w14:paraId="2EB551D5" w14:textId="1844CC67" w:rsidR="001F202A" w:rsidRPr="001F202A" w:rsidRDefault="001F202A" w:rsidP="001F202A">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Con riferimento al contesto internazionale extra-europeo, durante la COP26 di Glasgow, svoltasi nel novembre 2021, è stata annunciata la formazione dell’</w:t>
      </w:r>
      <w:r w:rsidRPr="001F202A">
        <w:rPr>
          <w:rFonts w:ascii="Times New Roman" w:hAnsi="Times New Roman" w:cs="Times New Roman"/>
          <w:b/>
          <w:bCs/>
          <w:sz w:val="24"/>
          <w:szCs w:val="24"/>
        </w:rPr>
        <w:t>International Sustainability Standards Board</w:t>
      </w:r>
      <w:r w:rsidR="00736A3F">
        <w:rPr>
          <w:rFonts w:ascii="Times New Roman" w:hAnsi="Times New Roman" w:cs="Times New Roman"/>
          <w:b/>
          <w:bCs/>
          <w:sz w:val="24"/>
          <w:szCs w:val="24"/>
        </w:rPr>
        <w:t xml:space="preserve"> (ISSB</w:t>
      </w:r>
      <w:r w:rsidRPr="001F202A">
        <w:rPr>
          <w:rFonts w:ascii="Times New Roman" w:hAnsi="Times New Roman" w:cs="Times New Roman"/>
          <w:b/>
          <w:bCs/>
          <w:sz w:val="24"/>
          <w:szCs w:val="24"/>
        </w:rPr>
        <w:t>)</w:t>
      </w:r>
      <w:r w:rsidRPr="001F202A">
        <w:rPr>
          <w:rFonts w:ascii="Times New Roman" w:hAnsi="Times New Roman" w:cs="Times New Roman"/>
          <w:sz w:val="24"/>
          <w:szCs w:val="24"/>
        </w:rPr>
        <w:t xml:space="preserve">, l’organismo che </w:t>
      </w:r>
      <w:r w:rsidR="005347E6">
        <w:rPr>
          <w:rFonts w:ascii="Times New Roman" w:hAnsi="Times New Roman" w:cs="Times New Roman"/>
          <w:sz w:val="24"/>
          <w:szCs w:val="24"/>
        </w:rPr>
        <w:t>ha</w:t>
      </w:r>
      <w:r w:rsidRPr="001F202A">
        <w:rPr>
          <w:rFonts w:ascii="Times New Roman" w:hAnsi="Times New Roman" w:cs="Times New Roman"/>
          <w:sz w:val="24"/>
          <w:szCs w:val="24"/>
        </w:rPr>
        <w:t xml:space="preserve"> il compito di emanare standard per il reporting di sostenibilità che forniranno una base comune (“baseline”) a livello internazionale</w:t>
      </w:r>
      <w:r w:rsidR="007177FE">
        <w:rPr>
          <w:rFonts w:ascii="Times New Roman" w:hAnsi="Times New Roman" w:cs="Times New Roman"/>
          <w:sz w:val="24"/>
          <w:szCs w:val="24"/>
        </w:rPr>
        <w:t>, con il supporto dallo IOSCO, ovvero l’associazione mondiale delle Borse valori</w:t>
      </w:r>
      <w:r w:rsidRPr="001F202A">
        <w:rPr>
          <w:rFonts w:ascii="Times New Roman" w:hAnsi="Times New Roman" w:cs="Times New Roman"/>
          <w:sz w:val="24"/>
          <w:szCs w:val="24"/>
        </w:rPr>
        <w:t>.</w:t>
      </w:r>
    </w:p>
    <w:p w14:paraId="3981AC31" w14:textId="680DADF4" w:rsidR="005347E6" w:rsidRDefault="001F202A" w:rsidP="002D51F7">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 xml:space="preserve">L’ISSB fa parte della </w:t>
      </w:r>
      <w:r w:rsidRPr="001F202A">
        <w:rPr>
          <w:rFonts w:ascii="Times New Roman" w:hAnsi="Times New Roman" w:cs="Times New Roman"/>
          <w:b/>
          <w:bCs/>
          <w:sz w:val="24"/>
          <w:szCs w:val="24"/>
        </w:rPr>
        <w:t xml:space="preserve">IFRS (International Financial Reporting Standards) </w:t>
      </w:r>
      <w:r w:rsidRPr="001F202A">
        <w:rPr>
          <w:rFonts w:ascii="Times New Roman" w:hAnsi="Times New Roman" w:cs="Times New Roman"/>
          <w:sz w:val="24"/>
          <w:szCs w:val="24"/>
        </w:rPr>
        <w:t xml:space="preserve">Foundation, che già accoglie al proprio interno lo </w:t>
      </w:r>
      <w:r w:rsidRPr="00736A3F">
        <w:rPr>
          <w:rFonts w:ascii="Times New Roman" w:hAnsi="Times New Roman" w:cs="Times New Roman"/>
          <w:sz w:val="24"/>
          <w:szCs w:val="24"/>
        </w:rPr>
        <w:t xml:space="preserve">IASB (International Accounting Standards Board), </w:t>
      </w:r>
      <w:r w:rsidR="00736A3F">
        <w:rPr>
          <w:rFonts w:ascii="Times New Roman" w:hAnsi="Times New Roman" w:cs="Times New Roman"/>
          <w:sz w:val="24"/>
          <w:szCs w:val="24"/>
        </w:rPr>
        <w:t xml:space="preserve">noto </w:t>
      </w:r>
      <w:r w:rsidRPr="001F202A">
        <w:rPr>
          <w:rFonts w:ascii="Times New Roman" w:hAnsi="Times New Roman" w:cs="Times New Roman"/>
          <w:sz w:val="24"/>
          <w:szCs w:val="24"/>
        </w:rPr>
        <w:t>organ</w:t>
      </w:r>
      <w:r w:rsidR="00736A3F">
        <w:rPr>
          <w:rFonts w:ascii="Times New Roman" w:hAnsi="Times New Roman" w:cs="Times New Roman"/>
          <w:sz w:val="24"/>
          <w:szCs w:val="24"/>
        </w:rPr>
        <w:t>ism</w:t>
      </w:r>
      <w:r w:rsidRPr="001F202A">
        <w:rPr>
          <w:rFonts w:ascii="Times New Roman" w:hAnsi="Times New Roman" w:cs="Times New Roman"/>
          <w:sz w:val="24"/>
          <w:szCs w:val="24"/>
        </w:rPr>
        <w:t xml:space="preserve">o che già dal 2001 emana principi contabili a valenza internazionale, ivi compresa l’Unione Europea. </w:t>
      </w:r>
    </w:p>
    <w:p w14:paraId="4CACC088" w14:textId="441F9703" w:rsidR="00812A85" w:rsidRPr="001F202A" w:rsidRDefault="00736A3F" w:rsidP="00812A85">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L’ISSB è il risultato di rapidi processi di fusione e consolidamento verificatisi tra il 2021 e il 2022, come evidenziato dalla Fig. 2.</w:t>
      </w:r>
      <w:r w:rsidR="00812A85">
        <w:rPr>
          <w:rFonts w:ascii="Times New Roman" w:hAnsi="Times New Roman" w:cs="Times New Roman"/>
          <w:sz w:val="24"/>
          <w:szCs w:val="24"/>
        </w:rPr>
        <w:t xml:space="preserve"> </w:t>
      </w:r>
      <w:r w:rsidR="007177FE">
        <w:rPr>
          <w:rFonts w:ascii="Times New Roman" w:hAnsi="Times New Roman" w:cs="Times New Roman"/>
          <w:sz w:val="24"/>
          <w:szCs w:val="24"/>
        </w:rPr>
        <w:t>S</w:t>
      </w:r>
      <w:r w:rsidR="00E85A89">
        <w:rPr>
          <w:rFonts w:ascii="Times New Roman" w:hAnsi="Times New Roman" w:cs="Times New Roman"/>
          <w:sz w:val="24"/>
          <w:szCs w:val="24"/>
        </w:rPr>
        <w:t xml:space="preserve">i </w:t>
      </w:r>
      <w:r w:rsidR="00812A85" w:rsidRPr="001F202A">
        <w:rPr>
          <w:rFonts w:ascii="Times New Roman" w:hAnsi="Times New Roman" w:cs="Times New Roman"/>
          <w:sz w:val="24"/>
          <w:szCs w:val="24"/>
        </w:rPr>
        <w:t xml:space="preserve">sottolinea </w:t>
      </w:r>
      <w:r w:rsidR="007177FE">
        <w:rPr>
          <w:rFonts w:ascii="Times New Roman" w:hAnsi="Times New Roman" w:cs="Times New Roman"/>
          <w:sz w:val="24"/>
          <w:szCs w:val="24"/>
        </w:rPr>
        <w:t xml:space="preserve">infatti </w:t>
      </w:r>
      <w:r w:rsidR="00812A85" w:rsidRPr="001F202A">
        <w:rPr>
          <w:rFonts w:ascii="Times New Roman" w:hAnsi="Times New Roman" w:cs="Times New Roman"/>
          <w:sz w:val="24"/>
          <w:szCs w:val="24"/>
        </w:rPr>
        <w:t>che lo staff dell’ISSB/IFRS Foundation att</w:t>
      </w:r>
      <w:r w:rsidR="00812A85" w:rsidRPr="00E85A89">
        <w:rPr>
          <w:rFonts w:ascii="Times New Roman" w:hAnsi="Times New Roman" w:cs="Times New Roman"/>
          <w:sz w:val="24"/>
          <w:szCs w:val="24"/>
        </w:rPr>
        <w:t xml:space="preserve">ualmente al lavoro sui temi del reporting di sostenibilità proviene sia dal CDSB (Climate Disclosure Standard Board), sia dalla VRF (Value Reporting Foundation), la quale a propria volta </w:t>
      </w:r>
      <w:r w:rsidR="00E85A89" w:rsidRPr="00E85A89">
        <w:rPr>
          <w:rFonts w:ascii="Times New Roman" w:hAnsi="Times New Roman" w:cs="Times New Roman"/>
          <w:sz w:val="24"/>
          <w:szCs w:val="24"/>
        </w:rPr>
        <w:t>era</w:t>
      </w:r>
      <w:r w:rsidR="00812A85" w:rsidRPr="00E85A89">
        <w:rPr>
          <w:rFonts w:ascii="Times New Roman" w:hAnsi="Times New Roman" w:cs="Times New Roman"/>
          <w:sz w:val="24"/>
          <w:szCs w:val="24"/>
        </w:rPr>
        <w:t xml:space="preserve"> l’esito della fusione avvenuta il 1° luglio 2021 tra l’IIRC (International Integrated Reporting Co</w:t>
      </w:r>
      <w:r w:rsidR="00812A85" w:rsidRPr="001F202A">
        <w:rPr>
          <w:rFonts w:ascii="Times New Roman" w:hAnsi="Times New Roman" w:cs="Times New Roman"/>
          <w:sz w:val="24"/>
          <w:szCs w:val="24"/>
        </w:rPr>
        <w:t xml:space="preserve">uncil) e il SASB (Sustainability Accounting Standards Board) americano. Formalmente, la VRF è </w:t>
      </w:r>
      <w:r w:rsidR="00E85A89">
        <w:rPr>
          <w:rFonts w:ascii="Times New Roman" w:hAnsi="Times New Roman" w:cs="Times New Roman"/>
          <w:sz w:val="24"/>
          <w:szCs w:val="24"/>
        </w:rPr>
        <w:t xml:space="preserve">poi </w:t>
      </w:r>
      <w:r w:rsidR="00812A85" w:rsidRPr="001F202A">
        <w:rPr>
          <w:rFonts w:ascii="Times New Roman" w:hAnsi="Times New Roman" w:cs="Times New Roman"/>
          <w:sz w:val="24"/>
          <w:szCs w:val="24"/>
        </w:rPr>
        <w:t>confluita nella IFRS Foundation dal 1° agosto 2022, mentre il CDSB è stato assorbito dalla IFRS Foundation dal 1° febbraio 2022.</w:t>
      </w:r>
    </w:p>
    <w:p w14:paraId="1476F89B" w14:textId="77777777" w:rsidR="00736A3F" w:rsidRDefault="00736A3F" w:rsidP="002D51F7">
      <w:pPr>
        <w:autoSpaceDE w:val="0"/>
        <w:autoSpaceDN w:val="0"/>
        <w:adjustRightInd w:val="0"/>
        <w:spacing w:after="0" w:line="240" w:lineRule="auto"/>
        <w:jc w:val="both"/>
        <w:rPr>
          <w:rFonts w:ascii="Times New Roman" w:hAnsi="Times New Roman" w:cs="Times New Roman"/>
          <w:sz w:val="24"/>
          <w:szCs w:val="24"/>
        </w:rPr>
      </w:pPr>
    </w:p>
    <w:p w14:paraId="219A7CAE" w14:textId="77777777" w:rsidR="00A94DE2" w:rsidRDefault="00A94DE2" w:rsidP="00A94DE2">
      <w:pPr>
        <w:autoSpaceDE w:val="0"/>
        <w:autoSpaceDN w:val="0"/>
        <w:adjustRightInd w:val="0"/>
        <w:spacing w:after="0" w:line="240" w:lineRule="auto"/>
        <w:jc w:val="center"/>
        <w:rPr>
          <w:rFonts w:ascii="Times New Roman" w:hAnsi="Times New Roman" w:cs="Times New Roman"/>
          <w:b/>
          <w:bCs/>
          <w:sz w:val="24"/>
          <w:szCs w:val="24"/>
        </w:rPr>
      </w:pPr>
    </w:p>
    <w:p w14:paraId="2D1F5F9F" w14:textId="77777777" w:rsidR="00A94DE2" w:rsidRDefault="00A94DE2" w:rsidP="00A94DE2">
      <w:pPr>
        <w:autoSpaceDE w:val="0"/>
        <w:autoSpaceDN w:val="0"/>
        <w:adjustRightInd w:val="0"/>
        <w:spacing w:after="0" w:line="240" w:lineRule="auto"/>
        <w:jc w:val="center"/>
        <w:rPr>
          <w:rFonts w:ascii="Times New Roman" w:hAnsi="Times New Roman" w:cs="Times New Roman"/>
          <w:b/>
          <w:bCs/>
          <w:sz w:val="24"/>
          <w:szCs w:val="24"/>
        </w:rPr>
      </w:pPr>
    </w:p>
    <w:p w14:paraId="5CFE22C0" w14:textId="77777777" w:rsidR="00A94DE2" w:rsidRDefault="00A94DE2" w:rsidP="00A94DE2">
      <w:pPr>
        <w:autoSpaceDE w:val="0"/>
        <w:autoSpaceDN w:val="0"/>
        <w:adjustRightInd w:val="0"/>
        <w:spacing w:after="0" w:line="240" w:lineRule="auto"/>
        <w:jc w:val="center"/>
        <w:rPr>
          <w:rFonts w:ascii="Times New Roman" w:hAnsi="Times New Roman" w:cs="Times New Roman"/>
          <w:b/>
          <w:bCs/>
          <w:sz w:val="24"/>
          <w:szCs w:val="24"/>
        </w:rPr>
      </w:pPr>
    </w:p>
    <w:p w14:paraId="2A3F27D8" w14:textId="77777777" w:rsidR="00A94DE2" w:rsidRDefault="00A94DE2" w:rsidP="00A94DE2">
      <w:pPr>
        <w:autoSpaceDE w:val="0"/>
        <w:autoSpaceDN w:val="0"/>
        <w:adjustRightInd w:val="0"/>
        <w:spacing w:after="0" w:line="240" w:lineRule="auto"/>
        <w:jc w:val="center"/>
        <w:rPr>
          <w:rFonts w:ascii="Times New Roman" w:hAnsi="Times New Roman" w:cs="Times New Roman"/>
          <w:b/>
          <w:bCs/>
          <w:sz w:val="24"/>
          <w:szCs w:val="24"/>
        </w:rPr>
      </w:pPr>
    </w:p>
    <w:p w14:paraId="1350D53B" w14:textId="77777777" w:rsidR="00A94DE2" w:rsidRDefault="00A94DE2" w:rsidP="00A94DE2">
      <w:pPr>
        <w:autoSpaceDE w:val="0"/>
        <w:autoSpaceDN w:val="0"/>
        <w:adjustRightInd w:val="0"/>
        <w:spacing w:after="0" w:line="240" w:lineRule="auto"/>
        <w:jc w:val="center"/>
        <w:rPr>
          <w:rFonts w:ascii="Times New Roman" w:hAnsi="Times New Roman" w:cs="Times New Roman"/>
          <w:b/>
          <w:bCs/>
          <w:sz w:val="24"/>
          <w:szCs w:val="24"/>
        </w:rPr>
      </w:pPr>
    </w:p>
    <w:p w14:paraId="6808F1E0" w14:textId="77777777" w:rsidR="00A94DE2" w:rsidRDefault="00A94DE2" w:rsidP="00A94DE2">
      <w:pPr>
        <w:autoSpaceDE w:val="0"/>
        <w:autoSpaceDN w:val="0"/>
        <w:adjustRightInd w:val="0"/>
        <w:spacing w:after="0" w:line="240" w:lineRule="auto"/>
        <w:jc w:val="center"/>
        <w:rPr>
          <w:rFonts w:ascii="Times New Roman" w:hAnsi="Times New Roman" w:cs="Times New Roman"/>
          <w:b/>
          <w:bCs/>
          <w:sz w:val="24"/>
          <w:szCs w:val="24"/>
        </w:rPr>
      </w:pPr>
    </w:p>
    <w:p w14:paraId="15307C5B" w14:textId="77777777" w:rsidR="00A94DE2" w:rsidRDefault="00A94DE2" w:rsidP="004E62B7">
      <w:pPr>
        <w:autoSpaceDE w:val="0"/>
        <w:autoSpaceDN w:val="0"/>
        <w:adjustRightInd w:val="0"/>
        <w:spacing w:after="0" w:line="240" w:lineRule="auto"/>
        <w:rPr>
          <w:rFonts w:ascii="Times New Roman" w:hAnsi="Times New Roman" w:cs="Times New Roman"/>
          <w:b/>
          <w:bCs/>
          <w:sz w:val="24"/>
          <w:szCs w:val="24"/>
        </w:rPr>
      </w:pPr>
    </w:p>
    <w:p w14:paraId="4FA9D92A" w14:textId="5A80AB17" w:rsidR="00A94DE2" w:rsidRDefault="00736A3F" w:rsidP="00A94DE2">
      <w:pPr>
        <w:autoSpaceDE w:val="0"/>
        <w:autoSpaceDN w:val="0"/>
        <w:adjustRightInd w:val="0"/>
        <w:spacing w:after="0" w:line="240" w:lineRule="auto"/>
        <w:rPr>
          <w:rFonts w:ascii="Times New Roman" w:hAnsi="Times New Roman" w:cs="Times New Roman"/>
          <w:b/>
          <w:bCs/>
          <w:sz w:val="24"/>
          <w:szCs w:val="24"/>
        </w:rPr>
      </w:pPr>
      <w:r w:rsidRPr="00BB4362">
        <w:rPr>
          <w:rFonts w:ascii="Times New Roman" w:hAnsi="Times New Roman" w:cs="Times New Roman"/>
          <w:b/>
          <w:bCs/>
          <w:sz w:val="24"/>
          <w:szCs w:val="24"/>
        </w:rPr>
        <w:t xml:space="preserve">Figura </w:t>
      </w:r>
      <w:r>
        <w:rPr>
          <w:rFonts w:ascii="Times New Roman" w:hAnsi="Times New Roman" w:cs="Times New Roman"/>
          <w:b/>
          <w:bCs/>
          <w:sz w:val="24"/>
          <w:szCs w:val="24"/>
        </w:rPr>
        <w:t>2</w:t>
      </w:r>
      <w:r w:rsidRPr="00BB4362">
        <w:rPr>
          <w:rFonts w:ascii="Times New Roman" w:hAnsi="Times New Roman" w:cs="Times New Roman"/>
          <w:b/>
          <w:bCs/>
          <w:sz w:val="24"/>
          <w:szCs w:val="24"/>
        </w:rPr>
        <w:t xml:space="preserve"> – Sustainability reporting: </w:t>
      </w:r>
      <w:r>
        <w:rPr>
          <w:rFonts w:ascii="Times New Roman" w:hAnsi="Times New Roman" w:cs="Times New Roman"/>
          <w:b/>
          <w:bCs/>
          <w:sz w:val="24"/>
          <w:szCs w:val="24"/>
        </w:rPr>
        <w:t>le origini dell’ISSB 2021-2022</w:t>
      </w:r>
    </w:p>
    <w:p w14:paraId="51475A18" w14:textId="77777777" w:rsidR="00A94DE2" w:rsidRPr="00A94DE2" w:rsidRDefault="00A94DE2" w:rsidP="00A94DE2">
      <w:pPr>
        <w:autoSpaceDE w:val="0"/>
        <w:autoSpaceDN w:val="0"/>
        <w:adjustRightInd w:val="0"/>
        <w:spacing w:after="0" w:line="240" w:lineRule="auto"/>
        <w:rPr>
          <w:rFonts w:ascii="Times New Roman" w:hAnsi="Times New Roman" w:cs="Times New Roman"/>
          <w:b/>
          <w:bCs/>
          <w:sz w:val="14"/>
          <w:szCs w:val="14"/>
        </w:rPr>
      </w:pPr>
    </w:p>
    <w:p w14:paraId="1F980AA9" w14:textId="212CD310" w:rsidR="00736A3F" w:rsidRDefault="00736A3F" w:rsidP="00A94DE2">
      <w:pPr>
        <w:autoSpaceDE w:val="0"/>
        <w:autoSpaceDN w:val="0"/>
        <w:adjustRightInd w:val="0"/>
        <w:spacing w:after="0" w:line="240" w:lineRule="auto"/>
        <w:jc w:val="center"/>
        <w:rPr>
          <w:rFonts w:ascii="Times New Roman" w:hAnsi="Times New Roman" w:cs="Times New Roman"/>
          <w:sz w:val="24"/>
          <w:szCs w:val="24"/>
        </w:rPr>
      </w:pPr>
      <w:r w:rsidRPr="001F202A">
        <w:rPr>
          <w:rFonts w:ascii="Times New Roman" w:hAnsi="Times New Roman" w:cs="Times New Roman"/>
          <w:noProof/>
        </w:rPr>
        <w:lastRenderedPageBreak/>
        <w:drawing>
          <wp:inline distT="0" distB="0" distL="0" distR="0" wp14:anchorId="23B50161" wp14:editId="2B425D66">
            <wp:extent cx="5686014" cy="255905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a:extLst>
                        <a:ext uri="{28A0092B-C50C-407E-A947-70E740481C1C}">
                          <a14:useLocalDpi xmlns:a14="http://schemas.microsoft.com/office/drawing/2010/main" val="0"/>
                        </a:ext>
                      </a:extLst>
                    </a:blip>
                    <a:srcRect t="1" b="40931"/>
                    <a:stretch/>
                  </pic:blipFill>
                  <pic:spPr bwMode="auto">
                    <a:xfrm>
                      <a:off x="0" y="0"/>
                      <a:ext cx="5712786" cy="2571099"/>
                    </a:xfrm>
                    <a:prstGeom prst="rect">
                      <a:avLst/>
                    </a:prstGeom>
                    <a:noFill/>
                    <a:ln>
                      <a:noFill/>
                    </a:ln>
                    <a:extLst>
                      <a:ext uri="{53640926-AAD7-44D8-BBD7-CCE9431645EC}">
                        <a14:shadowObscured xmlns:a14="http://schemas.microsoft.com/office/drawing/2010/main"/>
                      </a:ext>
                    </a:extLst>
                  </pic:spPr>
                </pic:pic>
              </a:graphicData>
            </a:graphic>
          </wp:inline>
        </w:drawing>
      </w:r>
    </w:p>
    <w:p w14:paraId="332FF5BB" w14:textId="77777777" w:rsidR="00736A3F" w:rsidRDefault="00736A3F" w:rsidP="002D51F7">
      <w:pPr>
        <w:autoSpaceDE w:val="0"/>
        <w:autoSpaceDN w:val="0"/>
        <w:adjustRightInd w:val="0"/>
        <w:spacing w:after="0" w:line="240" w:lineRule="auto"/>
        <w:jc w:val="both"/>
        <w:rPr>
          <w:rFonts w:ascii="Times New Roman" w:hAnsi="Times New Roman" w:cs="Times New Roman"/>
          <w:sz w:val="24"/>
          <w:szCs w:val="24"/>
        </w:rPr>
      </w:pPr>
    </w:p>
    <w:p w14:paraId="6E01D976" w14:textId="77777777" w:rsidR="00736A3F" w:rsidRDefault="00736A3F" w:rsidP="002D51F7">
      <w:pPr>
        <w:autoSpaceDE w:val="0"/>
        <w:autoSpaceDN w:val="0"/>
        <w:adjustRightInd w:val="0"/>
        <w:spacing w:after="0" w:line="240" w:lineRule="auto"/>
        <w:jc w:val="both"/>
        <w:rPr>
          <w:rFonts w:ascii="Times New Roman" w:hAnsi="Times New Roman" w:cs="Times New Roman"/>
          <w:sz w:val="24"/>
          <w:szCs w:val="24"/>
        </w:rPr>
      </w:pPr>
    </w:p>
    <w:p w14:paraId="4A7EB33E" w14:textId="76548A5E" w:rsidR="00640DB8" w:rsidRDefault="001F202A" w:rsidP="002D51F7">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L’ISSB ha elaborato in pochi mesi due prime bozze di standard, uno sui requisiti generali di tale forma di reporting (</w:t>
      </w:r>
      <w:r w:rsidRPr="00074F29">
        <w:rPr>
          <w:rFonts w:ascii="Times New Roman" w:hAnsi="Times New Roman" w:cs="Times New Roman"/>
          <w:b/>
          <w:bCs/>
          <w:sz w:val="24"/>
          <w:szCs w:val="24"/>
        </w:rPr>
        <w:t>IFRS S1</w:t>
      </w:r>
      <w:r w:rsidRPr="001F202A">
        <w:rPr>
          <w:rFonts w:ascii="Times New Roman" w:hAnsi="Times New Roman" w:cs="Times New Roman"/>
          <w:sz w:val="24"/>
          <w:szCs w:val="24"/>
        </w:rPr>
        <w:t xml:space="preserve">) e uno sul reporting </w:t>
      </w:r>
      <w:r w:rsidR="00074F29">
        <w:rPr>
          <w:rFonts w:ascii="Times New Roman" w:hAnsi="Times New Roman" w:cs="Times New Roman"/>
          <w:sz w:val="24"/>
          <w:szCs w:val="24"/>
        </w:rPr>
        <w:t>in merito a</w:t>
      </w:r>
      <w:r w:rsidRPr="001F202A">
        <w:rPr>
          <w:rFonts w:ascii="Times New Roman" w:hAnsi="Times New Roman" w:cs="Times New Roman"/>
          <w:sz w:val="24"/>
          <w:szCs w:val="24"/>
        </w:rPr>
        <w:t>lle questioni climatiche (</w:t>
      </w:r>
      <w:r w:rsidRPr="00074F29">
        <w:rPr>
          <w:rFonts w:ascii="Times New Roman" w:hAnsi="Times New Roman" w:cs="Times New Roman"/>
          <w:b/>
          <w:bCs/>
          <w:sz w:val="24"/>
          <w:szCs w:val="24"/>
        </w:rPr>
        <w:t>IFRS S2</w:t>
      </w:r>
      <w:r w:rsidRPr="001F202A">
        <w:rPr>
          <w:rFonts w:ascii="Times New Roman" w:hAnsi="Times New Roman" w:cs="Times New Roman"/>
          <w:sz w:val="24"/>
          <w:szCs w:val="24"/>
        </w:rPr>
        <w:t xml:space="preserve">). </w:t>
      </w:r>
      <w:r w:rsidR="00D612ED">
        <w:rPr>
          <w:rFonts w:ascii="Times New Roman" w:hAnsi="Times New Roman" w:cs="Times New Roman"/>
          <w:sz w:val="24"/>
          <w:szCs w:val="24"/>
        </w:rPr>
        <w:t>T</w:t>
      </w:r>
      <w:r w:rsidRPr="001F202A">
        <w:rPr>
          <w:rFonts w:ascii="Times New Roman" w:hAnsi="Times New Roman" w:cs="Times New Roman"/>
          <w:sz w:val="24"/>
          <w:szCs w:val="24"/>
        </w:rPr>
        <w:t xml:space="preserve">ali </w:t>
      </w:r>
      <w:r w:rsidR="00D612ED">
        <w:rPr>
          <w:rFonts w:ascii="Times New Roman" w:hAnsi="Times New Roman" w:cs="Times New Roman"/>
          <w:sz w:val="24"/>
          <w:szCs w:val="24"/>
        </w:rPr>
        <w:t xml:space="preserve">bozze di </w:t>
      </w:r>
      <w:r w:rsidRPr="001F202A">
        <w:rPr>
          <w:rFonts w:ascii="Times New Roman" w:hAnsi="Times New Roman" w:cs="Times New Roman"/>
          <w:sz w:val="24"/>
          <w:szCs w:val="24"/>
        </w:rPr>
        <w:t>standard sono stat</w:t>
      </w:r>
      <w:r w:rsidR="00486233">
        <w:rPr>
          <w:rFonts w:ascii="Times New Roman" w:hAnsi="Times New Roman" w:cs="Times New Roman"/>
          <w:sz w:val="24"/>
          <w:szCs w:val="24"/>
        </w:rPr>
        <w:t xml:space="preserve">i </w:t>
      </w:r>
      <w:r w:rsidR="00D612ED">
        <w:rPr>
          <w:rFonts w:ascii="Times New Roman" w:hAnsi="Times New Roman" w:cs="Times New Roman"/>
          <w:sz w:val="24"/>
          <w:szCs w:val="24"/>
        </w:rPr>
        <w:t>as</w:t>
      </w:r>
      <w:r w:rsidR="00486233" w:rsidRPr="008F20AA">
        <w:rPr>
          <w:rFonts w:ascii="Times New Roman" w:hAnsi="Times New Roman" w:cs="Times New Roman"/>
          <w:sz w:val="24"/>
          <w:szCs w:val="24"/>
        </w:rPr>
        <w:t>soggett</w:t>
      </w:r>
      <w:r w:rsidR="00D612ED">
        <w:rPr>
          <w:rFonts w:ascii="Times New Roman" w:hAnsi="Times New Roman" w:cs="Times New Roman"/>
          <w:sz w:val="24"/>
          <w:szCs w:val="24"/>
        </w:rPr>
        <w:t>ate</w:t>
      </w:r>
      <w:r w:rsidR="00486233" w:rsidRPr="008F20AA">
        <w:rPr>
          <w:rFonts w:ascii="Times New Roman" w:hAnsi="Times New Roman" w:cs="Times New Roman"/>
          <w:sz w:val="24"/>
          <w:szCs w:val="24"/>
        </w:rPr>
        <w:t xml:space="preserve"> a</w:t>
      </w:r>
      <w:r w:rsidR="00D612ED">
        <w:rPr>
          <w:rFonts w:ascii="Times New Roman" w:hAnsi="Times New Roman" w:cs="Times New Roman"/>
          <w:sz w:val="24"/>
          <w:szCs w:val="24"/>
        </w:rPr>
        <w:t>l c.d.</w:t>
      </w:r>
      <w:r w:rsidR="00486233" w:rsidRPr="008F20AA">
        <w:rPr>
          <w:rFonts w:ascii="Times New Roman" w:hAnsi="Times New Roman" w:cs="Times New Roman"/>
          <w:sz w:val="24"/>
          <w:szCs w:val="24"/>
        </w:rPr>
        <w:t xml:space="preserve"> </w:t>
      </w:r>
      <w:r w:rsidR="00D612ED">
        <w:rPr>
          <w:rFonts w:ascii="Times New Roman" w:hAnsi="Times New Roman" w:cs="Times New Roman"/>
          <w:sz w:val="24"/>
          <w:szCs w:val="24"/>
        </w:rPr>
        <w:t>“</w:t>
      </w:r>
      <w:r w:rsidR="00486233" w:rsidRPr="008F20AA">
        <w:rPr>
          <w:rFonts w:ascii="Times New Roman" w:hAnsi="Times New Roman" w:cs="Times New Roman"/>
          <w:sz w:val="24"/>
          <w:szCs w:val="24"/>
        </w:rPr>
        <w:t>due process</w:t>
      </w:r>
      <w:r w:rsidR="00D612ED">
        <w:rPr>
          <w:rFonts w:ascii="Times New Roman" w:hAnsi="Times New Roman" w:cs="Times New Roman"/>
          <w:sz w:val="24"/>
          <w:szCs w:val="24"/>
        </w:rPr>
        <w:t>”</w:t>
      </w:r>
      <w:r w:rsidR="00486233" w:rsidRPr="008F20AA">
        <w:rPr>
          <w:rFonts w:ascii="Times New Roman" w:hAnsi="Times New Roman" w:cs="Times New Roman"/>
          <w:sz w:val="24"/>
          <w:szCs w:val="24"/>
        </w:rPr>
        <w:t xml:space="preserve"> e quindi</w:t>
      </w:r>
      <w:r w:rsidRPr="008F20AA">
        <w:rPr>
          <w:rFonts w:ascii="Times New Roman" w:hAnsi="Times New Roman" w:cs="Times New Roman"/>
          <w:sz w:val="24"/>
          <w:szCs w:val="24"/>
        </w:rPr>
        <w:t xml:space="preserve"> </w:t>
      </w:r>
      <w:r w:rsidR="00486233" w:rsidRPr="008F20AA">
        <w:rPr>
          <w:rFonts w:ascii="Times New Roman" w:hAnsi="Times New Roman" w:cs="Times New Roman"/>
          <w:sz w:val="24"/>
          <w:szCs w:val="24"/>
        </w:rPr>
        <w:t>sono stat</w:t>
      </w:r>
      <w:r w:rsidR="00D612ED">
        <w:rPr>
          <w:rFonts w:ascii="Times New Roman" w:hAnsi="Times New Roman" w:cs="Times New Roman"/>
          <w:sz w:val="24"/>
          <w:szCs w:val="24"/>
        </w:rPr>
        <w:t>e</w:t>
      </w:r>
      <w:r w:rsidR="00486233" w:rsidRPr="008F20AA">
        <w:rPr>
          <w:rFonts w:ascii="Times New Roman" w:hAnsi="Times New Roman" w:cs="Times New Roman"/>
          <w:sz w:val="24"/>
          <w:szCs w:val="24"/>
        </w:rPr>
        <w:t xml:space="preserve"> </w:t>
      </w:r>
      <w:r w:rsidRPr="008F20AA">
        <w:rPr>
          <w:rFonts w:ascii="Times New Roman" w:hAnsi="Times New Roman" w:cs="Times New Roman"/>
          <w:sz w:val="24"/>
          <w:szCs w:val="24"/>
        </w:rPr>
        <w:t>mess</w:t>
      </w:r>
      <w:r w:rsidR="00D612ED">
        <w:rPr>
          <w:rFonts w:ascii="Times New Roman" w:hAnsi="Times New Roman" w:cs="Times New Roman"/>
          <w:sz w:val="24"/>
          <w:szCs w:val="24"/>
        </w:rPr>
        <w:t>e</w:t>
      </w:r>
      <w:r w:rsidRPr="008F20AA">
        <w:rPr>
          <w:rFonts w:ascii="Times New Roman" w:hAnsi="Times New Roman" w:cs="Times New Roman"/>
          <w:sz w:val="24"/>
          <w:szCs w:val="24"/>
        </w:rPr>
        <w:t xml:space="preserve"> in pubblica consultazione internazionale </w:t>
      </w:r>
      <w:r w:rsidR="00486233" w:rsidRPr="008F20AA">
        <w:rPr>
          <w:rFonts w:ascii="Times New Roman" w:hAnsi="Times New Roman" w:cs="Times New Roman"/>
          <w:sz w:val="24"/>
          <w:szCs w:val="24"/>
        </w:rPr>
        <w:t>da</w:t>
      </w:r>
      <w:r w:rsidR="00C35EC8" w:rsidRPr="008F20AA">
        <w:rPr>
          <w:rFonts w:ascii="Times New Roman" w:hAnsi="Times New Roman" w:cs="Times New Roman"/>
          <w:sz w:val="24"/>
          <w:szCs w:val="24"/>
        </w:rPr>
        <w:t xml:space="preserve"> fine marzo</w:t>
      </w:r>
      <w:r w:rsidR="00486233" w:rsidRPr="008F20AA">
        <w:rPr>
          <w:rFonts w:ascii="Times New Roman" w:hAnsi="Times New Roman" w:cs="Times New Roman"/>
          <w:sz w:val="24"/>
          <w:szCs w:val="24"/>
        </w:rPr>
        <w:t xml:space="preserve"> </w:t>
      </w:r>
      <w:r w:rsidRPr="008F20AA">
        <w:rPr>
          <w:rFonts w:ascii="Times New Roman" w:hAnsi="Times New Roman" w:cs="Times New Roman"/>
          <w:sz w:val="24"/>
          <w:szCs w:val="24"/>
        </w:rPr>
        <w:t xml:space="preserve">fino al 29 luglio 2022, avendo ricevuto circa 1.300 commenti. L’ISSB </w:t>
      </w:r>
      <w:r w:rsidR="00486233" w:rsidRPr="008F20AA">
        <w:rPr>
          <w:rFonts w:ascii="Times New Roman" w:hAnsi="Times New Roman" w:cs="Times New Roman"/>
          <w:sz w:val="24"/>
          <w:szCs w:val="24"/>
        </w:rPr>
        <w:t xml:space="preserve">ha </w:t>
      </w:r>
      <w:r w:rsidR="00D612ED">
        <w:rPr>
          <w:rFonts w:ascii="Times New Roman" w:hAnsi="Times New Roman" w:cs="Times New Roman"/>
          <w:sz w:val="24"/>
          <w:szCs w:val="24"/>
        </w:rPr>
        <w:t xml:space="preserve">poi </w:t>
      </w:r>
      <w:r w:rsidRPr="008F20AA">
        <w:rPr>
          <w:rFonts w:ascii="Times New Roman" w:hAnsi="Times New Roman" w:cs="Times New Roman"/>
          <w:sz w:val="24"/>
          <w:szCs w:val="24"/>
        </w:rPr>
        <w:t>eman</w:t>
      </w:r>
      <w:r w:rsidR="00486233" w:rsidRPr="008F20AA">
        <w:rPr>
          <w:rFonts w:ascii="Times New Roman" w:hAnsi="Times New Roman" w:cs="Times New Roman"/>
          <w:sz w:val="24"/>
          <w:szCs w:val="24"/>
        </w:rPr>
        <w:t>ato</w:t>
      </w:r>
      <w:r w:rsidRPr="008F20AA">
        <w:rPr>
          <w:rFonts w:ascii="Times New Roman" w:hAnsi="Times New Roman" w:cs="Times New Roman"/>
          <w:sz w:val="24"/>
          <w:szCs w:val="24"/>
        </w:rPr>
        <w:t xml:space="preserve"> </w:t>
      </w:r>
      <w:r w:rsidR="00AD09A4">
        <w:rPr>
          <w:rFonts w:ascii="Times New Roman" w:hAnsi="Times New Roman" w:cs="Times New Roman"/>
          <w:sz w:val="24"/>
          <w:szCs w:val="24"/>
        </w:rPr>
        <w:t>quest</w:t>
      </w:r>
      <w:r w:rsidRPr="008F20AA">
        <w:rPr>
          <w:rFonts w:ascii="Times New Roman" w:hAnsi="Times New Roman" w:cs="Times New Roman"/>
          <w:sz w:val="24"/>
          <w:szCs w:val="24"/>
        </w:rPr>
        <w:t xml:space="preserve">i suoi primi due standard </w:t>
      </w:r>
      <w:r w:rsidR="00AD09A4">
        <w:rPr>
          <w:rFonts w:ascii="Times New Roman" w:hAnsi="Times New Roman" w:cs="Times New Roman"/>
          <w:sz w:val="24"/>
          <w:szCs w:val="24"/>
        </w:rPr>
        <w:t xml:space="preserve">verso la fine di </w:t>
      </w:r>
      <w:r w:rsidRPr="008F20AA">
        <w:rPr>
          <w:rFonts w:ascii="Times New Roman" w:hAnsi="Times New Roman" w:cs="Times New Roman"/>
          <w:sz w:val="24"/>
          <w:szCs w:val="24"/>
        </w:rPr>
        <w:t xml:space="preserve">giugno 2023. </w:t>
      </w:r>
    </w:p>
    <w:p w14:paraId="7D1113CB" w14:textId="3F62F9BF" w:rsidR="001F202A" w:rsidRDefault="001F202A" w:rsidP="002D51F7">
      <w:pPr>
        <w:autoSpaceDE w:val="0"/>
        <w:autoSpaceDN w:val="0"/>
        <w:adjustRightInd w:val="0"/>
        <w:spacing w:after="0" w:line="240" w:lineRule="auto"/>
        <w:jc w:val="both"/>
        <w:rPr>
          <w:rFonts w:ascii="Times New Roman" w:hAnsi="Times New Roman" w:cs="Times New Roman"/>
          <w:sz w:val="24"/>
          <w:szCs w:val="24"/>
        </w:rPr>
      </w:pPr>
      <w:r w:rsidRPr="008F20AA">
        <w:rPr>
          <w:rFonts w:ascii="Times New Roman" w:hAnsi="Times New Roman" w:cs="Times New Roman"/>
          <w:sz w:val="24"/>
          <w:szCs w:val="24"/>
        </w:rPr>
        <w:t xml:space="preserve">Importante osservare che la “stella polare” del lavoro dell’ISSB è il concetto di </w:t>
      </w:r>
      <w:r w:rsidR="002D51F7" w:rsidRPr="008F20AA">
        <w:rPr>
          <w:rFonts w:ascii="Times New Roman" w:hAnsi="Times New Roman" w:cs="Times New Roman"/>
          <w:sz w:val="24"/>
          <w:szCs w:val="24"/>
        </w:rPr>
        <w:t>sostenibilità secondo cui l’abilità di un’azienda di creare valore finanziario per gli investitori è strettamente legata agli stakeholders, con cui lavora e che serve, la società in cui opera, le risorse naturali che utilizza e che impatta. Adottando questa definizione si vuole quindi permettere alle aziende di spiegare come vengono mantenute le risorse e relazioni che utilizza e come l’impatto su tali risorse e relazioni possono creare rischi e opportunità legate alla sostenibilità per l’azienda.</w:t>
      </w:r>
      <w:r w:rsidR="000F2C55">
        <w:rPr>
          <w:rFonts w:ascii="Times New Roman" w:hAnsi="Times New Roman" w:cs="Times New Roman"/>
          <w:sz w:val="24"/>
          <w:szCs w:val="24"/>
        </w:rPr>
        <w:t xml:space="preserve"> In tal senso, si afferma che l’ISSB e i suoi standard riflettono un concetto di </w:t>
      </w:r>
      <w:r w:rsidR="00FD331C">
        <w:rPr>
          <w:rFonts w:ascii="Times New Roman" w:hAnsi="Times New Roman" w:cs="Times New Roman"/>
          <w:sz w:val="24"/>
          <w:szCs w:val="24"/>
        </w:rPr>
        <w:t>“</w:t>
      </w:r>
      <w:proofErr w:type="spellStart"/>
      <w:r w:rsidR="00FD331C">
        <w:rPr>
          <w:rFonts w:ascii="Times New Roman" w:hAnsi="Times New Roman" w:cs="Times New Roman"/>
          <w:sz w:val="24"/>
          <w:szCs w:val="24"/>
        </w:rPr>
        <w:t>investor-focused</w:t>
      </w:r>
      <w:proofErr w:type="spellEnd"/>
      <w:r w:rsidR="00FD331C">
        <w:rPr>
          <w:rFonts w:ascii="Times New Roman" w:hAnsi="Times New Roman" w:cs="Times New Roman"/>
          <w:sz w:val="24"/>
          <w:szCs w:val="24"/>
        </w:rPr>
        <w:t xml:space="preserve"> </w:t>
      </w:r>
      <w:proofErr w:type="spellStart"/>
      <w:r w:rsidR="00FD331C">
        <w:rPr>
          <w:rFonts w:ascii="Times New Roman" w:hAnsi="Times New Roman" w:cs="Times New Roman"/>
          <w:sz w:val="24"/>
          <w:szCs w:val="24"/>
        </w:rPr>
        <w:t>materiality</w:t>
      </w:r>
      <w:proofErr w:type="spellEnd"/>
      <w:r w:rsidR="00FD331C">
        <w:rPr>
          <w:rFonts w:ascii="Times New Roman" w:hAnsi="Times New Roman" w:cs="Times New Roman"/>
          <w:sz w:val="24"/>
          <w:szCs w:val="24"/>
        </w:rPr>
        <w:t xml:space="preserve">” che però viene spesso denominata </w:t>
      </w:r>
      <w:r w:rsidR="000F2C55" w:rsidRPr="000F2C55">
        <w:rPr>
          <w:rFonts w:ascii="Times New Roman" w:hAnsi="Times New Roman" w:cs="Times New Roman"/>
          <w:b/>
          <w:bCs/>
          <w:sz w:val="24"/>
          <w:szCs w:val="24"/>
        </w:rPr>
        <w:t>materialità finanziaria</w:t>
      </w:r>
      <w:r w:rsidR="000F2C55">
        <w:rPr>
          <w:rFonts w:ascii="Times New Roman" w:hAnsi="Times New Roman" w:cs="Times New Roman"/>
          <w:sz w:val="24"/>
          <w:szCs w:val="24"/>
        </w:rPr>
        <w:t xml:space="preserve">, </w:t>
      </w:r>
      <w:r w:rsidR="004E62B7">
        <w:rPr>
          <w:rFonts w:ascii="Times New Roman" w:hAnsi="Times New Roman" w:cs="Times New Roman"/>
          <w:sz w:val="24"/>
          <w:szCs w:val="24"/>
        </w:rPr>
        <w:t>secondo cui</w:t>
      </w:r>
      <w:r w:rsidR="000F2C55">
        <w:rPr>
          <w:rFonts w:ascii="Times New Roman" w:hAnsi="Times New Roman" w:cs="Times New Roman"/>
          <w:sz w:val="24"/>
          <w:szCs w:val="24"/>
        </w:rPr>
        <w:t xml:space="preserve"> vengono pres</w:t>
      </w:r>
      <w:r w:rsidR="004E62B7">
        <w:rPr>
          <w:rFonts w:ascii="Times New Roman" w:hAnsi="Times New Roman" w:cs="Times New Roman"/>
          <w:sz w:val="24"/>
          <w:szCs w:val="24"/>
        </w:rPr>
        <w:t>e</w:t>
      </w:r>
      <w:r w:rsidR="000F2C55">
        <w:rPr>
          <w:rFonts w:ascii="Times New Roman" w:hAnsi="Times New Roman" w:cs="Times New Roman"/>
          <w:sz w:val="24"/>
          <w:szCs w:val="24"/>
        </w:rPr>
        <w:t xml:space="preserve"> in considerazione solo le informazioni relative a fenomeni che </w:t>
      </w:r>
      <w:r w:rsidR="000F2C55" w:rsidRPr="00FD331C">
        <w:rPr>
          <w:rFonts w:ascii="Times New Roman" w:hAnsi="Times New Roman" w:cs="Times New Roman"/>
          <w:sz w:val="24"/>
          <w:szCs w:val="24"/>
          <w:highlight w:val="yellow"/>
        </w:rPr>
        <w:t xml:space="preserve">possono </w:t>
      </w:r>
      <w:r w:rsidR="00FD331C">
        <w:rPr>
          <w:rFonts w:ascii="Times New Roman" w:hAnsi="Times New Roman" w:cs="Times New Roman"/>
          <w:sz w:val="24"/>
          <w:szCs w:val="24"/>
          <w:highlight w:val="yellow"/>
        </w:rPr>
        <w:t xml:space="preserve">dunque </w:t>
      </w:r>
      <w:r w:rsidR="00FD331C" w:rsidRPr="00FD331C">
        <w:rPr>
          <w:rFonts w:ascii="Times New Roman" w:hAnsi="Times New Roman" w:cs="Times New Roman"/>
          <w:sz w:val="24"/>
          <w:szCs w:val="24"/>
          <w:highlight w:val="yellow"/>
        </w:rPr>
        <w:t>influenzare la decisione degli investitori di fornire risorse finanziarie all’impresa</w:t>
      </w:r>
      <w:r w:rsidR="000F2C55">
        <w:rPr>
          <w:rFonts w:ascii="Times New Roman" w:hAnsi="Times New Roman" w:cs="Times New Roman"/>
          <w:sz w:val="24"/>
          <w:szCs w:val="24"/>
        </w:rPr>
        <w:t xml:space="preserve">, diversamente dall’impostazione europea che privilegia una doppia materialità che include la materialità d’impatto, ovvero considera </w:t>
      </w:r>
      <w:r w:rsidR="004E62B7">
        <w:rPr>
          <w:rFonts w:ascii="Times New Roman" w:hAnsi="Times New Roman" w:cs="Times New Roman"/>
          <w:sz w:val="24"/>
          <w:szCs w:val="24"/>
        </w:rPr>
        <w:t xml:space="preserve">obbligatoriamente </w:t>
      </w:r>
      <w:r w:rsidR="000F2C55">
        <w:rPr>
          <w:rFonts w:ascii="Times New Roman" w:hAnsi="Times New Roman" w:cs="Times New Roman"/>
          <w:sz w:val="24"/>
          <w:szCs w:val="24"/>
        </w:rPr>
        <w:t>anche le informazioni relative all’impatto dell’azienda sul contesto naturale e sociale.</w:t>
      </w:r>
    </w:p>
    <w:p w14:paraId="2BDBBB1A" w14:textId="2F4B93A5" w:rsidR="00640DB8" w:rsidRPr="001F202A" w:rsidRDefault="00640DB8" w:rsidP="002D51F7">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Un ulteriore rilevante aspetto da sottolineare è che </w:t>
      </w:r>
      <w:r w:rsidR="00FD331C" w:rsidRPr="00FD331C">
        <w:rPr>
          <w:rFonts w:ascii="Times New Roman" w:hAnsi="Times New Roman" w:cs="Times New Roman"/>
          <w:sz w:val="24"/>
          <w:szCs w:val="24"/>
          <w:highlight w:val="yellow"/>
        </w:rPr>
        <w:t>g</w:t>
      </w:r>
      <w:r w:rsidRPr="00FD331C">
        <w:rPr>
          <w:rFonts w:ascii="Times New Roman" w:hAnsi="Times New Roman" w:cs="Times New Roman"/>
          <w:sz w:val="24"/>
          <w:szCs w:val="24"/>
          <w:highlight w:val="yellow"/>
        </w:rPr>
        <w:t>l</w:t>
      </w:r>
      <w:r w:rsidR="00FD331C" w:rsidRPr="00FD331C">
        <w:rPr>
          <w:rFonts w:ascii="Times New Roman" w:hAnsi="Times New Roman" w:cs="Times New Roman"/>
          <w:sz w:val="24"/>
          <w:szCs w:val="24"/>
          <w:highlight w:val="yellow"/>
        </w:rPr>
        <w:t>i</w:t>
      </w:r>
      <w:r w:rsidR="00FD331C">
        <w:rPr>
          <w:rFonts w:ascii="Times New Roman" w:hAnsi="Times New Roman" w:cs="Times New Roman"/>
          <w:sz w:val="24"/>
          <w:szCs w:val="24"/>
        </w:rPr>
        <w:t xml:space="preserve"> </w:t>
      </w:r>
      <w:r>
        <w:rPr>
          <w:rFonts w:ascii="Times New Roman" w:hAnsi="Times New Roman" w:cs="Times New Roman"/>
          <w:sz w:val="24"/>
          <w:szCs w:val="24"/>
        </w:rPr>
        <w:t xml:space="preserve">IFRS </w:t>
      </w:r>
      <w:r w:rsidRPr="00FD331C">
        <w:rPr>
          <w:rFonts w:ascii="Times New Roman" w:hAnsi="Times New Roman" w:cs="Times New Roman"/>
          <w:sz w:val="24"/>
          <w:szCs w:val="24"/>
          <w:highlight w:val="yellow"/>
        </w:rPr>
        <w:t>S</w:t>
      </w:r>
      <w:r w:rsidR="00FD331C" w:rsidRPr="00FD331C">
        <w:rPr>
          <w:rFonts w:ascii="Times New Roman" w:hAnsi="Times New Roman" w:cs="Times New Roman"/>
          <w:sz w:val="24"/>
          <w:szCs w:val="24"/>
          <w:highlight w:val="yellow"/>
        </w:rPr>
        <w:t>1 e S</w:t>
      </w:r>
      <w:r>
        <w:rPr>
          <w:rFonts w:ascii="Times New Roman" w:hAnsi="Times New Roman" w:cs="Times New Roman"/>
          <w:sz w:val="24"/>
          <w:szCs w:val="24"/>
        </w:rPr>
        <w:t>2 fa</w:t>
      </w:r>
      <w:r w:rsidR="00FD331C" w:rsidRPr="00FD331C">
        <w:rPr>
          <w:rFonts w:ascii="Times New Roman" w:hAnsi="Times New Roman" w:cs="Times New Roman"/>
          <w:sz w:val="24"/>
          <w:szCs w:val="24"/>
          <w:highlight w:val="yellow"/>
        </w:rPr>
        <w:t>nno</w:t>
      </w:r>
      <w:r>
        <w:rPr>
          <w:rFonts w:ascii="Times New Roman" w:hAnsi="Times New Roman" w:cs="Times New Roman"/>
          <w:sz w:val="24"/>
          <w:szCs w:val="24"/>
        </w:rPr>
        <w:t xml:space="preserve"> proprie </w:t>
      </w:r>
      <w:r w:rsidR="00FD331C" w:rsidRPr="00FD331C">
        <w:rPr>
          <w:rFonts w:ascii="Times New Roman" w:hAnsi="Times New Roman" w:cs="Times New Roman"/>
          <w:sz w:val="24"/>
          <w:szCs w:val="24"/>
          <w:highlight w:val="yellow"/>
        </w:rPr>
        <w:t>la struttura e</w:t>
      </w:r>
      <w:r w:rsidR="00FD331C">
        <w:rPr>
          <w:rFonts w:ascii="Times New Roman" w:hAnsi="Times New Roman" w:cs="Times New Roman"/>
          <w:sz w:val="24"/>
          <w:szCs w:val="24"/>
        </w:rPr>
        <w:t xml:space="preserve"> </w:t>
      </w:r>
      <w:r>
        <w:rPr>
          <w:rFonts w:ascii="Times New Roman" w:hAnsi="Times New Roman" w:cs="Times New Roman"/>
          <w:sz w:val="24"/>
          <w:szCs w:val="24"/>
        </w:rPr>
        <w:t xml:space="preserve">le raccomandazioni </w:t>
      </w:r>
      <w:r w:rsidR="00D612ED">
        <w:rPr>
          <w:rFonts w:ascii="Times New Roman" w:hAnsi="Times New Roman" w:cs="Times New Roman"/>
          <w:sz w:val="24"/>
          <w:szCs w:val="24"/>
        </w:rPr>
        <w:t xml:space="preserve">emesse </w:t>
      </w:r>
      <w:r>
        <w:rPr>
          <w:rFonts w:ascii="Times New Roman" w:hAnsi="Times New Roman" w:cs="Times New Roman"/>
          <w:sz w:val="24"/>
          <w:szCs w:val="24"/>
        </w:rPr>
        <w:t>d</w:t>
      </w:r>
      <w:r w:rsidR="00D612ED">
        <w:rPr>
          <w:rFonts w:ascii="Times New Roman" w:hAnsi="Times New Roman" w:cs="Times New Roman"/>
          <w:sz w:val="24"/>
          <w:szCs w:val="24"/>
        </w:rPr>
        <w:t>a</w:t>
      </w:r>
      <w:r>
        <w:rPr>
          <w:rFonts w:ascii="Times New Roman" w:hAnsi="Times New Roman" w:cs="Times New Roman"/>
          <w:sz w:val="24"/>
          <w:szCs w:val="24"/>
        </w:rPr>
        <w:t xml:space="preserve">lla ricordata </w:t>
      </w:r>
      <w:r w:rsidRPr="00640DB8">
        <w:rPr>
          <w:rFonts w:ascii="Times New Roman" w:hAnsi="Times New Roman" w:cs="Times New Roman"/>
          <w:i/>
          <w:iCs/>
          <w:sz w:val="24"/>
          <w:szCs w:val="24"/>
        </w:rPr>
        <w:t>Task Force on Climate-Related Financial Information</w:t>
      </w:r>
      <w:r>
        <w:rPr>
          <w:rFonts w:ascii="Times New Roman" w:hAnsi="Times New Roman" w:cs="Times New Roman"/>
          <w:sz w:val="24"/>
          <w:szCs w:val="24"/>
        </w:rPr>
        <w:t xml:space="preserve"> (TCFD) istituita </w:t>
      </w:r>
      <w:r w:rsidR="00D612ED">
        <w:rPr>
          <w:rFonts w:ascii="Times New Roman" w:hAnsi="Times New Roman" w:cs="Times New Roman"/>
          <w:sz w:val="24"/>
          <w:szCs w:val="24"/>
        </w:rPr>
        <w:t xml:space="preserve">nel 2017 </w:t>
      </w:r>
      <w:r>
        <w:rPr>
          <w:rFonts w:ascii="Times New Roman" w:hAnsi="Times New Roman" w:cs="Times New Roman"/>
          <w:sz w:val="24"/>
          <w:szCs w:val="24"/>
        </w:rPr>
        <w:t>dal Financial Stability Board (FSB)</w:t>
      </w:r>
      <w:r w:rsidR="00D612ED">
        <w:rPr>
          <w:rFonts w:ascii="Times New Roman" w:hAnsi="Times New Roman" w:cs="Times New Roman"/>
          <w:sz w:val="24"/>
          <w:szCs w:val="24"/>
        </w:rPr>
        <w:t>, che – coerentemente e successivamente alla pubblicazione dello IFRS S2 – ha annunciato il passaggio del lavoro e delle responsabilità del TCFD dal 2024 alla Fondazione IFRS, di cui l’ISSB fa parte</w:t>
      </w:r>
      <w:r>
        <w:rPr>
          <w:rFonts w:ascii="Times New Roman" w:hAnsi="Times New Roman" w:cs="Times New Roman"/>
          <w:sz w:val="24"/>
          <w:szCs w:val="24"/>
        </w:rPr>
        <w:t xml:space="preserve">.  </w:t>
      </w:r>
    </w:p>
    <w:p w14:paraId="4AFB068E" w14:textId="323A312C" w:rsidR="00AD09A4" w:rsidRDefault="00AD09A4" w:rsidP="001F202A">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Differentemente dagli standard europei ESRS, gli standard dell’ISSB non hanno una base normativa di supporto, e pertanto la loro adozione nei vari contesti locali è legata a processi nazionali. In tal senso, al momento gli standard ISSB sono stati adottati in Brasile, Nigeria e Turchia, mentre Regno Unito, Australia, Nuova Zelanda hanno annunciato che gli stessi saranno di riferimento per le rispettive regole nazionali di rendicontazione di sostenibilità. </w:t>
      </w:r>
    </w:p>
    <w:p w14:paraId="7CA9255E" w14:textId="732F49B4" w:rsidR="005347E6" w:rsidRDefault="004A3E4A" w:rsidP="001F202A">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 maggio 2023</w:t>
      </w:r>
      <w:r w:rsidR="005E5D20">
        <w:rPr>
          <w:rFonts w:ascii="Times New Roman" w:hAnsi="Times New Roman" w:cs="Times New Roman"/>
          <w:sz w:val="24"/>
          <w:szCs w:val="24"/>
        </w:rPr>
        <w:t>,</w:t>
      </w:r>
      <w:r>
        <w:rPr>
          <w:rFonts w:ascii="Times New Roman" w:hAnsi="Times New Roman" w:cs="Times New Roman"/>
          <w:sz w:val="24"/>
          <w:szCs w:val="24"/>
        </w:rPr>
        <w:t xml:space="preserve"> l’ISSB ha pubblicato due nuove consultazioni pubbliche</w:t>
      </w:r>
      <w:r w:rsidR="0019645A" w:rsidRPr="0019645A">
        <w:rPr>
          <w:rFonts w:ascii="Times New Roman" w:hAnsi="Times New Roman" w:cs="Times New Roman"/>
          <w:sz w:val="24"/>
          <w:szCs w:val="24"/>
        </w:rPr>
        <w:t>, la prima volta ad informare il proprio piano di lavoro per i prossimi due anni (</w:t>
      </w:r>
      <w:r w:rsidR="008A5483" w:rsidRPr="008A5483">
        <w:rPr>
          <w:rFonts w:ascii="Times New Roman" w:hAnsi="Times New Roman" w:cs="Times New Roman"/>
          <w:sz w:val="24"/>
          <w:szCs w:val="24"/>
        </w:rPr>
        <w:t>https://www.ifrs.org/projects/work-plan/issb-consultation-on-agenda-priorities/rfi-cls-agenda-priorities/#consultation</w:t>
      </w:r>
      <w:r w:rsidR="0019645A" w:rsidRPr="0019645A">
        <w:rPr>
          <w:rFonts w:ascii="Times New Roman" w:hAnsi="Times New Roman" w:cs="Times New Roman"/>
          <w:sz w:val="24"/>
          <w:szCs w:val="24"/>
        </w:rPr>
        <w:t xml:space="preserve">), e la seconda finalizzata a raccogliere feedback in relazione alla metodologia di internazionalizzazione dei </w:t>
      </w:r>
      <w:r w:rsidR="008A5483">
        <w:rPr>
          <w:rFonts w:ascii="Times New Roman" w:hAnsi="Times New Roman" w:cs="Times New Roman"/>
          <w:sz w:val="24"/>
          <w:szCs w:val="24"/>
        </w:rPr>
        <w:t>77 s</w:t>
      </w:r>
      <w:r w:rsidR="0019645A" w:rsidRPr="0019645A">
        <w:rPr>
          <w:rFonts w:ascii="Times New Roman" w:hAnsi="Times New Roman" w:cs="Times New Roman"/>
          <w:sz w:val="24"/>
          <w:szCs w:val="24"/>
        </w:rPr>
        <w:t xml:space="preserve">tandard </w:t>
      </w:r>
      <w:r w:rsidR="008A5483">
        <w:rPr>
          <w:rFonts w:ascii="Times New Roman" w:hAnsi="Times New Roman" w:cs="Times New Roman"/>
          <w:sz w:val="24"/>
          <w:szCs w:val="24"/>
        </w:rPr>
        <w:t xml:space="preserve">settoriali </w:t>
      </w:r>
      <w:r w:rsidR="0019645A" w:rsidRPr="0019645A">
        <w:rPr>
          <w:rFonts w:ascii="Times New Roman" w:hAnsi="Times New Roman" w:cs="Times New Roman"/>
          <w:sz w:val="24"/>
          <w:szCs w:val="24"/>
        </w:rPr>
        <w:t>del SASB (</w:t>
      </w:r>
      <w:r w:rsidR="008A5483" w:rsidRPr="008A5483">
        <w:rPr>
          <w:rFonts w:ascii="Times New Roman" w:hAnsi="Times New Roman" w:cs="Times New Roman"/>
          <w:sz w:val="24"/>
          <w:szCs w:val="24"/>
        </w:rPr>
        <w:t>https://www.ifrs.org/projects/completed-projects/2023/international-applicability-of-the-sasb-standards/ed-comments-sasb-applicability/</w:t>
      </w:r>
      <w:hyperlink r:id="rId11" w:history="1">
        <w:r w:rsidR="0019645A" w:rsidRPr="0019645A">
          <w:rPr>
            <w:rStyle w:val="Collegamentoipertestuale"/>
            <w:rFonts w:ascii="Times New Roman" w:hAnsi="Times New Roman" w:cs="Times New Roman"/>
            <w:sz w:val="24"/>
            <w:szCs w:val="24"/>
          </w:rPr>
          <w:t>)</w:t>
        </w:r>
      </w:hyperlink>
      <w:r w:rsidR="00074F29" w:rsidRPr="00074F29">
        <w:rPr>
          <w:rStyle w:val="Collegamentoipertestuale"/>
          <w:rFonts w:ascii="Times New Roman" w:hAnsi="Times New Roman" w:cs="Times New Roman"/>
          <w:color w:val="auto"/>
          <w:sz w:val="24"/>
          <w:szCs w:val="24"/>
          <w:u w:val="none"/>
        </w:rPr>
        <w:t>, or</w:t>
      </w:r>
      <w:r w:rsidR="00074F29">
        <w:rPr>
          <w:rStyle w:val="Collegamentoipertestuale"/>
          <w:rFonts w:ascii="Times New Roman" w:hAnsi="Times New Roman" w:cs="Times New Roman"/>
          <w:color w:val="auto"/>
          <w:sz w:val="24"/>
          <w:szCs w:val="24"/>
          <w:u w:val="none"/>
        </w:rPr>
        <w:t>i</w:t>
      </w:r>
      <w:r w:rsidR="00074F29" w:rsidRPr="00074F29">
        <w:rPr>
          <w:rStyle w:val="Collegamentoipertestuale"/>
          <w:rFonts w:ascii="Times New Roman" w:hAnsi="Times New Roman" w:cs="Times New Roman"/>
          <w:color w:val="auto"/>
          <w:sz w:val="24"/>
          <w:szCs w:val="24"/>
          <w:u w:val="none"/>
        </w:rPr>
        <w:t xml:space="preserve">ginariamente pensati con riferimento al contesto statunitense e non </w:t>
      </w:r>
      <w:r w:rsidR="00074F29">
        <w:rPr>
          <w:rStyle w:val="Collegamentoipertestuale"/>
          <w:rFonts w:ascii="Times New Roman" w:hAnsi="Times New Roman" w:cs="Times New Roman"/>
          <w:color w:val="auto"/>
          <w:sz w:val="24"/>
          <w:szCs w:val="24"/>
          <w:u w:val="none"/>
        </w:rPr>
        <w:t>globale</w:t>
      </w:r>
      <w:r w:rsidR="0019645A" w:rsidRPr="0019645A">
        <w:rPr>
          <w:rFonts w:ascii="Times New Roman" w:hAnsi="Times New Roman" w:cs="Times New Roman"/>
          <w:sz w:val="24"/>
          <w:szCs w:val="24"/>
        </w:rPr>
        <w:t>.</w:t>
      </w:r>
      <w:r w:rsidR="00EB5A18">
        <w:rPr>
          <w:rFonts w:ascii="Times New Roman" w:hAnsi="Times New Roman" w:cs="Times New Roman"/>
          <w:sz w:val="24"/>
          <w:szCs w:val="24"/>
        </w:rPr>
        <w:t xml:space="preserve"> </w:t>
      </w:r>
      <w:r w:rsidR="0019645A">
        <w:rPr>
          <w:rFonts w:ascii="Times New Roman" w:hAnsi="Times New Roman" w:cs="Times New Roman"/>
          <w:sz w:val="24"/>
          <w:szCs w:val="24"/>
        </w:rPr>
        <w:t>Le consultazioni sono rimaste</w:t>
      </w:r>
      <w:r w:rsidR="0019645A" w:rsidRPr="0019645A">
        <w:rPr>
          <w:rFonts w:ascii="Times New Roman" w:hAnsi="Times New Roman" w:cs="Times New Roman"/>
          <w:sz w:val="24"/>
          <w:szCs w:val="24"/>
        </w:rPr>
        <w:t xml:space="preserve"> </w:t>
      </w:r>
      <w:r w:rsidR="0019645A">
        <w:rPr>
          <w:rFonts w:ascii="Times New Roman" w:hAnsi="Times New Roman" w:cs="Times New Roman"/>
          <w:sz w:val="24"/>
          <w:szCs w:val="24"/>
        </w:rPr>
        <w:t xml:space="preserve">aperte </w:t>
      </w:r>
      <w:r w:rsidR="0019645A" w:rsidRPr="0019645A">
        <w:rPr>
          <w:rFonts w:ascii="Times New Roman" w:hAnsi="Times New Roman" w:cs="Times New Roman"/>
          <w:sz w:val="24"/>
          <w:szCs w:val="24"/>
        </w:rPr>
        <w:t xml:space="preserve">rispettivamente </w:t>
      </w:r>
      <w:r w:rsidR="00F0501A">
        <w:rPr>
          <w:rFonts w:ascii="Times New Roman" w:hAnsi="Times New Roman" w:cs="Times New Roman"/>
          <w:sz w:val="24"/>
          <w:szCs w:val="24"/>
        </w:rPr>
        <w:t>fino al</w:t>
      </w:r>
      <w:r w:rsidR="0019645A" w:rsidRPr="0019645A">
        <w:rPr>
          <w:rFonts w:ascii="Times New Roman" w:hAnsi="Times New Roman" w:cs="Times New Roman"/>
          <w:sz w:val="24"/>
          <w:szCs w:val="24"/>
        </w:rPr>
        <w:t xml:space="preserve"> </w:t>
      </w:r>
      <w:r w:rsidR="00EB5A18" w:rsidRPr="0019645A">
        <w:rPr>
          <w:rFonts w:ascii="Times New Roman" w:hAnsi="Times New Roman" w:cs="Times New Roman"/>
          <w:sz w:val="24"/>
          <w:szCs w:val="24"/>
        </w:rPr>
        <w:t>1° settembre</w:t>
      </w:r>
      <w:r w:rsidR="0019645A" w:rsidRPr="0019645A">
        <w:rPr>
          <w:rFonts w:ascii="Times New Roman" w:hAnsi="Times New Roman" w:cs="Times New Roman"/>
          <w:sz w:val="24"/>
          <w:szCs w:val="24"/>
        </w:rPr>
        <w:t xml:space="preserve"> </w:t>
      </w:r>
      <w:r w:rsidR="0019645A" w:rsidRPr="0019645A">
        <w:rPr>
          <w:rFonts w:ascii="Times New Roman" w:hAnsi="Times New Roman" w:cs="Times New Roman"/>
          <w:sz w:val="24"/>
          <w:szCs w:val="24"/>
        </w:rPr>
        <w:lastRenderedPageBreak/>
        <w:t>2023 (</w:t>
      </w:r>
      <w:r w:rsidR="0019645A" w:rsidRPr="008A5483">
        <w:rPr>
          <w:rFonts w:ascii="Times New Roman" w:hAnsi="Times New Roman" w:cs="Times New Roman"/>
          <w:i/>
          <w:iCs/>
          <w:sz w:val="24"/>
          <w:szCs w:val="24"/>
        </w:rPr>
        <w:t>ISSB R</w:t>
      </w:r>
      <w:r w:rsidR="008A5483" w:rsidRPr="008A5483">
        <w:rPr>
          <w:rFonts w:ascii="Times New Roman" w:hAnsi="Times New Roman" w:cs="Times New Roman"/>
          <w:i/>
          <w:iCs/>
          <w:sz w:val="24"/>
          <w:szCs w:val="24"/>
        </w:rPr>
        <w:t xml:space="preserve">equest for </w:t>
      </w:r>
      <w:r w:rsidR="0019645A" w:rsidRPr="008A5483">
        <w:rPr>
          <w:rFonts w:ascii="Times New Roman" w:hAnsi="Times New Roman" w:cs="Times New Roman"/>
          <w:i/>
          <w:iCs/>
          <w:sz w:val="24"/>
          <w:szCs w:val="24"/>
        </w:rPr>
        <w:t>I</w:t>
      </w:r>
      <w:r w:rsidR="008A5483" w:rsidRPr="008A5483">
        <w:rPr>
          <w:rFonts w:ascii="Times New Roman" w:hAnsi="Times New Roman" w:cs="Times New Roman"/>
          <w:i/>
          <w:iCs/>
          <w:sz w:val="24"/>
          <w:szCs w:val="24"/>
        </w:rPr>
        <w:t>nformation</w:t>
      </w:r>
      <w:r w:rsidR="0019645A" w:rsidRPr="0019645A">
        <w:rPr>
          <w:rFonts w:ascii="Times New Roman" w:hAnsi="Times New Roman" w:cs="Times New Roman"/>
          <w:sz w:val="24"/>
          <w:szCs w:val="24"/>
        </w:rPr>
        <w:t xml:space="preserve">) e </w:t>
      </w:r>
      <w:r w:rsidR="00F0501A">
        <w:rPr>
          <w:rFonts w:ascii="Times New Roman" w:hAnsi="Times New Roman" w:cs="Times New Roman"/>
          <w:sz w:val="24"/>
          <w:szCs w:val="24"/>
        </w:rPr>
        <w:t xml:space="preserve">il </w:t>
      </w:r>
      <w:r w:rsidR="0019645A" w:rsidRPr="0019645A">
        <w:rPr>
          <w:rFonts w:ascii="Times New Roman" w:hAnsi="Times New Roman" w:cs="Times New Roman"/>
          <w:sz w:val="24"/>
          <w:szCs w:val="24"/>
        </w:rPr>
        <w:t>9 agosto 2023 (</w:t>
      </w:r>
      <w:r w:rsidR="0019645A" w:rsidRPr="008A5483">
        <w:rPr>
          <w:rFonts w:ascii="Times New Roman" w:hAnsi="Times New Roman" w:cs="Times New Roman"/>
          <w:i/>
          <w:iCs/>
          <w:sz w:val="24"/>
          <w:szCs w:val="24"/>
        </w:rPr>
        <w:t>International Applicability of SASB Standards</w:t>
      </w:r>
      <w:r w:rsidR="0019645A" w:rsidRPr="0019645A">
        <w:rPr>
          <w:rFonts w:ascii="Times New Roman" w:hAnsi="Times New Roman" w:cs="Times New Roman"/>
          <w:sz w:val="24"/>
          <w:szCs w:val="24"/>
        </w:rPr>
        <w:t xml:space="preserve">). </w:t>
      </w:r>
    </w:p>
    <w:p w14:paraId="295411FA" w14:textId="0AD4697E" w:rsidR="00074F29" w:rsidRPr="005E5D20" w:rsidRDefault="00F0501A" w:rsidP="001F202A">
      <w:pPr>
        <w:autoSpaceDE w:val="0"/>
        <w:autoSpaceDN w:val="0"/>
        <w:adjustRightInd w:val="0"/>
        <w:spacing w:after="0" w:line="240" w:lineRule="auto"/>
        <w:jc w:val="both"/>
        <w:rPr>
          <w:rFonts w:ascii="Times New Roman" w:hAnsi="Times New Roman" w:cs="Times New Roman"/>
          <w:sz w:val="24"/>
          <w:szCs w:val="24"/>
        </w:rPr>
      </w:pPr>
      <w:r w:rsidRPr="005E5D20">
        <w:rPr>
          <w:rFonts w:ascii="Times New Roman" w:hAnsi="Times New Roman" w:cs="Times New Roman"/>
          <w:sz w:val="24"/>
          <w:szCs w:val="24"/>
        </w:rPr>
        <w:t>L’ISSB sta tutt’ora discutendo i risultati dell</w:t>
      </w:r>
      <w:r w:rsidR="00EB5A18" w:rsidRPr="005E5D20">
        <w:rPr>
          <w:rFonts w:ascii="Times New Roman" w:hAnsi="Times New Roman" w:cs="Times New Roman"/>
          <w:sz w:val="24"/>
          <w:szCs w:val="24"/>
        </w:rPr>
        <w:t>a prima</w:t>
      </w:r>
      <w:r w:rsidRPr="005E5D20">
        <w:rPr>
          <w:rFonts w:ascii="Times New Roman" w:hAnsi="Times New Roman" w:cs="Times New Roman"/>
          <w:sz w:val="24"/>
          <w:szCs w:val="24"/>
        </w:rPr>
        <w:t xml:space="preserve"> consultazion</w:t>
      </w:r>
      <w:r w:rsidR="00EB5A18" w:rsidRPr="005E5D20">
        <w:rPr>
          <w:rFonts w:ascii="Times New Roman" w:hAnsi="Times New Roman" w:cs="Times New Roman"/>
          <w:sz w:val="24"/>
          <w:szCs w:val="24"/>
        </w:rPr>
        <w:t xml:space="preserve">e su cui prevede di prendere una decisione </w:t>
      </w:r>
      <w:r w:rsidR="008A5483">
        <w:rPr>
          <w:rFonts w:ascii="Times New Roman" w:hAnsi="Times New Roman" w:cs="Times New Roman"/>
          <w:sz w:val="24"/>
          <w:szCs w:val="24"/>
        </w:rPr>
        <w:t xml:space="preserve">sulla propria agenda di lavori futura </w:t>
      </w:r>
      <w:r w:rsidR="00EB5A18" w:rsidRPr="005E5D20">
        <w:rPr>
          <w:rFonts w:ascii="Times New Roman" w:hAnsi="Times New Roman" w:cs="Times New Roman"/>
          <w:sz w:val="24"/>
          <w:szCs w:val="24"/>
        </w:rPr>
        <w:t>entro la prima metà del 2024</w:t>
      </w:r>
      <w:r w:rsidRPr="005E5D20">
        <w:rPr>
          <w:rFonts w:ascii="Times New Roman" w:hAnsi="Times New Roman" w:cs="Times New Roman"/>
          <w:sz w:val="24"/>
          <w:szCs w:val="24"/>
        </w:rPr>
        <w:t>.</w:t>
      </w:r>
      <w:r w:rsidR="00EB5A18" w:rsidRPr="005E5D20">
        <w:rPr>
          <w:rFonts w:ascii="Times New Roman" w:hAnsi="Times New Roman" w:cs="Times New Roman"/>
          <w:sz w:val="24"/>
          <w:szCs w:val="24"/>
        </w:rPr>
        <w:t xml:space="preserve"> </w:t>
      </w:r>
    </w:p>
    <w:p w14:paraId="13315486" w14:textId="27EEF050" w:rsidR="001F202A" w:rsidRDefault="00EB5A18" w:rsidP="001F202A">
      <w:pPr>
        <w:autoSpaceDE w:val="0"/>
        <w:autoSpaceDN w:val="0"/>
        <w:adjustRightInd w:val="0"/>
        <w:spacing w:after="0" w:line="240" w:lineRule="auto"/>
        <w:jc w:val="both"/>
        <w:rPr>
          <w:rFonts w:ascii="Times New Roman" w:hAnsi="Times New Roman" w:cs="Times New Roman"/>
          <w:sz w:val="24"/>
          <w:szCs w:val="24"/>
        </w:rPr>
      </w:pPr>
      <w:r w:rsidRPr="005E5D20">
        <w:rPr>
          <w:rFonts w:ascii="Times New Roman" w:hAnsi="Times New Roman" w:cs="Times New Roman"/>
          <w:sz w:val="24"/>
          <w:szCs w:val="24"/>
        </w:rPr>
        <w:t xml:space="preserve">In merito </w:t>
      </w:r>
      <w:r w:rsidR="00074F29" w:rsidRPr="005E5D20">
        <w:rPr>
          <w:rFonts w:ascii="Times New Roman" w:hAnsi="Times New Roman" w:cs="Times New Roman"/>
          <w:sz w:val="24"/>
          <w:szCs w:val="24"/>
        </w:rPr>
        <w:t xml:space="preserve">invece </w:t>
      </w:r>
      <w:r w:rsidRPr="005E5D20">
        <w:rPr>
          <w:rFonts w:ascii="Times New Roman" w:hAnsi="Times New Roman" w:cs="Times New Roman"/>
          <w:sz w:val="24"/>
          <w:szCs w:val="24"/>
        </w:rPr>
        <w:t xml:space="preserve">alla seconda consultazione, relativa alla metodologia di internazionalizzazione degli </w:t>
      </w:r>
      <w:r w:rsidR="008A5483">
        <w:rPr>
          <w:rFonts w:ascii="Times New Roman" w:hAnsi="Times New Roman" w:cs="Times New Roman"/>
          <w:sz w:val="24"/>
          <w:szCs w:val="24"/>
        </w:rPr>
        <w:t>s</w:t>
      </w:r>
      <w:r w:rsidRPr="005E5D20">
        <w:rPr>
          <w:rFonts w:ascii="Times New Roman" w:hAnsi="Times New Roman" w:cs="Times New Roman"/>
          <w:sz w:val="24"/>
          <w:szCs w:val="24"/>
        </w:rPr>
        <w:t xml:space="preserve">tandard del SASB, a dicembre 2023 </w:t>
      </w:r>
      <w:r w:rsidR="00136B73" w:rsidRPr="005E5D20">
        <w:rPr>
          <w:rFonts w:ascii="Times New Roman" w:hAnsi="Times New Roman" w:cs="Times New Roman"/>
          <w:sz w:val="24"/>
          <w:szCs w:val="24"/>
        </w:rPr>
        <w:t xml:space="preserve">l’ISSB ha pubblicato tali </w:t>
      </w:r>
      <w:r w:rsidR="008A5483">
        <w:rPr>
          <w:rFonts w:ascii="Times New Roman" w:hAnsi="Times New Roman" w:cs="Times New Roman"/>
          <w:sz w:val="24"/>
          <w:szCs w:val="24"/>
        </w:rPr>
        <w:t>77 s</w:t>
      </w:r>
      <w:r w:rsidR="00136B73" w:rsidRPr="005E5D20">
        <w:rPr>
          <w:rFonts w:ascii="Times New Roman" w:hAnsi="Times New Roman" w:cs="Times New Roman"/>
          <w:sz w:val="24"/>
          <w:szCs w:val="24"/>
        </w:rPr>
        <w:t xml:space="preserve">tandard </w:t>
      </w:r>
      <w:r w:rsidR="008A5483">
        <w:rPr>
          <w:rFonts w:ascii="Times New Roman" w:hAnsi="Times New Roman" w:cs="Times New Roman"/>
          <w:sz w:val="24"/>
          <w:szCs w:val="24"/>
        </w:rPr>
        <w:t>– uno per ciascun settore previsto dalla classificazione SICS</w:t>
      </w:r>
      <w:r w:rsidR="004A41A9" w:rsidRPr="004A41A9">
        <w:rPr>
          <w:rFonts w:ascii="Times New Roman" w:hAnsi="Times New Roman" w:cs="Times New Roman"/>
          <w:sz w:val="20"/>
          <w:szCs w:val="20"/>
          <w:vertAlign w:val="superscript"/>
        </w:rPr>
        <w:t>®</w:t>
      </w:r>
      <w:r w:rsidR="008A5483">
        <w:rPr>
          <w:rFonts w:ascii="Times New Roman" w:hAnsi="Times New Roman" w:cs="Times New Roman"/>
          <w:sz w:val="24"/>
          <w:szCs w:val="24"/>
        </w:rPr>
        <w:t xml:space="preserve"> – </w:t>
      </w:r>
      <w:r w:rsidR="00136B73" w:rsidRPr="005E5D20">
        <w:rPr>
          <w:rFonts w:ascii="Times New Roman" w:hAnsi="Times New Roman" w:cs="Times New Roman"/>
          <w:sz w:val="24"/>
          <w:szCs w:val="24"/>
        </w:rPr>
        <w:t xml:space="preserve">così come modificati a seguito dell’applicazione di tale metodologia. Questo significa che l'ISSB ha reso gli standard SASB più </w:t>
      </w:r>
      <w:r w:rsidR="008A5483">
        <w:rPr>
          <w:rFonts w:ascii="Times New Roman" w:hAnsi="Times New Roman" w:cs="Times New Roman"/>
          <w:sz w:val="24"/>
          <w:szCs w:val="24"/>
        </w:rPr>
        <w:t>facilmente adottabili</w:t>
      </w:r>
      <w:r w:rsidR="00136B73" w:rsidRPr="005E5D20">
        <w:rPr>
          <w:rFonts w:ascii="Times New Roman" w:hAnsi="Times New Roman" w:cs="Times New Roman"/>
          <w:sz w:val="24"/>
          <w:szCs w:val="24"/>
        </w:rPr>
        <w:t xml:space="preserve"> a livello </w:t>
      </w:r>
      <w:r w:rsidR="00074F29" w:rsidRPr="005E5D20">
        <w:rPr>
          <w:rFonts w:ascii="Times New Roman" w:hAnsi="Times New Roman" w:cs="Times New Roman"/>
          <w:sz w:val="24"/>
          <w:szCs w:val="24"/>
        </w:rPr>
        <w:t>globale</w:t>
      </w:r>
      <w:r w:rsidR="00136B73" w:rsidRPr="005E5D20">
        <w:rPr>
          <w:rFonts w:ascii="Times New Roman" w:hAnsi="Times New Roman" w:cs="Times New Roman"/>
          <w:sz w:val="24"/>
          <w:szCs w:val="24"/>
        </w:rPr>
        <w:t xml:space="preserve"> e indipendenti dai GAAP </w:t>
      </w:r>
      <w:r w:rsidR="00074F29" w:rsidRPr="005E5D20">
        <w:rPr>
          <w:rFonts w:ascii="Times New Roman" w:hAnsi="Times New Roman" w:cs="Times New Roman"/>
          <w:sz w:val="24"/>
          <w:szCs w:val="24"/>
        </w:rPr>
        <w:t xml:space="preserve">nazionali adottati in sede locale </w:t>
      </w:r>
      <w:r w:rsidR="00136B73" w:rsidRPr="005E5D20">
        <w:rPr>
          <w:rFonts w:ascii="Times New Roman" w:hAnsi="Times New Roman" w:cs="Times New Roman"/>
          <w:sz w:val="24"/>
          <w:szCs w:val="24"/>
        </w:rPr>
        <w:t>(</w:t>
      </w:r>
      <w:r w:rsidR="000F2C55">
        <w:rPr>
          <w:rFonts w:ascii="Times New Roman" w:hAnsi="Times New Roman" w:cs="Times New Roman"/>
          <w:sz w:val="24"/>
          <w:szCs w:val="24"/>
        </w:rPr>
        <w:t>“</w:t>
      </w:r>
      <w:r w:rsidR="00136B73" w:rsidRPr="005E5D20">
        <w:rPr>
          <w:rFonts w:ascii="Times New Roman" w:hAnsi="Times New Roman" w:cs="Times New Roman"/>
          <w:sz w:val="24"/>
          <w:szCs w:val="24"/>
        </w:rPr>
        <w:t>GAAP-agnostic</w:t>
      </w:r>
      <w:r w:rsidR="000F2C55">
        <w:rPr>
          <w:rFonts w:ascii="Times New Roman" w:hAnsi="Times New Roman" w:cs="Times New Roman"/>
          <w:sz w:val="24"/>
          <w:szCs w:val="24"/>
        </w:rPr>
        <w:t>”</w:t>
      </w:r>
      <w:r w:rsidR="00136B73" w:rsidRPr="005E5D20">
        <w:rPr>
          <w:rFonts w:ascii="Times New Roman" w:hAnsi="Times New Roman" w:cs="Times New Roman"/>
          <w:sz w:val="24"/>
          <w:szCs w:val="24"/>
        </w:rPr>
        <w:t>)</w:t>
      </w:r>
      <w:r w:rsidR="008A5483">
        <w:rPr>
          <w:rFonts w:ascii="Times New Roman" w:hAnsi="Times New Roman" w:cs="Times New Roman"/>
          <w:sz w:val="24"/>
          <w:szCs w:val="24"/>
        </w:rPr>
        <w:t>, questo al fine di supportare l’applicazione del proprio standard IFRS S1</w:t>
      </w:r>
      <w:r w:rsidR="00136B73" w:rsidRPr="005E5D20">
        <w:rPr>
          <w:rFonts w:ascii="Times New Roman" w:hAnsi="Times New Roman" w:cs="Times New Roman"/>
          <w:sz w:val="24"/>
          <w:szCs w:val="24"/>
        </w:rPr>
        <w:t>. Le modifiche apportate eliminano e sostituiscono i riferimenti e le definizioni specifici della giurisdizione, senza alterare in modo sostanziale i settori, gli argomenti o le metriche.</w:t>
      </w:r>
      <w:r>
        <w:rPr>
          <w:rFonts w:ascii="Times New Roman" w:hAnsi="Times New Roman" w:cs="Times New Roman"/>
          <w:sz w:val="24"/>
          <w:szCs w:val="24"/>
        </w:rPr>
        <w:t xml:space="preserve"> </w:t>
      </w:r>
    </w:p>
    <w:p w14:paraId="0745EAD9" w14:textId="77777777" w:rsidR="004A3E4A" w:rsidRDefault="004A3E4A" w:rsidP="001F202A">
      <w:pPr>
        <w:autoSpaceDE w:val="0"/>
        <w:autoSpaceDN w:val="0"/>
        <w:adjustRightInd w:val="0"/>
        <w:spacing w:after="0" w:line="240" w:lineRule="auto"/>
        <w:jc w:val="both"/>
        <w:rPr>
          <w:rFonts w:ascii="Times New Roman" w:hAnsi="Times New Roman" w:cs="Times New Roman"/>
          <w:sz w:val="24"/>
          <w:szCs w:val="24"/>
        </w:rPr>
      </w:pPr>
    </w:p>
    <w:p w14:paraId="0B08973F" w14:textId="2C175D94" w:rsidR="008A5483" w:rsidRPr="008A5483" w:rsidRDefault="008A5483" w:rsidP="001F202A">
      <w:pPr>
        <w:autoSpaceDE w:val="0"/>
        <w:autoSpaceDN w:val="0"/>
        <w:adjustRightInd w:val="0"/>
        <w:spacing w:after="0" w:line="240" w:lineRule="auto"/>
        <w:jc w:val="both"/>
        <w:rPr>
          <w:rFonts w:ascii="Times New Roman" w:hAnsi="Times New Roman" w:cs="Times New Roman"/>
          <w:i/>
          <w:iCs/>
          <w:sz w:val="24"/>
          <w:szCs w:val="24"/>
        </w:rPr>
      </w:pPr>
      <w:r>
        <w:rPr>
          <w:rFonts w:ascii="Times New Roman" w:hAnsi="Times New Roman" w:cs="Times New Roman"/>
          <w:i/>
          <w:iCs/>
          <w:sz w:val="24"/>
          <w:szCs w:val="24"/>
        </w:rPr>
        <w:t>3</w:t>
      </w:r>
      <w:r w:rsidRPr="008A5483">
        <w:rPr>
          <w:rFonts w:ascii="Times New Roman" w:hAnsi="Times New Roman" w:cs="Times New Roman"/>
          <w:i/>
          <w:iCs/>
          <w:sz w:val="24"/>
          <w:szCs w:val="24"/>
        </w:rPr>
        <w:t>.1.1. L’interoperabilità tra standard ISSB e standard europei ESRS</w:t>
      </w:r>
    </w:p>
    <w:p w14:paraId="6684633B" w14:textId="4FF8A698" w:rsidR="001F202A" w:rsidRPr="001F202A" w:rsidRDefault="001F202A" w:rsidP="001F202A">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 xml:space="preserve">Un elemento rilevante da sottolineare di questo nuovo quadro internazionale è rappresentato dalle relazioni che si andranno a instaurare tra </w:t>
      </w:r>
      <w:r w:rsidR="00074F29">
        <w:rPr>
          <w:rFonts w:ascii="Times New Roman" w:hAnsi="Times New Roman" w:cs="Times New Roman"/>
          <w:sz w:val="24"/>
          <w:szCs w:val="24"/>
        </w:rPr>
        <w:t xml:space="preserve">le </w:t>
      </w:r>
      <w:r w:rsidRPr="001F202A">
        <w:rPr>
          <w:rFonts w:ascii="Times New Roman" w:hAnsi="Times New Roman" w:cs="Times New Roman"/>
          <w:sz w:val="24"/>
          <w:szCs w:val="24"/>
        </w:rPr>
        <w:t>iniziative internazionali: in particolare, la compatibilità (denominata “</w:t>
      </w:r>
      <w:r w:rsidRPr="001F202A">
        <w:rPr>
          <w:rFonts w:ascii="Times New Roman" w:hAnsi="Times New Roman" w:cs="Times New Roman"/>
          <w:b/>
          <w:bCs/>
          <w:sz w:val="24"/>
          <w:szCs w:val="24"/>
        </w:rPr>
        <w:t>interoperabilità</w:t>
      </w:r>
      <w:r w:rsidRPr="001F202A">
        <w:rPr>
          <w:rFonts w:ascii="Times New Roman" w:hAnsi="Times New Roman" w:cs="Times New Roman"/>
          <w:sz w:val="24"/>
          <w:szCs w:val="24"/>
        </w:rPr>
        <w:t>”) tra i contenuti degli standard dell’EFRAG/Commissione Europea e quelli dell’ISSB ricopre una valenza significativa</w:t>
      </w:r>
      <w:r w:rsidR="00DD3E96">
        <w:rPr>
          <w:rFonts w:ascii="Times New Roman" w:hAnsi="Times New Roman" w:cs="Times New Roman"/>
          <w:sz w:val="24"/>
          <w:szCs w:val="24"/>
        </w:rPr>
        <w:t xml:space="preserve">, anche per evitare che un’impresa che operi nel contempo a livello </w:t>
      </w:r>
      <w:r w:rsidR="00ED5F11">
        <w:rPr>
          <w:rFonts w:ascii="Times New Roman" w:hAnsi="Times New Roman" w:cs="Times New Roman"/>
          <w:sz w:val="24"/>
          <w:szCs w:val="24"/>
        </w:rPr>
        <w:t>UE</w:t>
      </w:r>
      <w:r w:rsidR="00DD3E96">
        <w:rPr>
          <w:rFonts w:ascii="Times New Roman" w:hAnsi="Times New Roman" w:cs="Times New Roman"/>
          <w:sz w:val="24"/>
          <w:szCs w:val="24"/>
        </w:rPr>
        <w:t xml:space="preserve"> e globale non incorra nel rischio di doppia rendicontazione secondo due diversi sistemi di standard</w:t>
      </w:r>
      <w:r w:rsidR="00ED5F11">
        <w:rPr>
          <w:rFonts w:ascii="Times New Roman" w:hAnsi="Times New Roman" w:cs="Times New Roman"/>
          <w:sz w:val="24"/>
          <w:szCs w:val="24"/>
        </w:rPr>
        <w:t xml:space="preserve"> con conseguenti costi e complessità</w:t>
      </w:r>
      <w:r w:rsidRPr="001F202A">
        <w:rPr>
          <w:rFonts w:ascii="Times New Roman" w:hAnsi="Times New Roman" w:cs="Times New Roman"/>
          <w:sz w:val="24"/>
          <w:szCs w:val="24"/>
        </w:rPr>
        <w:t xml:space="preserve">. </w:t>
      </w:r>
    </w:p>
    <w:p w14:paraId="7FDFC45E" w14:textId="2AC2FD0B" w:rsidR="001F202A" w:rsidRPr="001F202A" w:rsidRDefault="001F202A" w:rsidP="001F202A">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Non è infatti scontata una facile convergenza tra i due approcci, anche per le diverse visioni adottate rispetto al ruolo e ai contenuti del reporting di sostenibilità: ad esempio, la prospettiva degli “</w:t>
      </w:r>
      <w:r w:rsidRPr="001F202A">
        <w:rPr>
          <w:rFonts w:ascii="Times New Roman" w:hAnsi="Times New Roman" w:cs="Times New Roman"/>
          <w:i/>
          <w:iCs/>
          <w:sz w:val="24"/>
          <w:szCs w:val="24"/>
        </w:rPr>
        <w:t>stakeholders</w:t>
      </w:r>
      <w:r w:rsidRPr="001F202A">
        <w:rPr>
          <w:rFonts w:ascii="Times New Roman" w:hAnsi="Times New Roman" w:cs="Times New Roman"/>
          <w:sz w:val="24"/>
          <w:szCs w:val="24"/>
        </w:rPr>
        <w:t xml:space="preserve">” abbracciata dall’approccio europeo si contrappone alla prospettiva degli “investitori” che ispira l’approccio ISSB; oppure il criterio della (“singola”) materialità </w:t>
      </w:r>
      <w:r w:rsidR="005B63DC" w:rsidRPr="005B63DC">
        <w:rPr>
          <w:rFonts w:ascii="Times New Roman" w:hAnsi="Times New Roman" w:cs="Times New Roman"/>
          <w:sz w:val="24"/>
          <w:szCs w:val="24"/>
          <w:highlight w:val="yellow"/>
        </w:rPr>
        <w:t>‘</w:t>
      </w:r>
      <w:proofErr w:type="spellStart"/>
      <w:r w:rsidR="005B63DC" w:rsidRPr="005B63DC">
        <w:rPr>
          <w:rFonts w:ascii="Times New Roman" w:hAnsi="Times New Roman" w:cs="Times New Roman"/>
          <w:sz w:val="24"/>
          <w:szCs w:val="24"/>
          <w:highlight w:val="yellow"/>
        </w:rPr>
        <w:t>investor-focused</w:t>
      </w:r>
      <w:proofErr w:type="spellEnd"/>
      <w:r w:rsidR="005B63DC" w:rsidRPr="005B63DC">
        <w:rPr>
          <w:rFonts w:ascii="Times New Roman" w:hAnsi="Times New Roman" w:cs="Times New Roman"/>
          <w:sz w:val="24"/>
          <w:szCs w:val="24"/>
          <w:highlight w:val="yellow"/>
        </w:rPr>
        <w:t>’</w:t>
      </w:r>
      <w:r w:rsidR="005B63DC">
        <w:rPr>
          <w:rFonts w:ascii="Times New Roman" w:hAnsi="Times New Roman" w:cs="Times New Roman"/>
          <w:sz w:val="24"/>
          <w:szCs w:val="24"/>
        </w:rPr>
        <w:t xml:space="preserve"> </w:t>
      </w:r>
      <w:r w:rsidRPr="001F202A">
        <w:rPr>
          <w:rFonts w:ascii="Times New Roman" w:hAnsi="Times New Roman" w:cs="Times New Roman"/>
          <w:sz w:val="24"/>
          <w:szCs w:val="24"/>
        </w:rPr>
        <w:t>su cui poggia i propri standard l’ISSB, che si differenzia dalla “doppia” materialità (“</w:t>
      </w:r>
      <w:r w:rsidRPr="001F202A">
        <w:rPr>
          <w:rFonts w:ascii="Times New Roman" w:hAnsi="Times New Roman" w:cs="Times New Roman"/>
          <w:i/>
          <w:iCs/>
          <w:sz w:val="24"/>
          <w:szCs w:val="24"/>
        </w:rPr>
        <w:t>inside-out</w:t>
      </w:r>
      <w:r w:rsidRPr="001F202A">
        <w:rPr>
          <w:rFonts w:ascii="Times New Roman" w:hAnsi="Times New Roman" w:cs="Times New Roman"/>
          <w:sz w:val="24"/>
          <w:szCs w:val="24"/>
        </w:rPr>
        <w:t>” e “</w:t>
      </w:r>
      <w:r w:rsidRPr="001F202A">
        <w:rPr>
          <w:rFonts w:ascii="Times New Roman" w:hAnsi="Times New Roman" w:cs="Times New Roman"/>
          <w:i/>
          <w:iCs/>
          <w:sz w:val="24"/>
          <w:szCs w:val="24"/>
        </w:rPr>
        <w:t>outside-in</w:t>
      </w:r>
      <w:r w:rsidRPr="001F202A">
        <w:rPr>
          <w:rFonts w:ascii="Times New Roman" w:hAnsi="Times New Roman" w:cs="Times New Roman"/>
          <w:sz w:val="24"/>
          <w:szCs w:val="24"/>
        </w:rPr>
        <w:t xml:space="preserve">”) alla base invece degli standard europei e che contempla la considerazione non solo degli impatti finanziari sull’impresa ma anche i più generali impatti dell’impresa sul contesto socio-ambientale. Appare </w:t>
      </w:r>
      <w:r w:rsidR="00ED5F11">
        <w:rPr>
          <w:rFonts w:ascii="Times New Roman" w:hAnsi="Times New Roman" w:cs="Times New Roman"/>
          <w:sz w:val="24"/>
          <w:szCs w:val="24"/>
        </w:rPr>
        <w:t xml:space="preserve">quindi </w:t>
      </w:r>
      <w:r w:rsidRPr="001F202A">
        <w:rPr>
          <w:rFonts w:ascii="Times New Roman" w:hAnsi="Times New Roman" w:cs="Times New Roman"/>
          <w:sz w:val="24"/>
          <w:szCs w:val="24"/>
        </w:rPr>
        <w:t>evidente</w:t>
      </w:r>
      <w:r w:rsidR="00ED5F11">
        <w:rPr>
          <w:rFonts w:ascii="Times New Roman" w:hAnsi="Times New Roman" w:cs="Times New Roman"/>
          <w:sz w:val="24"/>
          <w:szCs w:val="24"/>
        </w:rPr>
        <w:t>, come ricordato,</w:t>
      </w:r>
      <w:r w:rsidRPr="001F202A">
        <w:rPr>
          <w:rFonts w:ascii="Times New Roman" w:hAnsi="Times New Roman" w:cs="Times New Roman"/>
          <w:sz w:val="24"/>
          <w:szCs w:val="24"/>
        </w:rPr>
        <w:t xml:space="preserve"> il forte </w:t>
      </w:r>
      <w:r w:rsidR="00ED5F11" w:rsidRPr="001F202A">
        <w:rPr>
          <w:rFonts w:ascii="Times New Roman" w:hAnsi="Times New Roman" w:cs="Times New Roman"/>
          <w:sz w:val="24"/>
          <w:szCs w:val="24"/>
        </w:rPr>
        <w:t>pericolo</w:t>
      </w:r>
      <w:r w:rsidRPr="001F202A">
        <w:rPr>
          <w:rFonts w:ascii="Times New Roman" w:hAnsi="Times New Roman" w:cs="Times New Roman"/>
          <w:sz w:val="24"/>
          <w:szCs w:val="24"/>
        </w:rPr>
        <w:t xml:space="preserve"> di un</w:t>
      </w:r>
      <w:r w:rsidR="00ED5F11">
        <w:rPr>
          <w:rFonts w:ascii="Times New Roman" w:hAnsi="Times New Roman" w:cs="Times New Roman"/>
          <w:sz w:val="24"/>
          <w:szCs w:val="24"/>
        </w:rPr>
        <w:t>a situazione di</w:t>
      </w:r>
      <w:r w:rsidRPr="001F202A">
        <w:rPr>
          <w:rFonts w:ascii="Times New Roman" w:hAnsi="Times New Roman" w:cs="Times New Roman"/>
          <w:sz w:val="24"/>
          <w:szCs w:val="24"/>
        </w:rPr>
        <w:t xml:space="preserve"> “</w:t>
      </w:r>
      <w:r w:rsidRPr="001F202A">
        <w:rPr>
          <w:rFonts w:ascii="Times New Roman" w:hAnsi="Times New Roman" w:cs="Times New Roman"/>
          <w:i/>
          <w:iCs/>
          <w:sz w:val="24"/>
          <w:szCs w:val="24"/>
        </w:rPr>
        <w:t>double sustainability</w:t>
      </w:r>
      <w:r w:rsidRPr="001F202A">
        <w:rPr>
          <w:rFonts w:ascii="Times New Roman" w:hAnsi="Times New Roman" w:cs="Times New Roman"/>
          <w:sz w:val="24"/>
          <w:szCs w:val="24"/>
        </w:rPr>
        <w:t xml:space="preserve"> </w:t>
      </w:r>
      <w:r w:rsidRPr="001F202A">
        <w:rPr>
          <w:rFonts w:ascii="Times New Roman" w:hAnsi="Times New Roman" w:cs="Times New Roman"/>
          <w:i/>
          <w:iCs/>
          <w:sz w:val="24"/>
          <w:szCs w:val="24"/>
        </w:rPr>
        <w:t>reporting</w:t>
      </w:r>
      <w:r w:rsidRPr="001F202A">
        <w:rPr>
          <w:rFonts w:ascii="Times New Roman" w:hAnsi="Times New Roman" w:cs="Times New Roman"/>
          <w:sz w:val="24"/>
          <w:szCs w:val="24"/>
        </w:rPr>
        <w:t>”.</w:t>
      </w:r>
    </w:p>
    <w:p w14:paraId="467D469B" w14:textId="77777777" w:rsidR="001F202A" w:rsidRPr="001F202A" w:rsidRDefault="001F202A" w:rsidP="001F202A">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In un mondo ideale, si può ipotizzare che l’ISSB proponga standard di reporting che possano fungere da “</w:t>
      </w:r>
      <w:r w:rsidRPr="001F202A">
        <w:rPr>
          <w:rFonts w:ascii="Times New Roman" w:hAnsi="Times New Roman" w:cs="Times New Roman"/>
          <w:b/>
          <w:bCs/>
          <w:sz w:val="24"/>
          <w:szCs w:val="24"/>
        </w:rPr>
        <w:t>minimo comun denominatore</w:t>
      </w:r>
      <w:r w:rsidRPr="001F202A">
        <w:rPr>
          <w:rFonts w:ascii="Times New Roman" w:hAnsi="Times New Roman" w:cs="Times New Roman"/>
          <w:sz w:val="24"/>
          <w:szCs w:val="24"/>
        </w:rPr>
        <w:t xml:space="preserve"> </w:t>
      </w:r>
      <w:r w:rsidRPr="001F202A">
        <w:rPr>
          <w:rFonts w:ascii="Times New Roman" w:hAnsi="Times New Roman" w:cs="Times New Roman"/>
          <w:b/>
          <w:bCs/>
          <w:sz w:val="24"/>
          <w:szCs w:val="24"/>
        </w:rPr>
        <w:t>internazionale</w:t>
      </w:r>
      <w:r w:rsidRPr="001F202A">
        <w:rPr>
          <w:rFonts w:ascii="Times New Roman" w:hAnsi="Times New Roman" w:cs="Times New Roman"/>
          <w:sz w:val="24"/>
          <w:szCs w:val="24"/>
        </w:rPr>
        <w:t>”, e che l’EFRAG emani a sua volta i propri standard tenendo in considerazione quelli dell’ISSB, ma sviluppandoli per renderli più aderenti alle normative europee che, ad oggi, integrano una sensibilità più specifica sulle tematiche legate ai criteri ESG e agli intangibili (ottica del c.d. “</w:t>
      </w:r>
      <w:r w:rsidRPr="001F202A">
        <w:rPr>
          <w:rFonts w:ascii="Times New Roman" w:hAnsi="Times New Roman" w:cs="Times New Roman"/>
          <w:i/>
          <w:iCs/>
          <w:sz w:val="24"/>
          <w:szCs w:val="24"/>
        </w:rPr>
        <w:t>building block</w:t>
      </w:r>
      <w:r w:rsidRPr="001F202A">
        <w:rPr>
          <w:rFonts w:ascii="Times New Roman" w:hAnsi="Times New Roman" w:cs="Times New Roman"/>
          <w:sz w:val="24"/>
          <w:szCs w:val="24"/>
        </w:rPr>
        <w:t xml:space="preserve"> </w:t>
      </w:r>
      <w:r w:rsidRPr="001F202A">
        <w:rPr>
          <w:rFonts w:ascii="Times New Roman" w:hAnsi="Times New Roman" w:cs="Times New Roman"/>
          <w:i/>
          <w:iCs/>
          <w:sz w:val="24"/>
          <w:szCs w:val="24"/>
        </w:rPr>
        <w:t>approach</w:t>
      </w:r>
      <w:r w:rsidRPr="001F202A">
        <w:rPr>
          <w:rFonts w:ascii="Times New Roman" w:hAnsi="Times New Roman" w:cs="Times New Roman"/>
          <w:sz w:val="24"/>
          <w:szCs w:val="24"/>
        </w:rPr>
        <w:t>”). È peraltro evidente come tale visione sconti rilevanti ostacoli di carattere relazionale e geopolitico.</w:t>
      </w:r>
    </w:p>
    <w:p w14:paraId="4F0A76E8" w14:textId="77777777" w:rsidR="001F202A" w:rsidRDefault="001F202A" w:rsidP="001F202A">
      <w:pPr>
        <w:autoSpaceDE w:val="0"/>
        <w:autoSpaceDN w:val="0"/>
        <w:adjustRightInd w:val="0"/>
        <w:spacing w:after="0" w:line="240" w:lineRule="auto"/>
        <w:jc w:val="both"/>
        <w:rPr>
          <w:rFonts w:ascii="Times New Roman" w:hAnsi="Times New Roman" w:cs="Times New Roman"/>
          <w:sz w:val="24"/>
          <w:szCs w:val="24"/>
        </w:rPr>
      </w:pPr>
      <w:r w:rsidRPr="00A94DE2">
        <w:rPr>
          <w:rFonts w:ascii="Times New Roman" w:hAnsi="Times New Roman" w:cs="Times New Roman"/>
          <w:sz w:val="24"/>
          <w:szCs w:val="24"/>
        </w:rPr>
        <w:t xml:space="preserve">Si noti altresì che si viene così a creare anche una discrepanza in Europa con riferimento agli standard contabili rispetto a quelli relativi alla rendicontazione di sostenibilità: gli standard contabili sono infatti comuni e condivisi a livello internazionale ivi compreso in Europa (ovvero sono quelli emanati dall’International Accounting Standards Board – IASB), mentre per il </w:t>
      </w:r>
      <w:r w:rsidRPr="00A94DE2">
        <w:rPr>
          <w:rFonts w:ascii="Times New Roman" w:hAnsi="Times New Roman" w:cs="Times New Roman"/>
          <w:i/>
          <w:iCs/>
          <w:sz w:val="24"/>
          <w:szCs w:val="24"/>
        </w:rPr>
        <w:t xml:space="preserve">sustainability </w:t>
      </w:r>
      <w:r w:rsidRPr="001F202A">
        <w:rPr>
          <w:rFonts w:ascii="Times New Roman" w:hAnsi="Times New Roman" w:cs="Times New Roman"/>
          <w:i/>
          <w:iCs/>
          <w:sz w:val="24"/>
          <w:szCs w:val="24"/>
        </w:rPr>
        <w:t xml:space="preserve">reporting </w:t>
      </w:r>
      <w:r w:rsidRPr="001F202A">
        <w:rPr>
          <w:rFonts w:ascii="Times New Roman" w:hAnsi="Times New Roman" w:cs="Times New Roman"/>
          <w:sz w:val="24"/>
          <w:szCs w:val="24"/>
        </w:rPr>
        <w:t>l’Europa avrà propri standard diversi – se non divergenti – da quelli internazionali.</w:t>
      </w:r>
    </w:p>
    <w:p w14:paraId="12E6E269" w14:textId="42209DA5" w:rsidR="005A7D7D" w:rsidRPr="001F202A" w:rsidRDefault="005A7D7D" w:rsidP="001F202A">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Al fine di far fronte a tale possibile scenario</w:t>
      </w:r>
      <w:r w:rsidR="00ED5F11">
        <w:rPr>
          <w:rFonts w:ascii="Times New Roman" w:hAnsi="Times New Roman" w:cs="Times New Roman"/>
          <w:sz w:val="24"/>
          <w:szCs w:val="24"/>
        </w:rPr>
        <w:t xml:space="preserve"> ed evitarlo</w:t>
      </w:r>
      <w:r>
        <w:rPr>
          <w:rFonts w:ascii="Times New Roman" w:hAnsi="Times New Roman" w:cs="Times New Roman"/>
          <w:sz w:val="24"/>
          <w:szCs w:val="24"/>
        </w:rPr>
        <w:t xml:space="preserve">, </w:t>
      </w:r>
      <w:r w:rsidR="00ED5F11">
        <w:rPr>
          <w:rFonts w:ascii="Times New Roman" w:hAnsi="Times New Roman" w:cs="Times New Roman"/>
          <w:sz w:val="24"/>
          <w:szCs w:val="24"/>
        </w:rPr>
        <w:t>occorre n</w:t>
      </w:r>
      <w:r>
        <w:rPr>
          <w:rFonts w:ascii="Times New Roman" w:hAnsi="Times New Roman" w:cs="Times New Roman"/>
          <w:sz w:val="24"/>
          <w:szCs w:val="24"/>
        </w:rPr>
        <w:t>otare c</w:t>
      </w:r>
      <w:r w:rsidR="00ED5F11">
        <w:rPr>
          <w:rFonts w:ascii="Times New Roman" w:hAnsi="Times New Roman" w:cs="Times New Roman"/>
          <w:sz w:val="24"/>
          <w:szCs w:val="24"/>
        </w:rPr>
        <w:t>he</w:t>
      </w:r>
      <w:r>
        <w:rPr>
          <w:rFonts w:ascii="Times New Roman" w:hAnsi="Times New Roman" w:cs="Times New Roman"/>
          <w:sz w:val="24"/>
          <w:szCs w:val="24"/>
        </w:rPr>
        <w:t xml:space="preserve"> </w:t>
      </w:r>
      <w:r w:rsidR="00ED5F11">
        <w:rPr>
          <w:rFonts w:ascii="Times New Roman" w:hAnsi="Times New Roman" w:cs="Times New Roman"/>
          <w:sz w:val="24"/>
          <w:szCs w:val="24"/>
        </w:rPr>
        <w:t xml:space="preserve">vi sono colloqui molto frequenti tra EFRAG ed ISSB, e che </w:t>
      </w:r>
      <w:r>
        <w:rPr>
          <w:rFonts w:ascii="Times New Roman" w:hAnsi="Times New Roman" w:cs="Times New Roman"/>
          <w:sz w:val="24"/>
          <w:szCs w:val="24"/>
        </w:rPr>
        <w:t>a maggio 2022 l’IFRS Foundation abbia istituito il cosìddetto ‘</w:t>
      </w:r>
      <w:hyperlink r:id="rId12" w:anchor="about" w:tgtFrame="_blank" w:history="1">
        <w:r w:rsidRPr="005A7D7D">
          <w:rPr>
            <w:rStyle w:val="Collegamentoipertestuale"/>
            <w:rFonts w:ascii="Times New Roman" w:hAnsi="Times New Roman" w:cs="Times New Roman"/>
            <w:sz w:val="24"/>
            <w:szCs w:val="24"/>
          </w:rPr>
          <w:t>Jurisdictional Working Group (JWG)</w:t>
        </w:r>
      </w:hyperlink>
      <w:r>
        <w:rPr>
          <w:rFonts w:ascii="Times New Roman" w:hAnsi="Times New Roman" w:cs="Times New Roman"/>
          <w:sz w:val="24"/>
          <w:szCs w:val="24"/>
        </w:rPr>
        <w:t>’</w:t>
      </w:r>
      <w:r w:rsidRPr="005A7D7D">
        <w:rPr>
          <w:rFonts w:ascii="Times New Roman" w:hAnsi="Times New Roman" w:cs="Times New Roman"/>
          <w:sz w:val="24"/>
          <w:szCs w:val="24"/>
        </w:rPr>
        <w:t xml:space="preserve">, gruppo di lavoro coordinato dalla Fondazione </w:t>
      </w:r>
      <w:r>
        <w:rPr>
          <w:rFonts w:ascii="Times New Roman" w:hAnsi="Times New Roman" w:cs="Times New Roman"/>
          <w:sz w:val="24"/>
          <w:szCs w:val="24"/>
        </w:rPr>
        <w:t xml:space="preserve">stessa </w:t>
      </w:r>
      <w:r w:rsidRPr="005A7D7D">
        <w:rPr>
          <w:rFonts w:ascii="Times New Roman" w:hAnsi="Times New Roman" w:cs="Times New Roman"/>
          <w:sz w:val="24"/>
          <w:szCs w:val="24"/>
        </w:rPr>
        <w:t>e che include rappresentanti dalle principali istituzioni di diversi Paesi, quali gli Stati Uniti, il Giappone, il Regno Unito, la Cina, l’Unione Europea, e da</w:t>
      </w:r>
      <w:r>
        <w:rPr>
          <w:rFonts w:ascii="Times New Roman" w:hAnsi="Times New Roman" w:cs="Times New Roman"/>
          <w:sz w:val="24"/>
          <w:szCs w:val="24"/>
        </w:rPr>
        <w:t xml:space="preserve"> maggio 2023</w:t>
      </w:r>
      <w:r w:rsidRPr="005A7D7D">
        <w:rPr>
          <w:rFonts w:ascii="Times New Roman" w:hAnsi="Times New Roman" w:cs="Times New Roman"/>
          <w:sz w:val="24"/>
          <w:szCs w:val="24"/>
        </w:rPr>
        <w:t xml:space="preserve"> anche Singapore e il Cile. </w:t>
      </w:r>
      <w:r>
        <w:rPr>
          <w:rFonts w:ascii="Times New Roman" w:hAnsi="Times New Roman" w:cs="Times New Roman"/>
          <w:sz w:val="24"/>
          <w:szCs w:val="24"/>
        </w:rPr>
        <w:t>P</w:t>
      </w:r>
      <w:r w:rsidRPr="005A7D7D">
        <w:rPr>
          <w:rFonts w:ascii="Times New Roman" w:hAnsi="Times New Roman" w:cs="Times New Roman"/>
          <w:sz w:val="24"/>
          <w:szCs w:val="24"/>
        </w:rPr>
        <w:t>artecipa ai lavori anche lo IOSCO.</w:t>
      </w:r>
      <w:r>
        <w:rPr>
          <w:rFonts w:ascii="Times New Roman" w:hAnsi="Times New Roman" w:cs="Times New Roman"/>
          <w:sz w:val="24"/>
          <w:szCs w:val="24"/>
        </w:rPr>
        <w:t xml:space="preserve"> </w:t>
      </w:r>
      <w:r w:rsidR="00ED5F11">
        <w:rPr>
          <w:rFonts w:ascii="Times New Roman" w:hAnsi="Times New Roman" w:cs="Times New Roman"/>
          <w:sz w:val="24"/>
          <w:szCs w:val="24"/>
        </w:rPr>
        <w:t xml:space="preserve">La finalità </w:t>
      </w:r>
      <w:r>
        <w:rPr>
          <w:rFonts w:ascii="Times New Roman" w:hAnsi="Times New Roman" w:cs="Times New Roman"/>
          <w:sz w:val="24"/>
          <w:szCs w:val="24"/>
        </w:rPr>
        <w:t>di questo Comitato consist</w:t>
      </w:r>
      <w:r w:rsidR="00ED5F11">
        <w:rPr>
          <w:rFonts w:ascii="Times New Roman" w:hAnsi="Times New Roman" w:cs="Times New Roman"/>
          <w:sz w:val="24"/>
          <w:szCs w:val="24"/>
        </w:rPr>
        <w:t>e</w:t>
      </w:r>
      <w:r>
        <w:rPr>
          <w:rFonts w:ascii="Times New Roman" w:hAnsi="Times New Roman" w:cs="Times New Roman"/>
          <w:sz w:val="24"/>
          <w:szCs w:val="24"/>
        </w:rPr>
        <w:t xml:space="preserve"> nell’</w:t>
      </w:r>
      <w:r w:rsidRPr="005A7D7D">
        <w:rPr>
          <w:rFonts w:ascii="Times New Roman" w:hAnsi="Times New Roman" w:cs="Times New Roman"/>
          <w:sz w:val="24"/>
          <w:szCs w:val="24"/>
        </w:rPr>
        <w:t xml:space="preserve">allineare, per quanto possibile, i requisiti a livello giurisdizionale e internazionale per realizzare </w:t>
      </w:r>
      <w:r>
        <w:rPr>
          <w:rFonts w:ascii="Times New Roman" w:hAnsi="Times New Roman" w:cs="Times New Roman"/>
          <w:sz w:val="24"/>
          <w:szCs w:val="24"/>
        </w:rPr>
        <w:t xml:space="preserve">la </w:t>
      </w:r>
      <w:r w:rsidRPr="00974849">
        <w:rPr>
          <w:rFonts w:ascii="Times New Roman" w:hAnsi="Times New Roman" w:cs="Times New Roman"/>
          <w:i/>
          <w:iCs/>
          <w:sz w:val="24"/>
          <w:szCs w:val="24"/>
        </w:rPr>
        <w:t>global baseline</w:t>
      </w:r>
      <w:r>
        <w:rPr>
          <w:rFonts w:ascii="Times New Roman" w:hAnsi="Times New Roman" w:cs="Times New Roman"/>
          <w:sz w:val="24"/>
          <w:szCs w:val="24"/>
        </w:rPr>
        <w:t>.</w:t>
      </w:r>
    </w:p>
    <w:p w14:paraId="32516C2C" w14:textId="77777777" w:rsidR="003D3722" w:rsidRDefault="003D3722" w:rsidP="001F202A">
      <w:pPr>
        <w:autoSpaceDE w:val="0"/>
        <w:autoSpaceDN w:val="0"/>
        <w:adjustRightInd w:val="0"/>
        <w:spacing w:after="0" w:line="240" w:lineRule="auto"/>
        <w:jc w:val="both"/>
        <w:rPr>
          <w:rFonts w:ascii="Times New Roman" w:hAnsi="Times New Roman" w:cs="Times New Roman"/>
          <w:sz w:val="24"/>
          <w:szCs w:val="24"/>
        </w:rPr>
      </w:pPr>
    </w:p>
    <w:p w14:paraId="5A1BD1B2" w14:textId="77777777" w:rsidR="0095130D" w:rsidRDefault="0095130D" w:rsidP="001F202A">
      <w:pPr>
        <w:autoSpaceDE w:val="0"/>
        <w:autoSpaceDN w:val="0"/>
        <w:adjustRightInd w:val="0"/>
        <w:spacing w:after="0" w:line="240" w:lineRule="auto"/>
        <w:jc w:val="both"/>
        <w:rPr>
          <w:rFonts w:ascii="Times New Roman" w:hAnsi="Times New Roman" w:cs="Times New Roman"/>
          <w:sz w:val="24"/>
          <w:szCs w:val="24"/>
        </w:rPr>
      </w:pPr>
    </w:p>
    <w:p w14:paraId="0F362585" w14:textId="77777777" w:rsidR="0095130D" w:rsidRDefault="0095130D" w:rsidP="001F202A">
      <w:pPr>
        <w:autoSpaceDE w:val="0"/>
        <w:autoSpaceDN w:val="0"/>
        <w:adjustRightInd w:val="0"/>
        <w:spacing w:after="0" w:line="240" w:lineRule="auto"/>
        <w:jc w:val="both"/>
        <w:rPr>
          <w:rFonts w:ascii="Times New Roman" w:hAnsi="Times New Roman" w:cs="Times New Roman"/>
          <w:sz w:val="24"/>
          <w:szCs w:val="24"/>
        </w:rPr>
      </w:pPr>
    </w:p>
    <w:p w14:paraId="55A2B1B1" w14:textId="77777777" w:rsidR="0095130D" w:rsidRDefault="0095130D" w:rsidP="001F202A">
      <w:pPr>
        <w:autoSpaceDE w:val="0"/>
        <w:autoSpaceDN w:val="0"/>
        <w:adjustRightInd w:val="0"/>
        <w:spacing w:after="0" w:line="240" w:lineRule="auto"/>
        <w:jc w:val="both"/>
        <w:rPr>
          <w:rFonts w:ascii="Times New Roman" w:hAnsi="Times New Roman" w:cs="Times New Roman"/>
          <w:sz w:val="24"/>
          <w:szCs w:val="24"/>
        </w:rPr>
      </w:pPr>
    </w:p>
    <w:p w14:paraId="018C6C38" w14:textId="2E2C220B" w:rsidR="00AA3C27" w:rsidRPr="00E11234" w:rsidRDefault="00640DB8" w:rsidP="001F202A">
      <w:pPr>
        <w:autoSpaceDE w:val="0"/>
        <w:autoSpaceDN w:val="0"/>
        <w:adjustRightInd w:val="0"/>
        <w:spacing w:after="0" w:line="24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lastRenderedPageBreak/>
        <w:t>3</w:t>
      </w:r>
      <w:r w:rsidR="00AA3C27" w:rsidRPr="00E11234">
        <w:rPr>
          <w:rFonts w:ascii="Times New Roman" w:hAnsi="Times New Roman" w:cs="Times New Roman"/>
          <w:b/>
          <w:bCs/>
          <w:i/>
          <w:iCs/>
          <w:sz w:val="24"/>
          <w:szCs w:val="24"/>
        </w:rPr>
        <w:t>.</w:t>
      </w:r>
      <w:r w:rsidR="00E11234" w:rsidRPr="00E11234">
        <w:rPr>
          <w:rFonts w:ascii="Times New Roman" w:hAnsi="Times New Roman" w:cs="Times New Roman"/>
          <w:b/>
          <w:bCs/>
          <w:i/>
          <w:iCs/>
          <w:sz w:val="24"/>
          <w:szCs w:val="24"/>
        </w:rPr>
        <w:t>2</w:t>
      </w:r>
      <w:r w:rsidR="00A90751" w:rsidRPr="00E11234">
        <w:rPr>
          <w:rFonts w:ascii="Times New Roman" w:hAnsi="Times New Roman" w:cs="Times New Roman"/>
          <w:b/>
          <w:bCs/>
          <w:i/>
          <w:iCs/>
          <w:sz w:val="24"/>
          <w:szCs w:val="24"/>
        </w:rPr>
        <w:t xml:space="preserve">. </w:t>
      </w:r>
      <w:r w:rsidR="00AA3C27" w:rsidRPr="00E11234">
        <w:rPr>
          <w:rFonts w:ascii="Times New Roman" w:hAnsi="Times New Roman" w:cs="Times New Roman"/>
          <w:b/>
          <w:bCs/>
          <w:i/>
          <w:iCs/>
          <w:sz w:val="24"/>
          <w:szCs w:val="24"/>
        </w:rPr>
        <w:t>Il Global Reporting Initiative (GRI)</w:t>
      </w:r>
    </w:p>
    <w:p w14:paraId="5D3C20F7" w14:textId="270B0F04" w:rsidR="002C2423" w:rsidRDefault="001F202A" w:rsidP="001F202A">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Un</w:t>
      </w:r>
      <w:r w:rsidR="0095130D">
        <w:rPr>
          <w:rFonts w:ascii="Times New Roman" w:hAnsi="Times New Roman" w:cs="Times New Roman"/>
          <w:sz w:val="24"/>
          <w:szCs w:val="24"/>
        </w:rPr>
        <w:t xml:space="preserve"> </w:t>
      </w:r>
      <w:r w:rsidRPr="001F202A">
        <w:rPr>
          <w:rFonts w:ascii="Times New Roman" w:hAnsi="Times New Roman" w:cs="Times New Roman"/>
          <w:sz w:val="24"/>
          <w:szCs w:val="24"/>
        </w:rPr>
        <w:t>altr</w:t>
      </w:r>
      <w:r w:rsidR="0095130D">
        <w:rPr>
          <w:rFonts w:ascii="Times New Roman" w:hAnsi="Times New Roman" w:cs="Times New Roman"/>
          <w:sz w:val="24"/>
          <w:szCs w:val="24"/>
        </w:rPr>
        <w:t>o</w:t>
      </w:r>
      <w:r w:rsidRPr="001F202A">
        <w:rPr>
          <w:rFonts w:ascii="Times New Roman" w:hAnsi="Times New Roman" w:cs="Times New Roman"/>
          <w:sz w:val="24"/>
          <w:szCs w:val="24"/>
        </w:rPr>
        <w:t xml:space="preserve"> importante </w:t>
      </w:r>
      <w:r w:rsidR="0095130D">
        <w:rPr>
          <w:rFonts w:ascii="Times New Roman" w:hAnsi="Times New Roman" w:cs="Times New Roman"/>
          <w:sz w:val="24"/>
          <w:szCs w:val="24"/>
        </w:rPr>
        <w:t>attore del quadro internazionale è il Global Reporting Initiative (GRI)</w:t>
      </w:r>
      <w:r w:rsidR="002C2423">
        <w:rPr>
          <w:rFonts w:ascii="Times New Roman" w:hAnsi="Times New Roman" w:cs="Times New Roman"/>
          <w:sz w:val="24"/>
          <w:szCs w:val="24"/>
        </w:rPr>
        <w:t>, che nasce a Boston nel 1997 quale organizzazione statunitense che poi si trasferisce in Europa con base ad Amsterdam. Nel 2016 le precedenti Linee Guida del GRI sono state elaborate e sviluppate in veri e propri standard</w:t>
      </w:r>
      <w:r w:rsidR="00A94DE2">
        <w:rPr>
          <w:rFonts w:ascii="Times New Roman" w:hAnsi="Times New Roman" w:cs="Times New Roman"/>
          <w:sz w:val="24"/>
          <w:szCs w:val="24"/>
        </w:rPr>
        <w:t xml:space="preserve"> </w:t>
      </w:r>
      <w:r w:rsidR="0095130D">
        <w:rPr>
          <w:rFonts w:ascii="Times New Roman" w:hAnsi="Times New Roman" w:cs="Times New Roman"/>
          <w:sz w:val="24"/>
          <w:szCs w:val="24"/>
        </w:rPr>
        <w:t>per il reporting di sostenibilità</w:t>
      </w:r>
      <w:r w:rsidR="002C2423">
        <w:rPr>
          <w:rFonts w:ascii="Times New Roman" w:hAnsi="Times New Roman" w:cs="Times New Roman"/>
          <w:sz w:val="24"/>
          <w:szCs w:val="24"/>
        </w:rPr>
        <w:t>, che sono oggi suddivisi in generali (GRI 1, GRI 2 e GRI 3), settoriali e tematici (economici, ambientali, e sociali). Tali standard</w:t>
      </w:r>
    </w:p>
    <w:p w14:paraId="587310EA" w14:textId="77777777" w:rsidR="002C2423" w:rsidRDefault="002C2423" w:rsidP="001F202A">
      <w:pPr>
        <w:autoSpaceDE w:val="0"/>
        <w:autoSpaceDN w:val="0"/>
        <w:adjustRightInd w:val="0"/>
        <w:spacing w:after="0" w:line="240" w:lineRule="auto"/>
        <w:jc w:val="both"/>
        <w:rPr>
          <w:rFonts w:ascii="Times New Roman" w:hAnsi="Times New Roman" w:cs="Times New Roman"/>
          <w:sz w:val="24"/>
          <w:szCs w:val="24"/>
        </w:rPr>
      </w:pPr>
    </w:p>
    <w:p w14:paraId="1D07E436" w14:textId="661A3DC6" w:rsidR="00A94DE2" w:rsidRDefault="002C2423" w:rsidP="001F202A">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Gli standard del GRI </w:t>
      </w:r>
      <w:r w:rsidR="00A94DE2">
        <w:rPr>
          <w:rFonts w:ascii="Times New Roman" w:hAnsi="Times New Roman" w:cs="Times New Roman"/>
          <w:sz w:val="24"/>
          <w:szCs w:val="24"/>
        </w:rPr>
        <w:t xml:space="preserve">sono attualmente i più diffusi a livello mondiale – anche in Italia </w:t>
      </w:r>
      <w:r w:rsidR="0095130D">
        <w:rPr>
          <w:rFonts w:ascii="Times New Roman" w:hAnsi="Times New Roman" w:cs="Times New Roman"/>
          <w:sz w:val="24"/>
          <w:szCs w:val="24"/>
        </w:rPr>
        <w:t>sono quelli largamente predominanti</w:t>
      </w:r>
      <w:r w:rsidR="00A94DE2">
        <w:rPr>
          <w:rFonts w:ascii="Times New Roman" w:hAnsi="Times New Roman" w:cs="Times New Roman"/>
          <w:sz w:val="24"/>
          <w:szCs w:val="24"/>
        </w:rPr>
        <w:t xml:space="preserve">–, ma per i quali si prevede un ruolo </w:t>
      </w:r>
      <w:r w:rsidR="001F202A" w:rsidRPr="001F202A">
        <w:rPr>
          <w:rFonts w:ascii="Times New Roman" w:hAnsi="Times New Roman" w:cs="Times New Roman"/>
          <w:sz w:val="24"/>
          <w:szCs w:val="24"/>
        </w:rPr>
        <w:t xml:space="preserve">progressivamente digradante in Europa </w:t>
      </w:r>
      <w:r w:rsidR="00A94DE2">
        <w:rPr>
          <w:rFonts w:ascii="Times New Roman" w:hAnsi="Times New Roman" w:cs="Times New Roman"/>
          <w:sz w:val="24"/>
          <w:szCs w:val="24"/>
        </w:rPr>
        <w:t>a causa degli ESRS emanati dall’EFRAG/Commissione europea.</w:t>
      </w:r>
    </w:p>
    <w:p w14:paraId="5F8090E0" w14:textId="3D3D8C07" w:rsidR="001F202A" w:rsidRPr="001F202A" w:rsidRDefault="001F202A" w:rsidP="001F202A">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 xml:space="preserve">Tuttavia, su questo fronte, occorre anche sottolineare che il GRI, in quanto standard setter globale, ha concluso un accordo di collaborazione stretta </w:t>
      </w:r>
      <w:r w:rsidR="00B17E87">
        <w:rPr>
          <w:rFonts w:ascii="Times New Roman" w:hAnsi="Times New Roman" w:cs="Times New Roman"/>
          <w:sz w:val="24"/>
          <w:szCs w:val="24"/>
        </w:rPr>
        <w:t xml:space="preserve">sia con EFRAG e </w:t>
      </w:r>
      <w:r w:rsidRPr="001F202A">
        <w:rPr>
          <w:rFonts w:ascii="Times New Roman" w:hAnsi="Times New Roman" w:cs="Times New Roman"/>
          <w:sz w:val="24"/>
          <w:szCs w:val="24"/>
        </w:rPr>
        <w:t>con l’ISSB</w:t>
      </w:r>
      <w:r w:rsidR="00B17E87">
        <w:rPr>
          <w:rFonts w:ascii="Times New Roman" w:hAnsi="Times New Roman" w:cs="Times New Roman"/>
          <w:sz w:val="24"/>
          <w:szCs w:val="24"/>
        </w:rPr>
        <w:t>. In merito alla collaborazione con EFRAG è da sottolineare che</w:t>
      </w:r>
      <w:r w:rsidR="00974849">
        <w:rPr>
          <w:rFonts w:ascii="Times New Roman" w:hAnsi="Times New Roman" w:cs="Times New Roman"/>
          <w:sz w:val="24"/>
          <w:szCs w:val="24"/>
        </w:rPr>
        <w:t xml:space="preserve"> </w:t>
      </w:r>
      <w:r w:rsidR="00B17E87">
        <w:rPr>
          <w:rFonts w:ascii="Times New Roman" w:hAnsi="Times New Roman" w:cs="Times New Roman"/>
          <w:sz w:val="24"/>
          <w:szCs w:val="24"/>
        </w:rPr>
        <w:t>a dicembre 2023 è stat</w:t>
      </w:r>
      <w:r w:rsidR="00872FE5">
        <w:rPr>
          <w:rFonts w:ascii="Times New Roman" w:hAnsi="Times New Roman" w:cs="Times New Roman"/>
          <w:sz w:val="24"/>
          <w:szCs w:val="24"/>
        </w:rPr>
        <w:t>a</w:t>
      </w:r>
      <w:r w:rsidR="00B17E87">
        <w:rPr>
          <w:rFonts w:ascii="Times New Roman" w:hAnsi="Times New Roman" w:cs="Times New Roman"/>
          <w:sz w:val="24"/>
          <w:szCs w:val="24"/>
        </w:rPr>
        <w:t xml:space="preserve"> pubblicata una bozza di indice di correlazione tra gli ESRS e gli Standard del GRI al fine di supportare le aziende nella loro adozione. Con riferimento alla collaborazione con ISSB, GRI intende </w:t>
      </w:r>
      <w:r w:rsidRPr="001F202A">
        <w:rPr>
          <w:rFonts w:ascii="Times New Roman" w:hAnsi="Times New Roman" w:cs="Times New Roman"/>
          <w:sz w:val="24"/>
          <w:szCs w:val="24"/>
        </w:rPr>
        <w:t>poter offrire congiuntamente a quest’ultimo organismo un set completo di standard per il reporting di sostenibilità rivolto tanto agli investitori, quanto alla più ampia platea dei rimanenti stakeholder.</w:t>
      </w:r>
      <w:r w:rsidR="00B17E87">
        <w:rPr>
          <w:rFonts w:ascii="Times New Roman" w:hAnsi="Times New Roman" w:cs="Times New Roman"/>
          <w:sz w:val="24"/>
          <w:szCs w:val="24"/>
        </w:rPr>
        <w:t xml:space="preserve"> </w:t>
      </w:r>
    </w:p>
    <w:p w14:paraId="54353A7A" w14:textId="54093719" w:rsidR="006D06A4" w:rsidRPr="001F202A" w:rsidRDefault="006D06A4" w:rsidP="001F202A">
      <w:pPr>
        <w:jc w:val="both"/>
        <w:rPr>
          <w:rFonts w:ascii="Times New Roman" w:hAnsi="Times New Roman" w:cs="Times New Roman"/>
        </w:rPr>
      </w:pPr>
    </w:p>
    <w:p w14:paraId="5CD95E1E" w14:textId="77777777" w:rsidR="00386DBF" w:rsidRPr="001F202A" w:rsidRDefault="00386DBF" w:rsidP="00386DBF">
      <w:pPr>
        <w:autoSpaceDE w:val="0"/>
        <w:autoSpaceDN w:val="0"/>
        <w:adjustRightInd w:val="0"/>
        <w:spacing w:after="0" w:line="240" w:lineRule="auto"/>
        <w:rPr>
          <w:rFonts w:ascii="Times New Roman" w:hAnsi="Times New Roman" w:cs="Times New Roman"/>
          <w:sz w:val="24"/>
          <w:szCs w:val="24"/>
        </w:rPr>
      </w:pPr>
    </w:p>
    <w:p w14:paraId="4B96A547" w14:textId="77777777" w:rsidR="007F709B" w:rsidRDefault="007F709B" w:rsidP="00386DBF">
      <w:pPr>
        <w:autoSpaceDE w:val="0"/>
        <w:autoSpaceDN w:val="0"/>
        <w:adjustRightInd w:val="0"/>
        <w:spacing w:after="0" w:line="240" w:lineRule="auto"/>
        <w:rPr>
          <w:rFonts w:ascii="Times New Roman" w:hAnsi="Times New Roman" w:cs="Times New Roman"/>
          <w:b/>
          <w:bCs/>
          <w:sz w:val="26"/>
          <w:szCs w:val="26"/>
        </w:rPr>
      </w:pPr>
    </w:p>
    <w:p w14:paraId="0C1918F2" w14:textId="571DBCF4" w:rsidR="00EE2A8B" w:rsidRPr="00E11234" w:rsidRDefault="00E11234" w:rsidP="0027345B">
      <w:pPr>
        <w:autoSpaceDE w:val="0"/>
        <w:autoSpaceDN w:val="0"/>
        <w:adjustRightInd w:val="0"/>
        <w:spacing w:after="0" w:line="240" w:lineRule="auto"/>
        <w:jc w:val="both"/>
        <w:rPr>
          <w:rFonts w:ascii="Times New Roman" w:hAnsi="Times New Roman" w:cs="Times New Roman"/>
          <w:b/>
          <w:bCs/>
          <w:sz w:val="24"/>
          <w:szCs w:val="24"/>
        </w:rPr>
      </w:pPr>
      <w:r w:rsidRPr="00E11234">
        <w:rPr>
          <w:rFonts w:ascii="Times New Roman" w:hAnsi="Times New Roman" w:cs="Times New Roman"/>
          <w:b/>
          <w:bCs/>
          <w:sz w:val="24"/>
          <w:szCs w:val="24"/>
        </w:rPr>
        <w:t xml:space="preserve">4. Considerazioni complessive e </w:t>
      </w:r>
      <w:r>
        <w:rPr>
          <w:rFonts w:ascii="Times New Roman" w:hAnsi="Times New Roman" w:cs="Times New Roman"/>
          <w:b/>
          <w:bCs/>
          <w:sz w:val="24"/>
          <w:szCs w:val="24"/>
        </w:rPr>
        <w:t xml:space="preserve">proposte </w:t>
      </w:r>
      <w:r w:rsidRPr="00E11234">
        <w:rPr>
          <w:rFonts w:ascii="Times New Roman" w:hAnsi="Times New Roman" w:cs="Times New Roman"/>
          <w:b/>
          <w:bCs/>
          <w:sz w:val="24"/>
          <w:szCs w:val="24"/>
        </w:rPr>
        <w:t>di policy</w:t>
      </w:r>
    </w:p>
    <w:p w14:paraId="3C537457" w14:textId="77777777" w:rsidR="00C05FA1" w:rsidRDefault="00C05FA1" w:rsidP="0027345B">
      <w:pPr>
        <w:autoSpaceDE w:val="0"/>
        <w:autoSpaceDN w:val="0"/>
        <w:adjustRightInd w:val="0"/>
        <w:spacing w:after="0" w:line="240" w:lineRule="auto"/>
        <w:jc w:val="both"/>
        <w:rPr>
          <w:rFonts w:ascii="Times New Roman" w:hAnsi="Times New Roman" w:cs="Times New Roman"/>
          <w:sz w:val="24"/>
          <w:szCs w:val="24"/>
        </w:rPr>
      </w:pPr>
    </w:p>
    <w:p w14:paraId="2D51D6F2" w14:textId="3E6C0B59" w:rsidR="00101A22" w:rsidRDefault="00101A22" w:rsidP="0027345B">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 rapidi sviluppi susseguitisi </w:t>
      </w:r>
      <w:r w:rsidR="00767C7D">
        <w:rPr>
          <w:rFonts w:ascii="Times New Roman" w:hAnsi="Times New Roman" w:cs="Times New Roman"/>
          <w:sz w:val="24"/>
          <w:szCs w:val="24"/>
        </w:rPr>
        <w:t xml:space="preserve">negli ultimi due-tre anni in materia di informativa aziendale di sostenibilità rappresentano </w:t>
      </w:r>
      <w:r w:rsidR="00851114">
        <w:rPr>
          <w:rFonts w:ascii="Times New Roman" w:hAnsi="Times New Roman" w:cs="Times New Roman"/>
          <w:sz w:val="24"/>
          <w:szCs w:val="24"/>
        </w:rPr>
        <w:t>un cambiamento di grande significatività, che trascende certamente la dimensione della mera rendicontazione.</w:t>
      </w:r>
    </w:p>
    <w:p w14:paraId="06233F40" w14:textId="77777777" w:rsidR="00101A22" w:rsidRDefault="00101A22" w:rsidP="0027345B">
      <w:pPr>
        <w:autoSpaceDE w:val="0"/>
        <w:autoSpaceDN w:val="0"/>
        <w:adjustRightInd w:val="0"/>
        <w:spacing w:after="0" w:line="240" w:lineRule="auto"/>
        <w:jc w:val="both"/>
        <w:rPr>
          <w:rFonts w:ascii="Times New Roman" w:hAnsi="Times New Roman" w:cs="Times New Roman"/>
          <w:sz w:val="24"/>
          <w:szCs w:val="24"/>
        </w:rPr>
      </w:pPr>
    </w:p>
    <w:p w14:paraId="49189DB4" w14:textId="6671F1BB" w:rsidR="00EE2A8B" w:rsidRPr="001F202A" w:rsidRDefault="00EE2A8B" w:rsidP="0027345B">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 xml:space="preserve">Come già sottolineato, </w:t>
      </w:r>
      <w:r w:rsidR="00492549" w:rsidRPr="00492549">
        <w:rPr>
          <w:rFonts w:ascii="Times New Roman" w:hAnsi="Times New Roman" w:cs="Times New Roman"/>
          <w:sz w:val="24"/>
          <w:szCs w:val="24"/>
          <w:highlight w:val="yellow"/>
        </w:rPr>
        <w:t xml:space="preserve">ora che </w:t>
      </w:r>
      <w:r w:rsidRPr="00492549">
        <w:rPr>
          <w:rFonts w:ascii="Times New Roman" w:hAnsi="Times New Roman" w:cs="Times New Roman"/>
          <w:sz w:val="24"/>
          <w:szCs w:val="24"/>
          <w:highlight w:val="yellow"/>
        </w:rPr>
        <w:t>la pubblicazione della</w:t>
      </w:r>
      <w:r w:rsidR="001E3D7A" w:rsidRPr="00492549">
        <w:rPr>
          <w:rFonts w:ascii="Times New Roman" w:hAnsi="Times New Roman" w:cs="Times New Roman"/>
          <w:sz w:val="24"/>
          <w:szCs w:val="24"/>
          <w:highlight w:val="yellow"/>
        </w:rPr>
        <w:t xml:space="preserve"> </w:t>
      </w:r>
      <w:r w:rsidRPr="00492549">
        <w:rPr>
          <w:rFonts w:ascii="Times New Roman" w:hAnsi="Times New Roman" w:cs="Times New Roman"/>
          <w:sz w:val="24"/>
          <w:szCs w:val="24"/>
          <w:highlight w:val="yellow"/>
        </w:rPr>
        <w:t xml:space="preserve">nuova Direttiva CSRD è </w:t>
      </w:r>
      <w:r w:rsidR="00492549" w:rsidRPr="00492549">
        <w:rPr>
          <w:rFonts w:ascii="Times New Roman" w:hAnsi="Times New Roman" w:cs="Times New Roman"/>
          <w:sz w:val="24"/>
          <w:szCs w:val="24"/>
          <w:highlight w:val="yellow"/>
        </w:rPr>
        <w:t>avvenuta</w:t>
      </w:r>
      <w:r w:rsidR="00492549">
        <w:rPr>
          <w:rFonts w:ascii="Times New Roman" w:hAnsi="Times New Roman" w:cs="Times New Roman"/>
          <w:sz w:val="24"/>
          <w:szCs w:val="24"/>
        </w:rPr>
        <w:t xml:space="preserve"> </w:t>
      </w:r>
      <w:r w:rsidRPr="001F202A">
        <w:rPr>
          <w:rFonts w:ascii="Times New Roman" w:hAnsi="Times New Roman" w:cs="Times New Roman"/>
          <w:sz w:val="24"/>
          <w:szCs w:val="24"/>
        </w:rPr>
        <w:t>si apr</w:t>
      </w:r>
      <w:r w:rsidR="00492549">
        <w:rPr>
          <w:rFonts w:ascii="Times New Roman" w:hAnsi="Times New Roman" w:cs="Times New Roman"/>
          <w:sz w:val="24"/>
          <w:szCs w:val="24"/>
        </w:rPr>
        <w:t>e</w:t>
      </w:r>
      <w:r w:rsidRPr="001F202A">
        <w:rPr>
          <w:rFonts w:ascii="Times New Roman" w:hAnsi="Times New Roman" w:cs="Times New Roman"/>
          <w:sz w:val="24"/>
          <w:szCs w:val="24"/>
        </w:rPr>
        <w:t xml:space="preserve"> la questione</w:t>
      </w:r>
      <w:r w:rsidR="001E3D7A" w:rsidRPr="001F202A">
        <w:rPr>
          <w:rFonts w:ascii="Times New Roman" w:hAnsi="Times New Roman" w:cs="Times New Roman"/>
          <w:sz w:val="24"/>
          <w:szCs w:val="24"/>
        </w:rPr>
        <w:t xml:space="preserve"> </w:t>
      </w:r>
      <w:r w:rsidRPr="001F202A">
        <w:rPr>
          <w:rFonts w:ascii="Times New Roman" w:hAnsi="Times New Roman" w:cs="Times New Roman"/>
          <w:sz w:val="24"/>
          <w:szCs w:val="24"/>
        </w:rPr>
        <w:t>del suo necessario recepimento entro 18 mesi</w:t>
      </w:r>
      <w:r w:rsidR="001E3D7A" w:rsidRPr="001F202A">
        <w:rPr>
          <w:rFonts w:ascii="Times New Roman" w:hAnsi="Times New Roman" w:cs="Times New Roman"/>
          <w:sz w:val="24"/>
          <w:szCs w:val="24"/>
        </w:rPr>
        <w:t xml:space="preserve"> </w:t>
      </w:r>
      <w:r w:rsidRPr="001F202A">
        <w:rPr>
          <w:rFonts w:ascii="Times New Roman" w:hAnsi="Times New Roman" w:cs="Times New Roman"/>
          <w:sz w:val="24"/>
          <w:szCs w:val="24"/>
        </w:rPr>
        <w:t>negli</w:t>
      </w:r>
      <w:r w:rsidR="001E3D7A" w:rsidRPr="001F202A">
        <w:rPr>
          <w:rFonts w:ascii="Times New Roman" w:hAnsi="Times New Roman" w:cs="Times New Roman"/>
          <w:sz w:val="24"/>
          <w:szCs w:val="24"/>
        </w:rPr>
        <w:t xml:space="preserve"> </w:t>
      </w:r>
      <w:r w:rsidRPr="001F202A">
        <w:rPr>
          <w:rFonts w:ascii="Times New Roman" w:hAnsi="Times New Roman" w:cs="Times New Roman"/>
          <w:sz w:val="24"/>
          <w:szCs w:val="24"/>
        </w:rPr>
        <w:t>ordinamenti giuridici degli Stati membri</w:t>
      </w:r>
      <w:r w:rsidR="001E3D7A" w:rsidRPr="001F202A">
        <w:rPr>
          <w:rFonts w:ascii="Times New Roman" w:hAnsi="Times New Roman" w:cs="Times New Roman"/>
          <w:sz w:val="24"/>
          <w:szCs w:val="24"/>
        </w:rPr>
        <w:t xml:space="preserve"> </w:t>
      </w:r>
      <w:r w:rsidRPr="001F202A">
        <w:rPr>
          <w:rFonts w:ascii="Times New Roman" w:hAnsi="Times New Roman" w:cs="Times New Roman"/>
          <w:sz w:val="24"/>
          <w:szCs w:val="24"/>
        </w:rPr>
        <w:t>dell’Unione Europea, dove saranno poi da verificare</w:t>
      </w:r>
      <w:r w:rsidR="001E3D7A" w:rsidRPr="001F202A">
        <w:rPr>
          <w:rFonts w:ascii="Times New Roman" w:hAnsi="Times New Roman" w:cs="Times New Roman"/>
          <w:sz w:val="24"/>
          <w:szCs w:val="24"/>
        </w:rPr>
        <w:t xml:space="preserve"> </w:t>
      </w:r>
      <w:r w:rsidRPr="001F202A">
        <w:rPr>
          <w:rFonts w:ascii="Times New Roman" w:hAnsi="Times New Roman" w:cs="Times New Roman"/>
          <w:sz w:val="24"/>
          <w:szCs w:val="24"/>
        </w:rPr>
        <w:t>i</w:t>
      </w:r>
      <w:r w:rsidR="001E3D7A" w:rsidRPr="001F202A">
        <w:rPr>
          <w:rFonts w:ascii="Times New Roman" w:hAnsi="Times New Roman" w:cs="Times New Roman"/>
          <w:sz w:val="24"/>
          <w:szCs w:val="24"/>
        </w:rPr>
        <w:t xml:space="preserve"> </w:t>
      </w:r>
      <w:r w:rsidRPr="001F202A">
        <w:rPr>
          <w:rFonts w:ascii="Times New Roman" w:hAnsi="Times New Roman" w:cs="Times New Roman"/>
          <w:sz w:val="24"/>
          <w:szCs w:val="24"/>
        </w:rPr>
        <w:t>tempi e l’omogeneità di questa trasposizione</w:t>
      </w:r>
      <w:r w:rsidR="001E3D7A" w:rsidRPr="001F202A">
        <w:rPr>
          <w:rFonts w:ascii="Times New Roman" w:hAnsi="Times New Roman" w:cs="Times New Roman"/>
          <w:sz w:val="24"/>
          <w:szCs w:val="24"/>
        </w:rPr>
        <w:t xml:space="preserve"> </w:t>
      </w:r>
      <w:r w:rsidRPr="001F202A">
        <w:rPr>
          <w:rFonts w:ascii="Times New Roman" w:hAnsi="Times New Roman" w:cs="Times New Roman"/>
          <w:sz w:val="24"/>
          <w:szCs w:val="24"/>
        </w:rPr>
        <w:t>normativa. Da questo punto di vista, si</w:t>
      </w:r>
      <w:r w:rsidR="001E3D7A" w:rsidRPr="001F202A">
        <w:rPr>
          <w:rFonts w:ascii="Times New Roman" w:hAnsi="Times New Roman" w:cs="Times New Roman"/>
          <w:sz w:val="24"/>
          <w:szCs w:val="24"/>
        </w:rPr>
        <w:t xml:space="preserve"> </w:t>
      </w:r>
      <w:r w:rsidRPr="001F202A">
        <w:rPr>
          <w:rFonts w:ascii="Times New Roman" w:hAnsi="Times New Roman" w:cs="Times New Roman"/>
          <w:sz w:val="24"/>
          <w:szCs w:val="24"/>
        </w:rPr>
        <w:t>osserva che il periodo concesso dalla CSRD per</w:t>
      </w:r>
      <w:r w:rsidR="001E3D7A" w:rsidRPr="001F202A">
        <w:rPr>
          <w:rFonts w:ascii="Times New Roman" w:hAnsi="Times New Roman" w:cs="Times New Roman"/>
          <w:sz w:val="24"/>
          <w:szCs w:val="24"/>
        </w:rPr>
        <w:t xml:space="preserve"> </w:t>
      </w:r>
      <w:r w:rsidRPr="001F202A">
        <w:rPr>
          <w:rFonts w:ascii="Times New Roman" w:hAnsi="Times New Roman" w:cs="Times New Roman"/>
          <w:sz w:val="24"/>
          <w:szCs w:val="24"/>
        </w:rPr>
        <w:t>l’implementazione della nuova legislazione</w:t>
      </w:r>
      <w:r w:rsidR="001E3D7A" w:rsidRPr="001F202A">
        <w:rPr>
          <w:rFonts w:ascii="Times New Roman" w:hAnsi="Times New Roman" w:cs="Times New Roman"/>
          <w:sz w:val="24"/>
          <w:szCs w:val="24"/>
        </w:rPr>
        <w:t xml:space="preserve"> </w:t>
      </w:r>
      <w:r w:rsidRPr="001F202A">
        <w:rPr>
          <w:rFonts w:ascii="Times New Roman" w:hAnsi="Times New Roman" w:cs="Times New Roman"/>
          <w:sz w:val="24"/>
          <w:szCs w:val="24"/>
        </w:rPr>
        <w:t>cadrà nel giugno 2024, lasciando ai Parlamenti</w:t>
      </w:r>
      <w:r w:rsidR="001E3D7A" w:rsidRPr="001F202A">
        <w:rPr>
          <w:rFonts w:ascii="Times New Roman" w:hAnsi="Times New Roman" w:cs="Times New Roman"/>
          <w:sz w:val="24"/>
          <w:szCs w:val="24"/>
        </w:rPr>
        <w:t xml:space="preserve"> </w:t>
      </w:r>
      <w:r w:rsidRPr="001F202A">
        <w:rPr>
          <w:rFonts w:ascii="Times New Roman" w:hAnsi="Times New Roman" w:cs="Times New Roman"/>
          <w:sz w:val="24"/>
          <w:szCs w:val="24"/>
        </w:rPr>
        <w:t>e ai Governi locali la decisione se iniziare l’applicazione</w:t>
      </w:r>
      <w:r w:rsidR="001E3D7A" w:rsidRPr="001F202A">
        <w:rPr>
          <w:rFonts w:ascii="Times New Roman" w:hAnsi="Times New Roman" w:cs="Times New Roman"/>
          <w:sz w:val="24"/>
          <w:szCs w:val="24"/>
        </w:rPr>
        <w:t xml:space="preserve"> </w:t>
      </w:r>
      <w:r w:rsidRPr="001F202A">
        <w:rPr>
          <w:rFonts w:ascii="Times New Roman" w:hAnsi="Times New Roman" w:cs="Times New Roman"/>
          <w:sz w:val="24"/>
          <w:szCs w:val="24"/>
        </w:rPr>
        <w:t>della stessa già dall’esercizio 2024</w:t>
      </w:r>
      <w:r w:rsidR="001E3D7A" w:rsidRPr="001F202A">
        <w:rPr>
          <w:rFonts w:ascii="Times New Roman" w:hAnsi="Times New Roman" w:cs="Times New Roman"/>
          <w:sz w:val="24"/>
          <w:szCs w:val="24"/>
        </w:rPr>
        <w:t xml:space="preserve"> </w:t>
      </w:r>
      <w:r w:rsidRPr="001F202A">
        <w:rPr>
          <w:rFonts w:ascii="Times New Roman" w:hAnsi="Times New Roman" w:cs="Times New Roman"/>
          <w:sz w:val="24"/>
          <w:szCs w:val="24"/>
        </w:rPr>
        <w:t>o se ritardarla all’esercizio 2025.</w:t>
      </w:r>
      <w:r w:rsidR="00E460A3">
        <w:rPr>
          <w:rFonts w:ascii="Times New Roman" w:hAnsi="Times New Roman" w:cs="Times New Roman"/>
          <w:sz w:val="24"/>
          <w:szCs w:val="24"/>
        </w:rPr>
        <w:t xml:space="preserve"> È da notare come la Francia, il 6 dicembre </w:t>
      </w:r>
      <w:r w:rsidR="003D3722">
        <w:rPr>
          <w:rFonts w:ascii="Times New Roman" w:hAnsi="Times New Roman" w:cs="Times New Roman"/>
          <w:sz w:val="24"/>
          <w:szCs w:val="24"/>
        </w:rPr>
        <w:t>2023</w:t>
      </w:r>
      <w:r w:rsidR="00E460A3">
        <w:rPr>
          <w:rFonts w:ascii="Times New Roman" w:hAnsi="Times New Roman" w:cs="Times New Roman"/>
          <w:sz w:val="24"/>
          <w:szCs w:val="24"/>
        </w:rPr>
        <w:t xml:space="preserve"> ha pubblicato l’</w:t>
      </w:r>
      <w:r w:rsidR="00E460A3" w:rsidRPr="003D3722">
        <w:rPr>
          <w:rFonts w:ascii="Times New Roman" w:hAnsi="Times New Roman" w:cs="Times New Roman"/>
          <w:i/>
          <w:iCs/>
          <w:sz w:val="24"/>
          <w:szCs w:val="24"/>
        </w:rPr>
        <w:t>Ordonnance</w:t>
      </w:r>
      <w:r w:rsidR="00E460A3">
        <w:rPr>
          <w:rFonts w:ascii="Times New Roman" w:hAnsi="Times New Roman" w:cs="Times New Roman"/>
          <w:sz w:val="24"/>
          <w:szCs w:val="24"/>
        </w:rPr>
        <w:t xml:space="preserve"> n°</w:t>
      </w:r>
      <w:r w:rsidR="003D3722">
        <w:rPr>
          <w:rFonts w:ascii="Times New Roman" w:hAnsi="Times New Roman" w:cs="Times New Roman"/>
          <w:sz w:val="24"/>
          <w:szCs w:val="24"/>
        </w:rPr>
        <w:t xml:space="preserve"> </w:t>
      </w:r>
      <w:r w:rsidR="00E460A3">
        <w:rPr>
          <w:rFonts w:ascii="Times New Roman" w:hAnsi="Times New Roman" w:cs="Times New Roman"/>
          <w:sz w:val="24"/>
          <w:szCs w:val="24"/>
        </w:rPr>
        <w:t xml:space="preserve">2023-1142 che recepisce </w:t>
      </w:r>
      <w:r w:rsidR="003D3722">
        <w:rPr>
          <w:rFonts w:ascii="Times New Roman" w:hAnsi="Times New Roman" w:cs="Times New Roman"/>
          <w:sz w:val="24"/>
          <w:szCs w:val="24"/>
        </w:rPr>
        <w:t xml:space="preserve">e implementa in quello Stato membro </w:t>
      </w:r>
      <w:r w:rsidR="00E460A3">
        <w:rPr>
          <w:rFonts w:ascii="Times New Roman" w:hAnsi="Times New Roman" w:cs="Times New Roman"/>
          <w:sz w:val="24"/>
          <w:szCs w:val="24"/>
        </w:rPr>
        <w:t xml:space="preserve">la Direttiva CSRD, rendendo così obbligatorio per le imprese francesi che ricadono nel suo ambito di applicazione l’implementazione del reporting delle informazioni sulla sostenibilità. </w:t>
      </w:r>
    </w:p>
    <w:p w14:paraId="7869F768" w14:textId="46221A99" w:rsidR="001E3D7A" w:rsidRPr="001F202A" w:rsidRDefault="00EE2A8B" w:rsidP="0027345B">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Questo nuovo quadro in forte evoluzione pon</w:t>
      </w:r>
      <w:r w:rsidR="001E3D7A" w:rsidRPr="001F202A">
        <w:rPr>
          <w:rFonts w:ascii="Times New Roman" w:hAnsi="Times New Roman" w:cs="Times New Roman"/>
          <w:sz w:val="24"/>
          <w:szCs w:val="24"/>
        </w:rPr>
        <w:t>e evidentemente nuove sfide e criticità alle imprese</w:t>
      </w:r>
      <w:r w:rsidR="000F443B" w:rsidRPr="001F202A">
        <w:rPr>
          <w:rFonts w:ascii="Times New Roman" w:hAnsi="Times New Roman" w:cs="Times New Roman"/>
          <w:sz w:val="24"/>
          <w:szCs w:val="24"/>
        </w:rPr>
        <w:t xml:space="preserve"> </w:t>
      </w:r>
      <w:r w:rsidR="001E3D7A" w:rsidRPr="001F202A">
        <w:rPr>
          <w:rFonts w:ascii="Times New Roman" w:hAnsi="Times New Roman" w:cs="Times New Roman"/>
          <w:sz w:val="24"/>
          <w:szCs w:val="24"/>
        </w:rPr>
        <w:t xml:space="preserve">italiane che </w:t>
      </w:r>
      <w:r w:rsidR="001E3D7A" w:rsidRPr="00492549">
        <w:rPr>
          <w:rFonts w:ascii="Times New Roman" w:hAnsi="Times New Roman" w:cs="Times New Roman"/>
          <w:sz w:val="24"/>
          <w:szCs w:val="24"/>
          <w:highlight w:val="yellow"/>
        </w:rPr>
        <w:t>d</w:t>
      </w:r>
      <w:r w:rsidR="00492549" w:rsidRPr="00492549">
        <w:rPr>
          <w:rFonts w:ascii="Times New Roman" w:hAnsi="Times New Roman" w:cs="Times New Roman"/>
          <w:sz w:val="24"/>
          <w:szCs w:val="24"/>
          <w:highlight w:val="yellow"/>
        </w:rPr>
        <w:t>evono</w:t>
      </w:r>
      <w:r w:rsidR="00492549">
        <w:rPr>
          <w:rFonts w:ascii="Times New Roman" w:hAnsi="Times New Roman" w:cs="Times New Roman"/>
          <w:sz w:val="24"/>
          <w:szCs w:val="24"/>
        </w:rPr>
        <w:t xml:space="preserve"> </w:t>
      </w:r>
      <w:r w:rsidR="001E3D7A" w:rsidRPr="001F202A">
        <w:rPr>
          <w:rFonts w:ascii="Times New Roman" w:hAnsi="Times New Roman" w:cs="Times New Roman"/>
          <w:sz w:val="24"/>
          <w:szCs w:val="24"/>
        </w:rPr>
        <w:t>adattare le proprie</w:t>
      </w:r>
      <w:r w:rsidR="0027345B" w:rsidRPr="001F202A">
        <w:rPr>
          <w:rFonts w:ascii="Times New Roman" w:hAnsi="Times New Roman" w:cs="Times New Roman"/>
          <w:sz w:val="24"/>
          <w:szCs w:val="24"/>
        </w:rPr>
        <w:t xml:space="preserve"> </w:t>
      </w:r>
      <w:r w:rsidR="001E3D7A" w:rsidRPr="001F202A">
        <w:rPr>
          <w:rFonts w:ascii="Times New Roman" w:hAnsi="Times New Roman" w:cs="Times New Roman"/>
          <w:sz w:val="24"/>
          <w:szCs w:val="24"/>
        </w:rPr>
        <w:t>procedure alle esigenze emergenti di informazione</w:t>
      </w:r>
      <w:r w:rsidR="0027345B" w:rsidRPr="001F202A">
        <w:rPr>
          <w:rFonts w:ascii="Times New Roman" w:hAnsi="Times New Roman" w:cs="Times New Roman"/>
          <w:sz w:val="24"/>
          <w:szCs w:val="24"/>
        </w:rPr>
        <w:t xml:space="preserve"> </w:t>
      </w:r>
      <w:r w:rsidR="001E3D7A" w:rsidRPr="001F202A">
        <w:rPr>
          <w:rFonts w:ascii="Times New Roman" w:hAnsi="Times New Roman" w:cs="Times New Roman"/>
          <w:sz w:val="24"/>
          <w:szCs w:val="24"/>
        </w:rPr>
        <w:t>sulla più ampia sostenibilità e non</w:t>
      </w:r>
      <w:r w:rsidR="0027345B" w:rsidRPr="001F202A">
        <w:rPr>
          <w:rFonts w:ascii="Times New Roman" w:hAnsi="Times New Roman" w:cs="Times New Roman"/>
          <w:sz w:val="24"/>
          <w:szCs w:val="24"/>
        </w:rPr>
        <w:t xml:space="preserve"> </w:t>
      </w:r>
      <w:r w:rsidR="001E3D7A" w:rsidRPr="001F202A">
        <w:rPr>
          <w:rFonts w:ascii="Times New Roman" w:hAnsi="Times New Roman" w:cs="Times New Roman"/>
          <w:sz w:val="24"/>
          <w:szCs w:val="24"/>
        </w:rPr>
        <w:t>solo sugli aspetti climatici. È importante evidenziare</w:t>
      </w:r>
      <w:r w:rsidR="0027345B" w:rsidRPr="001F202A">
        <w:rPr>
          <w:rFonts w:ascii="Times New Roman" w:hAnsi="Times New Roman" w:cs="Times New Roman"/>
          <w:sz w:val="24"/>
          <w:szCs w:val="24"/>
        </w:rPr>
        <w:t xml:space="preserve"> </w:t>
      </w:r>
      <w:r w:rsidR="001E3D7A" w:rsidRPr="001F202A">
        <w:rPr>
          <w:rFonts w:ascii="Times New Roman" w:hAnsi="Times New Roman" w:cs="Times New Roman"/>
          <w:sz w:val="24"/>
          <w:szCs w:val="24"/>
        </w:rPr>
        <w:t>che, con</w:t>
      </w:r>
      <w:r w:rsidR="0027345B" w:rsidRPr="001F202A">
        <w:rPr>
          <w:rFonts w:ascii="Times New Roman" w:hAnsi="Times New Roman" w:cs="Times New Roman"/>
          <w:sz w:val="24"/>
          <w:szCs w:val="24"/>
        </w:rPr>
        <w:t xml:space="preserve"> </w:t>
      </w:r>
      <w:r w:rsidR="001E3D7A" w:rsidRPr="001F202A">
        <w:rPr>
          <w:rFonts w:ascii="Times New Roman" w:hAnsi="Times New Roman" w:cs="Times New Roman"/>
          <w:sz w:val="24"/>
          <w:szCs w:val="24"/>
        </w:rPr>
        <w:t>particolare riferimento alle</w:t>
      </w:r>
      <w:r w:rsidR="0027345B" w:rsidRPr="001F202A">
        <w:rPr>
          <w:rFonts w:ascii="Times New Roman" w:hAnsi="Times New Roman" w:cs="Times New Roman"/>
          <w:sz w:val="24"/>
          <w:szCs w:val="24"/>
        </w:rPr>
        <w:t xml:space="preserve"> </w:t>
      </w:r>
      <w:r w:rsidR="001E3D7A" w:rsidRPr="001F202A">
        <w:rPr>
          <w:rFonts w:ascii="Times New Roman" w:hAnsi="Times New Roman" w:cs="Times New Roman"/>
          <w:sz w:val="24"/>
          <w:szCs w:val="24"/>
        </w:rPr>
        <w:t xml:space="preserve">PMI, queste aziende si </w:t>
      </w:r>
      <w:r w:rsidR="001E3D7A" w:rsidRPr="00492549">
        <w:rPr>
          <w:rFonts w:ascii="Times New Roman" w:hAnsi="Times New Roman" w:cs="Times New Roman"/>
          <w:sz w:val="24"/>
          <w:szCs w:val="24"/>
          <w:highlight w:val="yellow"/>
        </w:rPr>
        <w:t>trov</w:t>
      </w:r>
      <w:r w:rsidR="00492549" w:rsidRPr="00492549">
        <w:rPr>
          <w:rFonts w:ascii="Times New Roman" w:hAnsi="Times New Roman" w:cs="Times New Roman"/>
          <w:sz w:val="24"/>
          <w:szCs w:val="24"/>
          <w:highlight w:val="yellow"/>
        </w:rPr>
        <w:t>ano</w:t>
      </w:r>
      <w:r w:rsidR="001E3D7A" w:rsidRPr="001F202A">
        <w:rPr>
          <w:rFonts w:ascii="Times New Roman" w:hAnsi="Times New Roman" w:cs="Times New Roman"/>
          <w:sz w:val="24"/>
          <w:szCs w:val="24"/>
        </w:rPr>
        <w:t xml:space="preserve"> comunque</w:t>
      </w:r>
      <w:r w:rsidR="0027345B" w:rsidRPr="001F202A">
        <w:rPr>
          <w:rFonts w:ascii="Times New Roman" w:hAnsi="Times New Roman" w:cs="Times New Roman"/>
          <w:sz w:val="24"/>
          <w:szCs w:val="24"/>
        </w:rPr>
        <w:t xml:space="preserve"> </w:t>
      </w:r>
      <w:r w:rsidR="001E3D7A" w:rsidRPr="001F202A">
        <w:rPr>
          <w:rFonts w:ascii="Times New Roman" w:hAnsi="Times New Roman" w:cs="Times New Roman"/>
          <w:sz w:val="24"/>
          <w:szCs w:val="24"/>
        </w:rPr>
        <w:t>assoggettate – anche se non formalmente e</w:t>
      </w:r>
      <w:r w:rsidR="0027345B" w:rsidRPr="001F202A">
        <w:rPr>
          <w:rFonts w:ascii="Times New Roman" w:hAnsi="Times New Roman" w:cs="Times New Roman"/>
          <w:sz w:val="24"/>
          <w:szCs w:val="24"/>
        </w:rPr>
        <w:t xml:space="preserve"> </w:t>
      </w:r>
      <w:r w:rsidR="001E3D7A" w:rsidRPr="001F202A">
        <w:rPr>
          <w:rFonts w:ascii="Times New Roman" w:hAnsi="Times New Roman" w:cs="Times New Roman"/>
          <w:sz w:val="24"/>
          <w:szCs w:val="24"/>
        </w:rPr>
        <w:t>non interamente – alla produzione e diffusione</w:t>
      </w:r>
      <w:r w:rsidR="0027345B" w:rsidRPr="001F202A">
        <w:rPr>
          <w:rFonts w:ascii="Times New Roman" w:hAnsi="Times New Roman" w:cs="Times New Roman"/>
          <w:sz w:val="24"/>
          <w:szCs w:val="24"/>
        </w:rPr>
        <w:t xml:space="preserve"> </w:t>
      </w:r>
      <w:r w:rsidR="001E3D7A" w:rsidRPr="001F202A">
        <w:rPr>
          <w:rFonts w:ascii="Times New Roman" w:hAnsi="Times New Roman" w:cs="Times New Roman"/>
          <w:sz w:val="24"/>
          <w:szCs w:val="24"/>
        </w:rPr>
        <w:t>di informazioni di sostenibilità, vuoi perché</w:t>
      </w:r>
      <w:r w:rsidR="0027345B" w:rsidRPr="001F202A">
        <w:rPr>
          <w:rFonts w:ascii="Times New Roman" w:hAnsi="Times New Roman" w:cs="Times New Roman"/>
          <w:sz w:val="24"/>
          <w:szCs w:val="24"/>
        </w:rPr>
        <w:t xml:space="preserve"> </w:t>
      </w:r>
      <w:r w:rsidR="001E3D7A" w:rsidRPr="00492549">
        <w:rPr>
          <w:rFonts w:ascii="Times New Roman" w:hAnsi="Times New Roman" w:cs="Times New Roman"/>
          <w:sz w:val="24"/>
          <w:szCs w:val="24"/>
          <w:highlight w:val="yellow"/>
        </w:rPr>
        <w:t>s</w:t>
      </w:r>
      <w:r w:rsidR="00492549" w:rsidRPr="00492549">
        <w:rPr>
          <w:rFonts w:ascii="Times New Roman" w:hAnsi="Times New Roman" w:cs="Times New Roman"/>
          <w:sz w:val="24"/>
          <w:szCs w:val="24"/>
          <w:highlight w:val="yellow"/>
        </w:rPr>
        <w:t>ono</w:t>
      </w:r>
      <w:r w:rsidR="001E3D7A" w:rsidRPr="001F202A">
        <w:rPr>
          <w:rFonts w:ascii="Times New Roman" w:hAnsi="Times New Roman" w:cs="Times New Roman"/>
          <w:sz w:val="24"/>
          <w:szCs w:val="24"/>
        </w:rPr>
        <w:t xml:space="preserve"> loro richieste dalle imprese c.d “capo</w:t>
      </w:r>
      <w:r w:rsidR="0027345B" w:rsidRPr="001F202A">
        <w:rPr>
          <w:rFonts w:ascii="Times New Roman" w:hAnsi="Times New Roman" w:cs="Times New Roman"/>
          <w:sz w:val="24"/>
          <w:szCs w:val="24"/>
        </w:rPr>
        <w:t xml:space="preserve"> </w:t>
      </w:r>
      <w:r w:rsidR="001E3D7A" w:rsidRPr="001F202A">
        <w:rPr>
          <w:rFonts w:ascii="Times New Roman" w:hAnsi="Times New Roman" w:cs="Times New Roman"/>
          <w:sz w:val="24"/>
          <w:szCs w:val="24"/>
        </w:rPr>
        <w:t xml:space="preserve">filiera” che </w:t>
      </w:r>
      <w:r w:rsidR="001E3D7A" w:rsidRPr="00492549">
        <w:rPr>
          <w:rFonts w:ascii="Times New Roman" w:hAnsi="Times New Roman" w:cs="Times New Roman"/>
          <w:sz w:val="24"/>
          <w:szCs w:val="24"/>
          <w:highlight w:val="yellow"/>
        </w:rPr>
        <w:t>d</w:t>
      </w:r>
      <w:r w:rsidR="00492549" w:rsidRPr="00492549">
        <w:rPr>
          <w:rFonts w:ascii="Times New Roman" w:hAnsi="Times New Roman" w:cs="Times New Roman"/>
          <w:sz w:val="24"/>
          <w:szCs w:val="24"/>
          <w:highlight w:val="yellow"/>
        </w:rPr>
        <w:t>evono</w:t>
      </w:r>
      <w:r w:rsidR="001E3D7A" w:rsidRPr="001F202A">
        <w:rPr>
          <w:rFonts w:ascii="Times New Roman" w:hAnsi="Times New Roman" w:cs="Times New Roman"/>
          <w:sz w:val="24"/>
          <w:szCs w:val="24"/>
        </w:rPr>
        <w:t xml:space="preserve"> pubblicare il</w:t>
      </w:r>
      <w:r w:rsidR="0027345B" w:rsidRPr="001F202A">
        <w:rPr>
          <w:rFonts w:ascii="Times New Roman" w:hAnsi="Times New Roman" w:cs="Times New Roman"/>
          <w:sz w:val="24"/>
          <w:szCs w:val="24"/>
        </w:rPr>
        <w:t xml:space="preserve"> </w:t>
      </w:r>
      <w:r w:rsidR="001E3D7A" w:rsidRPr="001F202A">
        <w:rPr>
          <w:rFonts w:ascii="Times New Roman" w:hAnsi="Times New Roman" w:cs="Times New Roman"/>
          <w:sz w:val="24"/>
          <w:szCs w:val="24"/>
        </w:rPr>
        <w:t>proprio report</w:t>
      </w:r>
      <w:r w:rsidR="0027345B" w:rsidRPr="001F202A">
        <w:rPr>
          <w:rFonts w:ascii="Times New Roman" w:hAnsi="Times New Roman" w:cs="Times New Roman"/>
          <w:sz w:val="24"/>
          <w:szCs w:val="24"/>
        </w:rPr>
        <w:t xml:space="preserve"> </w:t>
      </w:r>
      <w:r w:rsidR="001E3D7A" w:rsidRPr="001F202A">
        <w:rPr>
          <w:rFonts w:ascii="Times New Roman" w:hAnsi="Times New Roman" w:cs="Times New Roman"/>
          <w:sz w:val="24"/>
          <w:szCs w:val="24"/>
        </w:rPr>
        <w:t>di sostenibilità, vuoi perché le banche e</w:t>
      </w:r>
      <w:r w:rsidR="0027345B" w:rsidRPr="001F202A">
        <w:rPr>
          <w:rFonts w:ascii="Times New Roman" w:hAnsi="Times New Roman" w:cs="Times New Roman"/>
          <w:sz w:val="24"/>
          <w:szCs w:val="24"/>
        </w:rPr>
        <w:t xml:space="preserve"> </w:t>
      </w:r>
      <w:r w:rsidR="001E3D7A" w:rsidRPr="001F202A">
        <w:rPr>
          <w:rFonts w:ascii="Times New Roman" w:hAnsi="Times New Roman" w:cs="Times New Roman"/>
          <w:sz w:val="24"/>
          <w:szCs w:val="24"/>
        </w:rPr>
        <w:t>le altre istituzioni finanziarie sono tenute alla</w:t>
      </w:r>
      <w:r w:rsidR="0027345B" w:rsidRPr="001F202A">
        <w:rPr>
          <w:rFonts w:ascii="Times New Roman" w:hAnsi="Times New Roman" w:cs="Times New Roman"/>
          <w:sz w:val="24"/>
          <w:szCs w:val="24"/>
        </w:rPr>
        <w:t xml:space="preserve"> </w:t>
      </w:r>
      <w:r w:rsidR="001E3D7A" w:rsidRPr="001F202A">
        <w:rPr>
          <w:rFonts w:ascii="Times New Roman" w:hAnsi="Times New Roman" w:cs="Times New Roman"/>
          <w:sz w:val="24"/>
          <w:szCs w:val="24"/>
        </w:rPr>
        <w:t>pubblicazione delle informative richieste dalla</w:t>
      </w:r>
      <w:r w:rsidR="0027345B" w:rsidRPr="001F202A">
        <w:rPr>
          <w:rFonts w:ascii="Times New Roman" w:hAnsi="Times New Roman" w:cs="Times New Roman"/>
          <w:sz w:val="24"/>
          <w:szCs w:val="24"/>
        </w:rPr>
        <w:t xml:space="preserve"> </w:t>
      </w:r>
      <w:r w:rsidR="001E3D7A" w:rsidRPr="001F202A">
        <w:rPr>
          <w:rFonts w:ascii="Times New Roman" w:hAnsi="Times New Roman" w:cs="Times New Roman"/>
          <w:sz w:val="24"/>
          <w:szCs w:val="24"/>
        </w:rPr>
        <w:t>tassonomia verde europea (art. 8, Regolamento</w:t>
      </w:r>
      <w:r w:rsidR="000F443B" w:rsidRPr="001F202A">
        <w:rPr>
          <w:rFonts w:ascii="Times New Roman" w:hAnsi="Times New Roman" w:cs="Times New Roman"/>
          <w:sz w:val="24"/>
          <w:szCs w:val="24"/>
        </w:rPr>
        <w:t xml:space="preserve"> </w:t>
      </w:r>
      <w:r w:rsidR="001E3D7A" w:rsidRPr="001F202A">
        <w:rPr>
          <w:rFonts w:ascii="Times New Roman" w:hAnsi="Times New Roman" w:cs="Times New Roman"/>
          <w:sz w:val="24"/>
          <w:szCs w:val="24"/>
        </w:rPr>
        <w:t>UE 2020/852) e dalla Sustainable Finance</w:t>
      </w:r>
      <w:r w:rsidR="0027345B" w:rsidRPr="001F202A">
        <w:rPr>
          <w:rFonts w:ascii="Times New Roman" w:hAnsi="Times New Roman" w:cs="Times New Roman"/>
          <w:sz w:val="24"/>
          <w:szCs w:val="24"/>
        </w:rPr>
        <w:t xml:space="preserve"> </w:t>
      </w:r>
      <w:r w:rsidR="001E3D7A" w:rsidRPr="001F202A">
        <w:rPr>
          <w:rFonts w:ascii="Times New Roman" w:hAnsi="Times New Roman" w:cs="Times New Roman"/>
          <w:sz w:val="24"/>
          <w:szCs w:val="24"/>
        </w:rPr>
        <w:t>Disclosure Regulation (SFDR – Regolamento UE</w:t>
      </w:r>
      <w:r w:rsidR="0027345B" w:rsidRPr="001F202A">
        <w:rPr>
          <w:rFonts w:ascii="Times New Roman" w:hAnsi="Times New Roman" w:cs="Times New Roman"/>
          <w:sz w:val="24"/>
          <w:szCs w:val="24"/>
        </w:rPr>
        <w:t xml:space="preserve"> </w:t>
      </w:r>
      <w:r w:rsidR="001E3D7A" w:rsidRPr="001F202A">
        <w:rPr>
          <w:rFonts w:ascii="Times New Roman" w:hAnsi="Times New Roman" w:cs="Times New Roman"/>
          <w:sz w:val="24"/>
          <w:szCs w:val="24"/>
        </w:rPr>
        <w:t>n. 2019/2088).</w:t>
      </w:r>
    </w:p>
    <w:p w14:paraId="1E9A5E63" w14:textId="3E9D67FD" w:rsidR="001E3D7A" w:rsidRPr="001F202A" w:rsidRDefault="001E3D7A" w:rsidP="0027345B">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Elemento, tuttavia, di ancora maggiore rilevanza</w:t>
      </w:r>
      <w:r w:rsidR="0027345B" w:rsidRPr="001F202A">
        <w:rPr>
          <w:rFonts w:ascii="Times New Roman" w:hAnsi="Times New Roman" w:cs="Times New Roman"/>
          <w:sz w:val="24"/>
          <w:szCs w:val="24"/>
        </w:rPr>
        <w:t xml:space="preserve"> </w:t>
      </w:r>
      <w:r w:rsidR="00492549" w:rsidRPr="00492549">
        <w:rPr>
          <w:rFonts w:ascii="Times New Roman" w:hAnsi="Times New Roman" w:cs="Times New Roman"/>
          <w:sz w:val="24"/>
          <w:szCs w:val="24"/>
          <w:highlight w:val="yellow"/>
        </w:rPr>
        <w:t>è</w:t>
      </w:r>
      <w:r w:rsidR="00492549">
        <w:rPr>
          <w:rFonts w:ascii="Times New Roman" w:hAnsi="Times New Roman" w:cs="Times New Roman"/>
          <w:sz w:val="24"/>
          <w:szCs w:val="24"/>
        </w:rPr>
        <w:t xml:space="preserve"> </w:t>
      </w:r>
      <w:r w:rsidRPr="001F202A">
        <w:rPr>
          <w:rFonts w:ascii="Times New Roman" w:hAnsi="Times New Roman" w:cs="Times New Roman"/>
          <w:sz w:val="24"/>
          <w:szCs w:val="24"/>
        </w:rPr>
        <w:t>la forte e incalzante necessità di</w:t>
      </w:r>
      <w:r w:rsidR="0027345B" w:rsidRPr="001F202A">
        <w:rPr>
          <w:rFonts w:ascii="Times New Roman" w:hAnsi="Times New Roman" w:cs="Times New Roman"/>
          <w:sz w:val="24"/>
          <w:szCs w:val="24"/>
        </w:rPr>
        <w:t xml:space="preserve"> </w:t>
      </w:r>
      <w:r w:rsidRPr="001F202A">
        <w:rPr>
          <w:rFonts w:ascii="Times New Roman" w:hAnsi="Times New Roman" w:cs="Times New Roman"/>
          <w:b/>
          <w:bCs/>
          <w:sz w:val="24"/>
          <w:szCs w:val="24"/>
        </w:rPr>
        <w:t>far crescere la sensibilità e la cultura delle</w:t>
      </w:r>
      <w:r w:rsidR="0027345B" w:rsidRPr="001F202A">
        <w:rPr>
          <w:rFonts w:ascii="Times New Roman" w:hAnsi="Times New Roman" w:cs="Times New Roman"/>
          <w:b/>
          <w:bCs/>
          <w:sz w:val="24"/>
          <w:szCs w:val="24"/>
        </w:rPr>
        <w:t xml:space="preserve"> </w:t>
      </w:r>
      <w:r w:rsidRPr="001F202A">
        <w:rPr>
          <w:rFonts w:ascii="Times New Roman" w:hAnsi="Times New Roman" w:cs="Times New Roman"/>
          <w:b/>
          <w:bCs/>
          <w:sz w:val="24"/>
          <w:szCs w:val="24"/>
        </w:rPr>
        <w:t xml:space="preserve">imprese </w:t>
      </w:r>
      <w:r w:rsidRPr="001F202A">
        <w:rPr>
          <w:rFonts w:ascii="Times New Roman" w:hAnsi="Times New Roman" w:cs="Times New Roman"/>
          <w:sz w:val="24"/>
          <w:szCs w:val="24"/>
        </w:rPr>
        <w:t>nel senso di incorporare sistematicamente</w:t>
      </w:r>
      <w:r w:rsidR="0027345B" w:rsidRPr="001F202A">
        <w:rPr>
          <w:rFonts w:ascii="Times New Roman" w:hAnsi="Times New Roman" w:cs="Times New Roman"/>
          <w:sz w:val="24"/>
          <w:szCs w:val="24"/>
        </w:rPr>
        <w:t xml:space="preserve"> </w:t>
      </w:r>
      <w:r w:rsidRPr="001F202A">
        <w:rPr>
          <w:rFonts w:ascii="Times New Roman" w:hAnsi="Times New Roman" w:cs="Times New Roman"/>
          <w:sz w:val="24"/>
          <w:szCs w:val="24"/>
        </w:rPr>
        <w:t>e quasi “naturalmente” queste considerazioni</w:t>
      </w:r>
      <w:r w:rsidR="0027345B" w:rsidRPr="001F202A">
        <w:rPr>
          <w:rFonts w:ascii="Times New Roman" w:hAnsi="Times New Roman" w:cs="Times New Roman"/>
          <w:sz w:val="24"/>
          <w:szCs w:val="24"/>
        </w:rPr>
        <w:t xml:space="preserve"> </w:t>
      </w:r>
      <w:r w:rsidRPr="001F202A">
        <w:rPr>
          <w:rFonts w:ascii="Times New Roman" w:hAnsi="Times New Roman" w:cs="Times New Roman"/>
          <w:sz w:val="24"/>
          <w:szCs w:val="24"/>
        </w:rPr>
        <w:t>ESG nei propri processi strategici,</w:t>
      </w:r>
      <w:r w:rsidR="0027345B" w:rsidRPr="001F202A">
        <w:rPr>
          <w:rFonts w:ascii="Times New Roman" w:hAnsi="Times New Roman" w:cs="Times New Roman"/>
          <w:sz w:val="24"/>
          <w:szCs w:val="24"/>
        </w:rPr>
        <w:t xml:space="preserve"> </w:t>
      </w:r>
      <w:r w:rsidRPr="001F202A">
        <w:rPr>
          <w:rFonts w:ascii="Times New Roman" w:hAnsi="Times New Roman" w:cs="Times New Roman"/>
          <w:sz w:val="24"/>
          <w:szCs w:val="24"/>
        </w:rPr>
        <w:t xml:space="preserve">decisionali e valutativi, </w:t>
      </w:r>
      <w:r w:rsidRPr="001F202A">
        <w:rPr>
          <w:rFonts w:ascii="Times New Roman" w:hAnsi="Times New Roman" w:cs="Times New Roman"/>
          <w:b/>
          <w:bCs/>
          <w:sz w:val="24"/>
          <w:szCs w:val="24"/>
        </w:rPr>
        <w:t>a cominciare dai vertici</w:t>
      </w:r>
      <w:r w:rsidR="0027345B" w:rsidRPr="001F202A">
        <w:rPr>
          <w:rFonts w:ascii="Times New Roman" w:hAnsi="Times New Roman" w:cs="Times New Roman"/>
          <w:sz w:val="24"/>
          <w:szCs w:val="24"/>
        </w:rPr>
        <w:t xml:space="preserve"> </w:t>
      </w:r>
      <w:r w:rsidRPr="001F202A">
        <w:rPr>
          <w:rFonts w:ascii="Times New Roman" w:hAnsi="Times New Roman" w:cs="Times New Roman"/>
          <w:b/>
          <w:bCs/>
          <w:sz w:val="24"/>
          <w:szCs w:val="24"/>
        </w:rPr>
        <w:t>societari e dai Consigli di Amministrazione</w:t>
      </w:r>
      <w:r w:rsidRPr="001F202A">
        <w:rPr>
          <w:rFonts w:ascii="Times New Roman" w:hAnsi="Times New Roman" w:cs="Times New Roman"/>
          <w:sz w:val="24"/>
          <w:szCs w:val="24"/>
        </w:rPr>
        <w:t>,</w:t>
      </w:r>
      <w:r w:rsidR="0027345B" w:rsidRPr="001F202A">
        <w:rPr>
          <w:rFonts w:ascii="Times New Roman" w:hAnsi="Times New Roman" w:cs="Times New Roman"/>
          <w:sz w:val="24"/>
          <w:szCs w:val="24"/>
        </w:rPr>
        <w:t xml:space="preserve"> </w:t>
      </w:r>
      <w:r w:rsidRPr="001F202A">
        <w:rPr>
          <w:rFonts w:ascii="Times New Roman" w:hAnsi="Times New Roman" w:cs="Times New Roman"/>
          <w:sz w:val="24"/>
          <w:szCs w:val="24"/>
        </w:rPr>
        <w:t xml:space="preserve">che </w:t>
      </w:r>
      <w:r w:rsidRPr="00492549">
        <w:rPr>
          <w:rFonts w:ascii="Times New Roman" w:hAnsi="Times New Roman" w:cs="Times New Roman"/>
          <w:sz w:val="24"/>
          <w:szCs w:val="24"/>
          <w:highlight w:val="yellow"/>
        </w:rPr>
        <w:t>d</w:t>
      </w:r>
      <w:r w:rsidR="00492549" w:rsidRPr="00492549">
        <w:rPr>
          <w:rFonts w:ascii="Times New Roman" w:hAnsi="Times New Roman" w:cs="Times New Roman"/>
          <w:sz w:val="24"/>
          <w:szCs w:val="24"/>
          <w:highlight w:val="yellow"/>
        </w:rPr>
        <w:t>evono</w:t>
      </w:r>
      <w:r w:rsidRPr="001F202A">
        <w:rPr>
          <w:rFonts w:ascii="Times New Roman" w:hAnsi="Times New Roman" w:cs="Times New Roman"/>
          <w:sz w:val="24"/>
          <w:szCs w:val="24"/>
        </w:rPr>
        <w:t xml:space="preserve"> introdurre un atteggiamento</w:t>
      </w:r>
      <w:r w:rsidR="0027345B" w:rsidRPr="001F202A">
        <w:rPr>
          <w:rFonts w:ascii="Times New Roman" w:hAnsi="Times New Roman" w:cs="Times New Roman"/>
          <w:sz w:val="24"/>
          <w:szCs w:val="24"/>
        </w:rPr>
        <w:t xml:space="preserve"> </w:t>
      </w:r>
      <w:r w:rsidRPr="001F202A">
        <w:rPr>
          <w:rFonts w:ascii="Times New Roman" w:hAnsi="Times New Roman" w:cs="Times New Roman"/>
          <w:sz w:val="24"/>
          <w:szCs w:val="24"/>
        </w:rPr>
        <w:t>aperto verso un nuovo modo di fare impresa.</w:t>
      </w:r>
    </w:p>
    <w:p w14:paraId="1B979BAB" w14:textId="77777777" w:rsidR="003D3722" w:rsidRDefault="003D3722" w:rsidP="00465124">
      <w:pPr>
        <w:jc w:val="both"/>
        <w:rPr>
          <w:rFonts w:ascii="Times New Roman" w:hAnsi="Times New Roman" w:cs="Times New Roman"/>
        </w:rPr>
      </w:pPr>
    </w:p>
    <w:p w14:paraId="5771665F" w14:textId="4C3FD667" w:rsidR="003D3722" w:rsidRPr="001F202A" w:rsidRDefault="003D3722" w:rsidP="003D3722">
      <w:pPr>
        <w:autoSpaceDE w:val="0"/>
        <w:autoSpaceDN w:val="0"/>
        <w:adjustRightInd w:val="0"/>
        <w:spacing w:after="0" w:line="240" w:lineRule="auto"/>
        <w:rPr>
          <w:rFonts w:ascii="Times New Roman" w:hAnsi="Times New Roman" w:cs="Times New Roman"/>
          <w:b/>
          <w:bCs/>
          <w:sz w:val="24"/>
          <w:szCs w:val="24"/>
        </w:rPr>
      </w:pPr>
      <w:r w:rsidRPr="001F202A">
        <w:rPr>
          <w:rFonts w:ascii="Times New Roman" w:hAnsi="Times New Roman" w:cs="Times New Roman"/>
          <w:b/>
          <w:bCs/>
          <w:sz w:val="24"/>
          <w:szCs w:val="24"/>
        </w:rPr>
        <w:lastRenderedPageBreak/>
        <w:t xml:space="preserve">Raccomandazioni </w:t>
      </w:r>
      <w:r>
        <w:rPr>
          <w:rFonts w:ascii="Times New Roman" w:hAnsi="Times New Roman" w:cs="Times New Roman"/>
          <w:b/>
          <w:bCs/>
          <w:sz w:val="24"/>
          <w:szCs w:val="24"/>
        </w:rPr>
        <w:t xml:space="preserve">di </w:t>
      </w:r>
      <w:r w:rsidRPr="001F202A">
        <w:rPr>
          <w:rFonts w:ascii="Times New Roman" w:hAnsi="Times New Roman" w:cs="Times New Roman"/>
          <w:b/>
          <w:bCs/>
          <w:sz w:val="24"/>
          <w:szCs w:val="24"/>
        </w:rPr>
        <w:t xml:space="preserve">Policy </w:t>
      </w:r>
    </w:p>
    <w:p w14:paraId="34713955" w14:textId="77777777" w:rsidR="003D3722" w:rsidRPr="001F202A" w:rsidRDefault="003D3722" w:rsidP="003D3722">
      <w:pPr>
        <w:autoSpaceDE w:val="0"/>
        <w:autoSpaceDN w:val="0"/>
        <w:adjustRightInd w:val="0"/>
        <w:spacing w:after="0" w:line="240" w:lineRule="auto"/>
        <w:rPr>
          <w:rFonts w:ascii="Times New Roman" w:hAnsi="Times New Roman" w:cs="Times New Roman"/>
          <w:b/>
          <w:bCs/>
          <w:sz w:val="24"/>
          <w:szCs w:val="24"/>
        </w:rPr>
      </w:pPr>
    </w:p>
    <w:p w14:paraId="76B13E27" w14:textId="77777777" w:rsidR="003D3722" w:rsidRPr="001F202A" w:rsidRDefault="003D3722" w:rsidP="003D3722">
      <w:pPr>
        <w:autoSpaceDE w:val="0"/>
        <w:autoSpaceDN w:val="0"/>
        <w:adjustRightInd w:val="0"/>
        <w:spacing w:after="0" w:line="240" w:lineRule="auto"/>
        <w:jc w:val="both"/>
        <w:rPr>
          <w:rFonts w:ascii="Times New Roman" w:hAnsi="Times New Roman" w:cs="Times New Roman"/>
          <w:b/>
          <w:bCs/>
          <w:sz w:val="24"/>
          <w:szCs w:val="24"/>
        </w:rPr>
      </w:pPr>
      <w:r w:rsidRPr="001F202A">
        <w:rPr>
          <w:rFonts w:ascii="Times New Roman" w:hAnsi="Times New Roman" w:cs="Times New Roman"/>
          <w:b/>
          <w:bCs/>
          <w:sz w:val="24"/>
          <w:szCs w:val="24"/>
        </w:rPr>
        <w:t>ACCELERAZIONE DELL’ADOZIONE DELLE DIRETTIVE EUROPEE SUL REPORTING DI SOSTENIBILITÀ</w:t>
      </w:r>
    </w:p>
    <w:p w14:paraId="08AA5AED" w14:textId="39EA4B2C" w:rsidR="003D3722" w:rsidRPr="001F202A" w:rsidRDefault="003D3722" w:rsidP="003D3722">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 xml:space="preserve">Le norme sul reporting di sostenibilità si </w:t>
      </w:r>
      <w:r w:rsidRPr="00492549">
        <w:rPr>
          <w:rFonts w:ascii="Times New Roman" w:hAnsi="Times New Roman" w:cs="Times New Roman"/>
          <w:sz w:val="24"/>
          <w:szCs w:val="24"/>
          <w:highlight w:val="yellow"/>
        </w:rPr>
        <w:t>s</w:t>
      </w:r>
      <w:r w:rsidR="00492549" w:rsidRPr="00492549">
        <w:rPr>
          <w:rFonts w:ascii="Times New Roman" w:hAnsi="Times New Roman" w:cs="Times New Roman"/>
          <w:sz w:val="24"/>
          <w:szCs w:val="24"/>
          <w:highlight w:val="yellow"/>
        </w:rPr>
        <w:t>ono</w:t>
      </w:r>
      <w:r w:rsidRPr="001F202A">
        <w:rPr>
          <w:rFonts w:ascii="Times New Roman" w:hAnsi="Times New Roman" w:cs="Times New Roman"/>
          <w:sz w:val="24"/>
          <w:szCs w:val="24"/>
        </w:rPr>
        <w:t xml:space="preserve"> </w:t>
      </w:r>
      <w:r w:rsidRPr="00492549">
        <w:rPr>
          <w:rFonts w:ascii="Times New Roman" w:hAnsi="Times New Roman" w:cs="Times New Roman"/>
          <w:sz w:val="24"/>
          <w:szCs w:val="24"/>
          <w:highlight w:val="yellow"/>
        </w:rPr>
        <w:t>modifica</w:t>
      </w:r>
      <w:r w:rsidR="00492549" w:rsidRPr="00492549">
        <w:rPr>
          <w:rFonts w:ascii="Times New Roman" w:hAnsi="Times New Roman" w:cs="Times New Roman"/>
          <w:sz w:val="24"/>
          <w:szCs w:val="24"/>
          <w:highlight w:val="yellow"/>
        </w:rPr>
        <w:t>te</w:t>
      </w:r>
      <w:r w:rsidRPr="001F202A">
        <w:rPr>
          <w:rFonts w:ascii="Times New Roman" w:hAnsi="Times New Roman" w:cs="Times New Roman"/>
          <w:sz w:val="24"/>
          <w:szCs w:val="24"/>
        </w:rPr>
        <w:t xml:space="preserve"> profondamente, anche con l’obiettivo di ridurre la frammentazione di strumenti e standard. </w:t>
      </w:r>
      <w:r w:rsidR="00492549" w:rsidRPr="00492549">
        <w:rPr>
          <w:rFonts w:ascii="Times New Roman" w:hAnsi="Times New Roman" w:cs="Times New Roman"/>
          <w:sz w:val="24"/>
          <w:szCs w:val="24"/>
          <w:highlight w:val="yellow"/>
        </w:rPr>
        <w:t>Ora che</w:t>
      </w:r>
      <w:r w:rsidRPr="00492549">
        <w:rPr>
          <w:rFonts w:ascii="Times New Roman" w:hAnsi="Times New Roman" w:cs="Times New Roman"/>
          <w:sz w:val="24"/>
          <w:szCs w:val="24"/>
          <w:highlight w:val="yellow"/>
        </w:rPr>
        <w:t xml:space="preserve"> si </w:t>
      </w:r>
      <w:r w:rsidR="00492549" w:rsidRPr="00492549">
        <w:rPr>
          <w:rFonts w:ascii="Times New Roman" w:hAnsi="Times New Roman" w:cs="Times New Roman"/>
          <w:sz w:val="24"/>
          <w:szCs w:val="24"/>
          <w:highlight w:val="yellow"/>
        </w:rPr>
        <w:t>è</w:t>
      </w:r>
      <w:r w:rsidRPr="001F202A">
        <w:rPr>
          <w:rFonts w:ascii="Times New Roman" w:hAnsi="Times New Roman" w:cs="Times New Roman"/>
          <w:sz w:val="24"/>
          <w:szCs w:val="24"/>
        </w:rPr>
        <w:t xml:space="preserve"> concluso il processo di perfezionamento della nuova direttiva sul reporting di sostenibilità, </w:t>
      </w:r>
      <w:r w:rsidR="00492549" w:rsidRPr="00492549">
        <w:rPr>
          <w:rFonts w:ascii="Times New Roman" w:hAnsi="Times New Roman" w:cs="Times New Roman"/>
          <w:sz w:val="24"/>
          <w:szCs w:val="24"/>
          <w:highlight w:val="yellow"/>
        </w:rPr>
        <w:t>è</w:t>
      </w:r>
      <w:r w:rsidRPr="001F202A">
        <w:rPr>
          <w:rFonts w:ascii="Times New Roman" w:hAnsi="Times New Roman" w:cs="Times New Roman"/>
          <w:sz w:val="24"/>
          <w:szCs w:val="24"/>
        </w:rPr>
        <w:t xml:space="preserve"> necessario procedere velocemente all’adozione della stessa a livello nazionale al fine di rendere rapido il passaggio al nuovo contesto normativo. </w:t>
      </w:r>
      <w:r w:rsidRPr="001F202A">
        <w:rPr>
          <w:rFonts w:ascii="Times New Roman" w:hAnsi="Times New Roman" w:cs="Times New Roman"/>
          <w:b/>
          <w:bCs/>
          <w:sz w:val="24"/>
          <w:szCs w:val="24"/>
        </w:rPr>
        <w:t xml:space="preserve">La rapidità di adesione alla direttiva </w:t>
      </w:r>
      <w:r w:rsidRPr="001F202A">
        <w:rPr>
          <w:rFonts w:ascii="Times New Roman" w:hAnsi="Times New Roman" w:cs="Times New Roman"/>
          <w:sz w:val="24"/>
          <w:szCs w:val="24"/>
        </w:rPr>
        <w:t>e di applicazione degli standard europei</w:t>
      </w:r>
      <w:r w:rsidRPr="001F202A">
        <w:rPr>
          <w:rFonts w:ascii="Times New Roman" w:hAnsi="Times New Roman" w:cs="Times New Roman"/>
          <w:b/>
          <w:bCs/>
          <w:sz w:val="24"/>
          <w:szCs w:val="24"/>
        </w:rPr>
        <w:t xml:space="preserve"> </w:t>
      </w:r>
      <w:r w:rsidRPr="001F202A">
        <w:rPr>
          <w:rFonts w:ascii="Times New Roman" w:hAnsi="Times New Roman" w:cs="Times New Roman"/>
          <w:sz w:val="24"/>
          <w:szCs w:val="24"/>
        </w:rPr>
        <w:t xml:space="preserve">non appena definiti </w:t>
      </w:r>
      <w:r w:rsidRPr="001F202A">
        <w:rPr>
          <w:rFonts w:ascii="Times New Roman" w:hAnsi="Times New Roman" w:cs="Times New Roman"/>
          <w:b/>
          <w:bCs/>
          <w:sz w:val="24"/>
          <w:szCs w:val="24"/>
        </w:rPr>
        <w:t xml:space="preserve">permetterà </w:t>
      </w:r>
      <w:r w:rsidRPr="001F202A">
        <w:rPr>
          <w:rFonts w:ascii="Times New Roman" w:hAnsi="Times New Roman" w:cs="Times New Roman"/>
          <w:sz w:val="24"/>
          <w:szCs w:val="24"/>
        </w:rPr>
        <w:t>al sistema</w:t>
      </w:r>
      <w:r w:rsidRPr="001F202A">
        <w:rPr>
          <w:rFonts w:ascii="Times New Roman" w:hAnsi="Times New Roman" w:cs="Times New Roman"/>
          <w:b/>
          <w:bCs/>
          <w:sz w:val="24"/>
          <w:szCs w:val="24"/>
        </w:rPr>
        <w:t xml:space="preserve"> </w:t>
      </w:r>
      <w:r w:rsidRPr="001F202A">
        <w:rPr>
          <w:rFonts w:ascii="Times New Roman" w:hAnsi="Times New Roman" w:cs="Times New Roman"/>
          <w:sz w:val="24"/>
          <w:szCs w:val="24"/>
        </w:rPr>
        <w:t>delle imprese e allo stesso sistema finanziario</w:t>
      </w:r>
      <w:r w:rsidRPr="001F202A">
        <w:rPr>
          <w:rFonts w:ascii="Times New Roman" w:hAnsi="Times New Roman" w:cs="Times New Roman"/>
          <w:b/>
          <w:bCs/>
          <w:sz w:val="24"/>
          <w:szCs w:val="24"/>
        </w:rPr>
        <w:t xml:space="preserve"> </w:t>
      </w:r>
      <w:r w:rsidRPr="001F202A">
        <w:rPr>
          <w:rFonts w:ascii="Times New Roman" w:hAnsi="Times New Roman" w:cs="Times New Roman"/>
          <w:sz w:val="24"/>
          <w:szCs w:val="24"/>
        </w:rPr>
        <w:t xml:space="preserve">di </w:t>
      </w:r>
      <w:r w:rsidRPr="001F202A">
        <w:rPr>
          <w:rFonts w:ascii="Times New Roman" w:hAnsi="Times New Roman" w:cs="Times New Roman"/>
          <w:b/>
          <w:bCs/>
          <w:sz w:val="24"/>
          <w:szCs w:val="24"/>
        </w:rPr>
        <w:t>adattarsi al nuovo contesto in tempi brevi</w:t>
      </w:r>
      <w:r w:rsidRPr="001F202A">
        <w:rPr>
          <w:rFonts w:ascii="Times New Roman" w:hAnsi="Times New Roman" w:cs="Times New Roman"/>
          <w:sz w:val="24"/>
          <w:szCs w:val="24"/>
        </w:rPr>
        <w:t>,</w:t>
      </w:r>
      <w:r w:rsidRPr="001F202A">
        <w:rPr>
          <w:rFonts w:ascii="Times New Roman" w:hAnsi="Times New Roman" w:cs="Times New Roman"/>
          <w:b/>
          <w:bCs/>
          <w:sz w:val="24"/>
          <w:szCs w:val="24"/>
        </w:rPr>
        <w:t xml:space="preserve"> </w:t>
      </w:r>
      <w:r w:rsidRPr="001F202A">
        <w:rPr>
          <w:rFonts w:ascii="Times New Roman" w:hAnsi="Times New Roman" w:cs="Times New Roman"/>
          <w:sz w:val="24"/>
          <w:szCs w:val="24"/>
        </w:rPr>
        <w:t>accelerando le scelte strategiche delle imprese nella direzione della sostenibilità. Sarà necessario allo stesso tempo gestire con cautela le possibili diseconomie derivanti da un eccessivo peso sulle grandi imprese derivante</w:t>
      </w:r>
    </w:p>
    <w:p w14:paraId="0A6EFA36" w14:textId="77777777" w:rsidR="003D3722" w:rsidRPr="001F202A" w:rsidRDefault="003D3722" w:rsidP="003D3722">
      <w:pPr>
        <w:autoSpaceDE w:val="0"/>
        <w:autoSpaceDN w:val="0"/>
        <w:adjustRightInd w:val="0"/>
        <w:spacing w:after="0" w:line="240" w:lineRule="auto"/>
        <w:jc w:val="both"/>
        <w:rPr>
          <w:rFonts w:ascii="Times New Roman" w:hAnsi="Times New Roman" w:cs="Times New Roman"/>
          <w:sz w:val="24"/>
          <w:szCs w:val="24"/>
        </w:rPr>
      </w:pPr>
    </w:p>
    <w:p w14:paraId="5E81A15D" w14:textId="77777777" w:rsidR="003D3722" w:rsidRPr="001F202A" w:rsidRDefault="003D3722" w:rsidP="003D3722">
      <w:pPr>
        <w:autoSpaceDE w:val="0"/>
        <w:autoSpaceDN w:val="0"/>
        <w:adjustRightInd w:val="0"/>
        <w:spacing w:after="0" w:line="240" w:lineRule="auto"/>
        <w:jc w:val="both"/>
        <w:rPr>
          <w:rFonts w:ascii="Times New Roman" w:hAnsi="Times New Roman" w:cs="Times New Roman"/>
          <w:sz w:val="24"/>
          <w:szCs w:val="24"/>
        </w:rPr>
      </w:pPr>
    </w:p>
    <w:p w14:paraId="2E184C05" w14:textId="77777777" w:rsidR="003D3722" w:rsidRPr="001F202A" w:rsidRDefault="003D3722" w:rsidP="003D3722">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Già nel Position paper del 2022, l’ASviS aveva messo in evidenza come fosse necessario nel nostro Paese accelerare sull’adozione della Direttiva europea relativa al reporting di sostenibilità, in modo da rendere il sistema delle imprese e il sistema finanziario in grado di adattarsi al nuovo contesto in tempi brevi. Pur nella consapevolezza delle potenziali difficoltà che il processo di adozione potrebbe generare in capo alle imprese, si ritiene necessario andare avanti su questo percorso in modo da generare i vantaggi connessi per le imprese, per la trasparenza nei mercati finanziari e per la generalità degli stakeholder e della società.</w:t>
      </w:r>
    </w:p>
    <w:p w14:paraId="7529307C" w14:textId="77777777" w:rsidR="003D3722" w:rsidRPr="001F202A" w:rsidRDefault="003D3722" w:rsidP="003D3722">
      <w:pPr>
        <w:autoSpaceDE w:val="0"/>
        <w:autoSpaceDN w:val="0"/>
        <w:adjustRightInd w:val="0"/>
        <w:spacing w:after="0" w:line="240" w:lineRule="auto"/>
        <w:jc w:val="both"/>
        <w:rPr>
          <w:rFonts w:ascii="Times New Roman" w:hAnsi="Times New Roman" w:cs="Times New Roman"/>
          <w:sz w:val="24"/>
          <w:szCs w:val="24"/>
        </w:rPr>
      </w:pPr>
    </w:p>
    <w:p w14:paraId="4835E8A0" w14:textId="77777777" w:rsidR="003D3722" w:rsidRPr="001F202A" w:rsidRDefault="003D3722" w:rsidP="003D3722">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 xml:space="preserve">In tema di disponibilità di dati da rendicontare, si segnala che le difficoltà per gli istituti finanziari derivanti dalla mancanza di dati adeguati delle imprese finanziate, rischiano di portare a una sottorappresentazione della sostenibilità del tessuto produttivo italiano. In particolare, rispetto ai primi due obiettivi ambientali (mitigazione e adattamento al cambiamento climatico), il mondo della finanza italiana ha da tempo indicato, tra le azioni necessarie per dare pieno impulso alla transizione, l’esigenza di: </w:t>
      </w:r>
    </w:p>
    <w:p w14:paraId="572A2B66" w14:textId="77777777" w:rsidR="003D3722" w:rsidRPr="001F202A" w:rsidRDefault="003D3722" w:rsidP="003D3722">
      <w:pPr>
        <w:pStyle w:val="Paragrafoelenco"/>
        <w:numPr>
          <w:ilvl w:val="0"/>
          <w:numId w:val="1"/>
        </w:num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 xml:space="preserve">rendere disponibili i dati ESG pubblici, tra cui quelli per l’allineamento alla tassonomia che già esistono, ma che al momento non sono accessibili o presentano un insufficiente livello di granularità; </w:t>
      </w:r>
    </w:p>
    <w:p w14:paraId="07CFC9C4" w14:textId="77777777" w:rsidR="003D3722" w:rsidRPr="001F202A" w:rsidRDefault="003D3722" w:rsidP="003D3722">
      <w:pPr>
        <w:pStyle w:val="Paragrafoelenco"/>
        <w:numPr>
          <w:ilvl w:val="0"/>
          <w:numId w:val="1"/>
        </w:num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semplificare il processo di valutazione di allineamento alla tassonomia in capo agli intermediari finanziari, identificando, ad esempio, le attività che, partecipando alla realizzazione del PNRR, supportano la transizione, anche se non potranno mai raggiungere i criteri di vaglio tecnico della tassonomia.</w:t>
      </w:r>
    </w:p>
    <w:p w14:paraId="497C1249" w14:textId="77777777" w:rsidR="003D3722" w:rsidRPr="001F202A" w:rsidRDefault="003D3722" w:rsidP="003D3722">
      <w:pPr>
        <w:autoSpaceDE w:val="0"/>
        <w:autoSpaceDN w:val="0"/>
        <w:adjustRightInd w:val="0"/>
        <w:spacing w:after="0" w:line="240" w:lineRule="auto"/>
        <w:jc w:val="both"/>
        <w:rPr>
          <w:rFonts w:ascii="Times New Roman" w:hAnsi="Times New Roman" w:cs="Times New Roman"/>
          <w:sz w:val="24"/>
          <w:szCs w:val="24"/>
        </w:rPr>
      </w:pPr>
    </w:p>
    <w:p w14:paraId="23CF014B" w14:textId="797C65F1" w:rsidR="003D3722" w:rsidRDefault="003D3722" w:rsidP="003D3722">
      <w:pPr>
        <w:autoSpaceDE w:val="0"/>
        <w:autoSpaceDN w:val="0"/>
        <w:adjustRightInd w:val="0"/>
        <w:spacing w:after="0" w:line="240" w:lineRule="auto"/>
        <w:jc w:val="both"/>
        <w:rPr>
          <w:rFonts w:ascii="Times New Roman" w:hAnsi="Times New Roman" w:cs="Times New Roman"/>
          <w:sz w:val="24"/>
          <w:szCs w:val="24"/>
        </w:rPr>
      </w:pPr>
      <w:r w:rsidRPr="001F202A">
        <w:rPr>
          <w:rFonts w:ascii="Times New Roman" w:hAnsi="Times New Roman" w:cs="Times New Roman"/>
          <w:sz w:val="24"/>
          <w:szCs w:val="24"/>
        </w:rPr>
        <w:t>Inoltre, si auspica che concrete misure, a livello europeo e quindi nazionale, siano indirizzate per favorire anche l’affermazione della finanza di transizione. Il settore finanziario è pronto a sostenere attività economiche che, anche se non allineate ai criteri della tassonomia perché troppo sfidanti per dimensione dell’impresa o per l’ambiente in cui si opera, possono concretamente migliorare il proprio profilo di sostenibilità presentando piani di transizione che siano riconosciuti e incentivati.</w:t>
      </w:r>
    </w:p>
    <w:p w14:paraId="5224E94A" w14:textId="77777777" w:rsidR="00C05FA1" w:rsidRDefault="00C05FA1" w:rsidP="003D3722">
      <w:pPr>
        <w:autoSpaceDE w:val="0"/>
        <w:autoSpaceDN w:val="0"/>
        <w:adjustRightInd w:val="0"/>
        <w:spacing w:after="0" w:line="240" w:lineRule="auto"/>
        <w:jc w:val="both"/>
        <w:rPr>
          <w:rFonts w:ascii="Times New Roman" w:hAnsi="Times New Roman" w:cs="Times New Roman"/>
          <w:sz w:val="24"/>
          <w:szCs w:val="24"/>
        </w:rPr>
      </w:pPr>
    </w:p>
    <w:p w14:paraId="3267572F" w14:textId="77777777" w:rsidR="00C05FA1" w:rsidRPr="001F202A" w:rsidRDefault="00C05FA1" w:rsidP="00C05FA1">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br w:type="column"/>
      </w:r>
      <w:r w:rsidRPr="001F202A">
        <w:rPr>
          <w:rFonts w:ascii="Times New Roman" w:hAnsi="Times New Roman" w:cs="Times New Roman"/>
          <w:sz w:val="24"/>
          <w:szCs w:val="24"/>
        </w:rPr>
        <w:lastRenderedPageBreak/>
        <w:t>Il processo evolutivo vissuto dalle citate organizzazioni internazionali restituisce il senso di un contesto ancora in assestamento e che rende evidente il sorgere di tre principali tendenze globali:</w:t>
      </w:r>
    </w:p>
    <w:p w14:paraId="41886CE2" w14:textId="77777777" w:rsidR="00C05FA1" w:rsidRPr="003D3722" w:rsidRDefault="00C05FA1" w:rsidP="00C05FA1">
      <w:pPr>
        <w:autoSpaceDE w:val="0"/>
        <w:autoSpaceDN w:val="0"/>
        <w:adjustRightInd w:val="0"/>
        <w:spacing w:after="0" w:line="240" w:lineRule="auto"/>
        <w:jc w:val="both"/>
        <w:rPr>
          <w:rFonts w:ascii="Times New Roman" w:hAnsi="Times New Roman" w:cs="Times New Roman"/>
          <w:sz w:val="24"/>
          <w:szCs w:val="24"/>
          <w:highlight w:val="yellow"/>
        </w:rPr>
      </w:pPr>
      <w:r w:rsidRPr="003D3722">
        <w:rPr>
          <w:rFonts w:ascii="Times New Roman" w:hAnsi="Times New Roman" w:cs="Times New Roman"/>
          <w:sz w:val="24"/>
          <w:szCs w:val="24"/>
          <w:highlight w:val="yellow"/>
        </w:rPr>
        <w:t xml:space="preserve">1. in prima battuta, è percepita internazionalmente la </w:t>
      </w:r>
      <w:r w:rsidRPr="003D3722">
        <w:rPr>
          <w:rFonts w:ascii="Times New Roman" w:hAnsi="Times New Roman" w:cs="Times New Roman"/>
          <w:b/>
          <w:bCs/>
          <w:sz w:val="24"/>
          <w:szCs w:val="24"/>
          <w:highlight w:val="yellow"/>
        </w:rPr>
        <w:t>necessità di rendere più chiaro e</w:t>
      </w:r>
      <w:r w:rsidRPr="003D3722">
        <w:rPr>
          <w:rFonts w:ascii="Times New Roman" w:hAnsi="Times New Roman" w:cs="Times New Roman"/>
          <w:sz w:val="24"/>
          <w:szCs w:val="24"/>
          <w:highlight w:val="yellow"/>
        </w:rPr>
        <w:t xml:space="preserve"> </w:t>
      </w:r>
      <w:r w:rsidRPr="003D3722">
        <w:rPr>
          <w:rFonts w:ascii="Times New Roman" w:hAnsi="Times New Roman" w:cs="Times New Roman"/>
          <w:b/>
          <w:bCs/>
          <w:sz w:val="24"/>
          <w:szCs w:val="24"/>
          <w:highlight w:val="yellow"/>
        </w:rPr>
        <w:t>meno frammentato il panorama degli strumenti e degli standard di rendicontazione</w:t>
      </w:r>
      <w:r w:rsidRPr="003D3722">
        <w:rPr>
          <w:rFonts w:ascii="Times New Roman" w:hAnsi="Times New Roman" w:cs="Times New Roman"/>
          <w:sz w:val="24"/>
          <w:szCs w:val="24"/>
          <w:highlight w:val="yellow"/>
        </w:rPr>
        <w:t xml:space="preserve"> </w:t>
      </w:r>
      <w:r w:rsidRPr="003D3722">
        <w:rPr>
          <w:rFonts w:ascii="Times New Roman" w:hAnsi="Times New Roman" w:cs="Times New Roman"/>
          <w:b/>
          <w:bCs/>
          <w:sz w:val="24"/>
          <w:szCs w:val="24"/>
          <w:highlight w:val="yellow"/>
        </w:rPr>
        <w:t>di sostenibilità a disposizione delle imprese</w:t>
      </w:r>
      <w:r w:rsidRPr="003D3722">
        <w:rPr>
          <w:rFonts w:ascii="Times New Roman" w:hAnsi="Times New Roman" w:cs="Times New Roman"/>
          <w:sz w:val="24"/>
          <w:szCs w:val="24"/>
          <w:highlight w:val="yellow"/>
        </w:rPr>
        <w:t>, quale effetto non solo delle normative, dei regolamenti e degli accordi internazionali progressivamente istituiti, ma anche per via di un sistema finanziario che necessita di condividere informazioni e dati ESG in modo efficace, efficiente e comparabile;</w:t>
      </w:r>
    </w:p>
    <w:p w14:paraId="29C5E688" w14:textId="77777777" w:rsidR="00C05FA1" w:rsidRPr="003D3722" w:rsidRDefault="00C05FA1" w:rsidP="00C05FA1">
      <w:pPr>
        <w:autoSpaceDE w:val="0"/>
        <w:autoSpaceDN w:val="0"/>
        <w:adjustRightInd w:val="0"/>
        <w:spacing w:after="0" w:line="240" w:lineRule="auto"/>
        <w:jc w:val="both"/>
        <w:rPr>
          <w:rFonts w:ascii="Times New Roman" w:hAnsi="Times New Roman" w:cs="Times New Roman"/>
          <w:sz w:val="24"/>
          <w:szCs w:val="24"/>
          <w:highlight w:val="yellow"/>
        </w:rPr>
      </w:pPr>
      <w:r w:rsidRPr="003D3722">
        <w:rPr>
          <w:rFonts w:ascii="Times New Roman" w:hAnsi="Times New Roman" w:cs="Times New Roman"/>
          <w:sz w:val="24"/>
          <w:szCs w:val="24"/>
          <w:highlight w:val="yellow"/>
        </w:rPr>
        <w:t xml:space="preserve">2. in secondo luogo, l’esperienza maturata soprattutto negli ultimi anni dagli organismi internazionali che si sono occupati del reporting non-finanziario e dei rischi ESG ha sospinto gli stessi ad affrontare </w:t>
      </w:r>
      <w:r w:rsidRPr="003D3722">
        <w:rPr>
          <w:rFonts w:ascii="Times New Roman" w:hAnsi="Times New Roman" w:cs="Times New Roman"/>
          <w:b/>
          <w:bCs/>
          <w:sz w:val="24"/>
          <w:szCs w:val="24"/>
          <w:highlight w:val="yellow"/>
        </w:rPr>
        <w:t>processi di integrazione, collaborazione, scambio di metodi, criteri, piani di sviluppo</w:t>
      </w:r>
      <w:r w:rsidRPr="003D3722">
        <w:rPr>
          <w:rFonts w:ascii="Times New Roman" w:hAnsi="Times New Roman" w:cs="Times New Roman"/>
          <w:sz w:val="24"/>
          <w:szCs w:val="24"/>
          <w:highlight w:val="yellow"/>
        </w:rPr>
        <w:t>, tanto da far compiere</w:t>
      </w:r>
      <w:r w:rsidRPr="003D3722">
        <w:rPr>
          <w:rFonts w:ascii="Times New Roman" w:hAnsi="Times New Roman" w:cs="Times New Roman"/>
          <w:b/>
          <w:bCs/>
          <w:sz w:val="24"/>
          <w:szCs w:val="24"/>
          <w:highlight w:val="yellow"/>
        </w:rPr>
        <w:t xml:space="preserve"> </w:t>
      </w:r>
      <w:r w:rsidRPr="003D3722">
        <w:rPr>
          <w:rFonts w:ascii="Times New Roman" w:hAnsi="Times New Roman" w:cs="Times New Roman"/>
          <w:sz w:val="24"/>
          <w:szCs w:val="24"/>
          <w:highlight w:val="yellow"/>
        </w:rPr>
        <w:t>al panorama internazionale del reporting di</w:t>
      </w:r>
      <w:r w:rsidRPr="003D3722">
        <w:rPr>
          <w:rFonts w:ascii="Times New Roman" w:hAnsi="Times New Roman" w:cs="Times New Roman"/>
          <w:b/>
          <w:bCs/>
          <w:sz w:val="24"/>
          <w:szCs w:val="24"/>
          <w:highlight w:val="yellow"/>
        </w:rPr>
        <w:t xml:space="preserve"> </w:t>
      </w:r>
      <w:r w:rsidRPr="003D3722">
        <w:rPr>
          <w:rFonts w:ascii="Times New Roman" w:hAnsi="Times New Roman" w:cs="Times New Roman"/>
          <w:sz w:val="24"/>
          <w:szCs w:val="24"/>
          <w:highlight w:val="yellow"/>
        </w:rPr>
        <w:t>sostenibilità un balzo in avanti in termini di</w:t>
      </w:r>
      <w:r w:rsidRPr="003D3722">
        <w:rPr>
          <w:rFonts w:ascii="Times New Roman" w:hAnsi="Times New Roman" w:cs="Times New Roman"/>
          <w:b/>
          <w:bCs/>
          <w:sz w:val="24"/>
          <w:szCs w:val="24"/>
          <w:highlight w:val="yellow"/>
        </w:rPr>
        <w:t xml:space="preserve"> </w:t>
      </w:r>
      <w:r w:rsidRPr="003D3722">
        <w:rPr>
          <w:rFonts w:ascii="Times New Roman" w:hAnsi="Times New Roman" w:cs="Times New Roman"/>
          <w:sz w:val="24"/>
          <w:szCs w:val="24"/>
          <w:highlight w:val="yellow"/>
        </w:rPr>
        <w:t>ampiezza della visione sui temi ESG e sui capitali</w:t>
      </w:r>
      <w:r w:rsidRPr="003D3722">
        <w:rPr>
          <w:rFonts w:ascii="Times New Roman" w:hAnsi="Times New Roman" w:cs="Times New Roman"/>
          <w:b/>
          <w:bCs/>
          <w:sz w:val="24"/>
          <w:szCs w:val="24"/>
          <w:highlight w:val="yellow"/>
        </w:rPr>
        <w:t xml:space="preserve"> </w:t>
      </w:r>
      <w:r w:rsidRPr="003D3722">
        <w:rPr>
          <w:rFonts w:ascii="Times New Roman" w:hAnsi="Times New Roman" w:cs="Times New Roman"/>
          <w:sz w:val="24"/>
          <w:szCs w:val="24"/>
          <w:highlight w:val="yellow"/>
        </w:rPr>
        <w:t>intangibili. Un esempio è rappresentato</w:t>
      </w:r>
      <w:r w:rsidRPr="003D3722">
        <w:rPr>
          <w:rFonts w:ascii="Times New Roman" w:hAnsi="Times New Roman" w:cs="Times New Roman"/>
          <w:b/>
          <w:bCs/>
          <w:sz w:val="24"/>
          <w:szCs w:val="24"/>
          <w:highlight w:val="yellow"/>
        </w:rPr>
        <w:t xml:space="preserve"> </w:t>
      </w:r>
      <w:r w:rsidRPr="003D3722">
        <w:rPr>
          <w:rFonts w:ascii="Times New Roman" w:hAnsi="Times New Roman" w:cs="Times New Roman"/>
          <w:sz w:val="24"/>
          <w:szCs w:val="24"/>
          <w:highlight w:val="yellow"/>
        </w:rPr>
        <w:t>proprio dalla fusione intercorsa tra l’IIRC e il</w:t>
      </w:r>
      <w:r w:rsidRPr="003D3722">
        <w:rPr>
          <w:rFonts w:ascii="Times New Roman" w:hAnsi="Times New Roman" w:cs="Times New Roman"/>
          <w:b/>
          <w:bCs/>
          <w:sz w:val="24"/>
          <w:szCs w:val="24"/>
          <w:highlight w:val="yellow"/>
        </w:rPr>
        <w:t xml:space="preserve"> </w:t>
      </w:r>
      <w:r w:rsidRPr="003D3722">
        <w:rPr>
          <w:rFonts w:ascii="Times New Roman" w:hAnsi="Times New Roman" w:cs="Times New Roman"/>
          <w:sz w:val="24"/>
          <w:szCs w:val="24"/>
          <w:highlight w:val="yellow"/>
        </w:rPr>
        <w:t>SASB, che ha permesso al framework del report</w:t>
      </w:r>
      <w:r w:rsidRPr="003D3722">
        <w:rPr>
          <w:rFonts w:ascii="Times New Roman" w:hAnsi="Times New Roman" w:cs="Times New Roman"/>
          <w:b/>
          <w:bCs/>
          <w:sz w:val="24"/>
          <w:szCs w:val="24"/>
          <w:highlight w:val="yellow"/>
        </w:rPr>
        <w:t xml:space="preserve"> </w:t>
      </w:r>
      <w:r w:rsidRPr="003D3722">
        <w:rPr>
          <w:rFonts w:ascii="Times New Roman" w:hAnsi="Times New Roman" w:cs="Times New Roman"/>
          <w:sz w:val="24"/>
          <w:szCs w:val="24"/>
          <w:highlight w:val="yellow"/>
        </w:rPr>
        <w:t>Integrato di divenire un punto di riferimento</w:t>
      </w:r>
      <w:r w:rsidRPr="003D3722">
        <w:rPr>
          <w:rFonts w:ascii="Times New Roman" w:hAnsi="Times New Roman" w:cs="Times New Roman"/>
          <w:b/>
          <w:bCs/>
          <w:sz w:val="24"/>
          <w:szCs w:val="24"/>
          <w:highlight w:val="yellow"/>
        </w:rPr>
        <w:t xml:space="preserve"> </w:t>
      </w:r>
      <w:r w:rsidRPr="003D3722">
        <w:rPr>
          <w:rFonts w:ascii="Times New Roman" w:hAnsi="Times New Roman" w:cs="Times New Roman"/>
          <w:sz w:val="24"/>
          <w:szCs w:val="24"/>
          <w:highlight w:val="yellow"/>
        </w:rPr>
        <w:t>importante circa</w:t>
      </w:r>
      <w:r w:rsidRPr="003D3722">
        <w:rPr>
          <w:rFonts w:ascii="Times New Roman" w:hAnsi="Times New Roman" w:cs="Times New Roman"/>
          <w:b/>
          <w:bCs/>
          <w:sz w:val="24"/>
          <w:szCs w:val="24"/>
          <w:highlight w:val="yellow"/>
        </w:rPr>
        <w:t xml:space="preserve"> </w:t>
      </w:r>
      <w:r w:rsidRPr="003D3722">
        <w:rPr>
          <w:rFonts w:ascii="Times New Roman" w:hAnsi="Times New Roman" w:cs="Times New Roman"/>
          <w:sz w:val="24"/>
          <w:szCs w:val="24"/>
          <w:highlight w:val="yellow"/>
        </w:rPr>
        <w:t>le metriche da associare</w:t>
      </w:r>
      <w:r w:rsidRPr="003D3722">
        <w:rPr>
          <w:rFonts w:ascii="Times New Roman" w:hAnsi="Times New Roman" w:cs="Times New Roman"/>
          <w:b/>
          <w:bCs/>
          <w:sz w:val="24"/>
          <w:szCs w:val="24"/>
          <w:highlight w:val="yellow"/>
        </w:rPr>
        <w:t xml:space="preserve"> </w:t>
      </w:r>
      <w:r w:rsidRPr="003D3722">
        <w:rPr>
          <w:rFonts w:ascii="Times New Roman" w:hAnsi="Times New Roman" w:cs="Times New Roman"/>
          <w:sz w:val="24"/>
          <w:szCs w:val="24"/>
          <w:highlight w:val="yellow"/>
        </w:rPr>
        <w:t>alla fase di reporting e alla gestione delle organizzazioni in chiave di</w:t>
      </w:r>
      <w:r w:rsidRPr="003D3722">
        <w:rPr>
          <w:rFonts w:ascii="Times New Roman" w:hAnsi="Times New Roman" w:cs="Times New Roman"/>
          <w:b/>
          <w:bCs/>
          <w:sz w:val="24"/>
          <w:szCs w:val="24"/>
          <w:highlight w:val="yellow"/>
        </w:rPr>
        <w:t xml:space="preserve"> </w:t>
      </w:r>
      <w:r w:rsidRPr="003D3722">
        <w:rPr>
          <w:rFonts w:ascii="Times New Roman" w:hAnsi="Times New Roman" w:cs="Times New Roman"/>
          <w:sz w:val="24"/>
          <w:szCs w:val="24"/>
          <w:highlight w:val="yellow"/>
        </w:rPr>
        <w:t>sostenibilità;</w:t>
      </w:r>
    </w:p>
    <w:p w14:paraId="2829AD60" w14:textId="77777777" w:rsidR="00C05FA1" w:rsidRPr="001F202A" w:rsidRDefault="00C05FA1" w:rsidP="00C05FA1">
      <w:pPr>
        <w:autoSpaceDE w:val="0"/>
        <w:autoSpaceDN w:val="0"/>
        <w:adjustRightInd w:val="0"/>
        <w:spacing w:after="0" w:line="240" w:lineRule="auto"/>
        <w:jc w:val="both"/>
        <w:rPr>
          <w:rFonts w:ascii="Times New Roman" w:hAnsi="Times New Roman" w:cs="Times New Roman"/>
          <w:sz w:val="24"/>
          <w:szCs w:val="24"/>
        </w:rPr>
      </w:pPr>
      <w:r w:rsidRPr="003D3722">
        <w:rPr>
          <w:rFonts w:ascii="Times New Roman" w:hAnsi="Times New Roman" w:cs="Times New Roman"/>
          <w:sz w:val="24"/>
          <w:szCs w:val="24"/>
          <w:highlight w:val="yellow"/>
        </w:rPr>
        <w:t xml:space="preserve">3. infine, è possibile osservare che è in corso un </w:t>
      </w:r>
      <w:r w:rsidRPr="003D3722">
        <w:rPr>
          <w:rFonts w:ascii="Times New Roman" w:hAnsi="Times New Roman" w:cs="Times New Roman"/>
          <w:b/>
          <w:bCs/>
          <w:sz w:val="24"/>
          <w:szCs w:val="24"/>
          <w:highlight w:val="yellow"/>
        </w:rPr>
        <w:t>processo di costante</w:t>
      </w:r>
      <w:r w:rsidRPr="003D3722">
        <w:rPr>
          <w:rFonts w:ascii="Times New Roman" w:hAnsi="Times New Roman" w:cs="Times New Roman"/>
          <w:sz w:val="24"/>
          <w:szCs w:val="24"/>
          <w:highlight w:val="yellow"/>
        </w:rPr>
        <w:t xml:space="preserve"> </w:t>
      </w:r>
      <w:r w:rsidRPr="003D3722">
        <w:rPr>
          <w:rFonts w:ascii="Times New Roman" w:hAnsi="Times New Roman" w:cs="Times New Roman"/>
          <w:b/>
          <w:bCs/>
          <w:sz w:val="24"/>
          <w:szCs w:val="24"/>
          <w:highlight w:val="yellow"/>
        </w:rPr>
        <w:t>evoluzione e diffusione</w:t>
      </w:r>
      <w:r w:rsidRPr="003D3722">
        <w:rPr>
          <w:rFonts w:ascii="Times New Roman" w:hAnsi="Times New Roman" w:cs="Times New Roman"/>
          <w:sz w:val="24"/>
          <w:szCs w:val="24"/>
          <w:highlight w:val="yellow"/>
        </w:rPr>
        <w:t xml:space="preserve"> </w:t>
      </w:r>
      <w:r w:rsidRPr="003D3722">
        <w:rPr>
          <w:rFonts w:ascii="Times New Roman" w:hAnsi="Times New Roman" w:cs="Times New Roman"/>
          <w:b/>
          <w:bCs/>
          <w:sz w:val="24"/>
          <w:szCs w:val="24"/>
          <w:highlight w:val="yellow"/>
        </w:rPr>
        <w:t>del linguaggio associato ai temi ESG e ai capitali intangibili</w:t>
      </w:r>
      <w:r w:rsidRPr="003D3722">
        <w:rPr>
          <w:rFonts w:ascii="Times New Roman" w:hAnsi="Times New Roman" w:cs="Times New Roman"/>
          <w:sz w:val="24"/>
          <w:szCs w:val="24"/>
          <w:highlight w:val="yellow"/>
        </w:rPr>
        <w:t>, e che proprio</w:t>
      </w:r>
      <w:r w:rsidRPr="003D3722">
        <w:rPr>
          <w:rFonts w:ascii="Times New Roman" w:hAnsi="Times New Roman" w:cs="Times New Roman"/>
          <w:b/>
          <w:bCs/>
          <w:sz w:val="24"/>
          <w:szCs w:val="24"/>
          <w:highlight w:val="yellow"/>
        </w:rPr>
        <w:t xml:space="preserve"> </w:t>
      </w:r>
      <w:r w:rsidRPr="003D3722">
        <w:rPr>
          <w:rFonts w:ascii="Times New Roman" w:hAnsi="Times New Roman" w:cs="Times New Roman"/>
          <w:sz w:val="24"/>
          <w:szCs w:val="24"/>
          <w:highlight w:val="yellow"/>
        </w:rPr>
        <w:t>in virtù di tale fenomeno,</w:t>
      </w:r>
      <w:r w:rsidRPr="003D3722">
        <w:rPr>
          <w:rFonts w:ascii="Times New Roman" w:hAnsi="Times New Roman" w:cs="Times New Roman"/>
          <w:b/>
          <w:bCs/>
          <w:sz w:val="24"/>
          <w:szCs w:val="24"/>
          <w:highlight w:val="yellow"/>
        </w:rPr>
        <w:t xml:space="preserve"> </w:t>
      </w:r>
      <w:r w:rsidRPr="003D3722">
        <w:rPr>
          <w:rFonts w:ascii="Times New Roman" w:hAnsi="Times New Roman" w:cs="Times New Roman"/>
          <w:sz w:val="24"/>
          <w:szCs w:val="24"/>
          <w:highlight w:val="yellow"/>
        </w:rPr>
        <w:t>la somiglianza</w:t>
      </w:r>
      <w:r w:rsidRPr="003D3722">
        <w:rPr>
          <w:rFonts w:ascii="Times New Roman" w:hAnsi="Times New Roman" w:cs="Times New Roman"/>
          <w:b/>
          <w:bCs/>
          <w:sz w:val="24"/>
          <w:szCs w:val="24"/>
          <w:highlight w:val="yellow"/>
        </w:rPr>
        <w:t xml:space="preserve"> </w:t>
      </w:r>
      <w:r w:rsidRPr="003D3722">
        <w:rPr>
          <w:rFonts w:ascii="Times New Roman" w:hAnsi="Times New Roman" w:cs="Times New Roman"/>
          <w:sz w:val="24"/>
          <w:szCs w:val="24"/>
          <w:highlight w:val="yellow"/>
        </w:rPr>
        <w:t>di intenti, di visione e di</w:t>
      </w:r>
      <w:r w:rsidRPr="003D3722">
        <w:rPr>
          <w:rFonts w:ascii="Times New Roman" w:hAnsi="Times New Roman" w:cs="Times New Roman"/>
          <w:b/>
          <w:bCs/>
          <w:sz w:val="24"/>
          <w:szCs w:val="24"/>
          <w:highlight w:val="yellow"/>
        </w:rPr>
        <w:t xml:space="preserve"> </w:t>
      </w:r>
      <w:r w:rsidRPr="003D3722">
        <w:rPr>
          <w:rFonts w:ascii="Times New Roman" w:hAnsi="Times New Roman" w:cs="Times New Roman"/>
          <w:sz w:val="24"/>
          <w:szCs w:val="24"/>
          <w:highlight w:val="yellow"/>
        </w:rPr>
        <w:t>scopi espressi dagli organismi</w:t>
      </w:r>
      <w:r w:rsidRPr="003D3722">
        <w:rPr>
          <w:rFonts w:ascii="Times New Roman" w:hAnsi="Times New Roman" w:cs="Times New Roman"/>
          <w:b/>
          <w:bCs/>
          <w:sz w:val="24"/>
          <w:szCs w:val="24"/>
          <w:highlight w:val="yellow"/>
        </w:rPr>
        <w:t xml:space="preserve"> </w:t>
      </w:r>
      <w:r w:rsidRPr="003D3722">
        <w:rPr>
          <w:rFonts w:ascii="Times New Roman" w:hAnsi="Times New Roman" w:cs="Times New Roman"/>
          <w:sz w:val="24"/>
          <w:szCs w:val="24"/>
          <w:highlight w:val="yellow"/>
        </w:rPr>
        <w:t>internazionali che si occupano di emanare standard di rendicontazione di sostenibilità potrebbe in ipotesi facilitarli nel realizzare tali approcci di avvicinamento e integrazione, anche se si intravedono possibili rilevanti fattori ostativi di carattere geopolitico e relazionale tra gli organismi citati e le diverse giurisdizioni regionali e nazionali.</w:t>
      </w:r>
    </w:p>
    <w:p w14:paraId="61ECF7AB" w14:textId="77777777" w:rsidR="00C05FA1" w:rsidRDefault="00C05FA1" w:rsidP="00C05FA1">
      <w:pPr>
        <w:autoSpaceDE w:val="0"/>
        <w:autoSpaceDN w:val="0"/>
        <w:adjustRightInd w:val="0"/>
        <w:spacing w:after="0" w:line="240" w:lineRule="auto"/>
        <w:jc w:val="both"/>
        <w:rPr>
          <w:rFonts w:ascii="Times New Roman" w:hAnsi="Times New Roman" w:cs="Times New Roman"/>
          <w:sz w:val="24"/>
          <w:szCs w:val="24"/>
        </w:rPr>
      </w:pPr>
    </w:p>
    <w:p w14:paraId="1A68BE9E" w14:textId="5AE63303" w:rsidR="00C05FA1" w:rsidRPr="003D3722" w:rsidRDefault="00C05FA1" w:rsidP="003D3722">
      <w:pPr>
        <w:autoSpaceDE w:val="0"/>
        <w:autoSpaceDN w:val="0"/>
        <w:adjustRightInd w:val="0"/>
        <w:spacing w:after="0" w:line="240" w:lineRule="auto"/>
        <w:jc w:val="both"/>
        <w:rPr>
          <w:rFonts w:ascii="Times New Roman" w:hAnsi="Times New Roman" w:cs="Times New Roman"/>
          <w:sz w:val="24"/>
          <w:szCs w:val="24"/>
        </w:rPr>
      </w:pPr>
    </w:p>
    <w:sectPr w:rsidR="00C05FA1" w:rsidRPr="003D3722" w:rsidSect="00452F82">
      <w:footerReference w:type="default" r:id="rId13"/>
      <w:pgSz w:w="11906" w:h="16838" w:code="9"/>
      <w:pgMar w:top="1418" w:right="1134" w:bottom="1134" w:left="1134"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157B7D" w14:textId="77777777" w:rsidR="00F676A5" w:rsidRDefault="00F676A5" w:rsidP="00452F82">
      <w:pPr>
        <w:spacing w:after="0" w:line="240" w:lineRule="auto"/>
      </w:pPr>
      <w:r>
        <w:separator/>
      </w:r>
    </w:p>
  </w:endnote>
  <w:endnote w:type="continuationSeparator" w:id="0">
    <w:p w14:paraId="6E51A8D1" w14:textId="77777777" w:rsidR="00F676A5" w:rsidRDefault="00F676A5" w:rsidP="00452F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00581124"/>
      <w:docPartObj>
        <w:docPartGallery w:val="Page Numbers (Bottom of Page)"/>
        <w:docPartUnique/>
      </w:docPartObj>
    </w:sdtPr>
    <w:sdtEndPr>
      <w:rPr>
        <w:rFonts w:ascii="Times New Roman" w:hAnsi="Times New Roman" w:cs="Times New Roman"/>
        <w:sz w:val="20"/>
        <w:szCs w:val="20"/>
      </w:rPr>
    </w:sdtEndPr>
    <w:sdtContent>
      <w:p w14:paraId="53C9FB04" w14:textId="42B26BA3" w:rsidR="00452F82" w:rsidRPr="003D3722" w:rsidRDefault="00452F82">
        <w:pPr>
          <w:pStyle w:val="Pidipagina"/>
          <w:jc w:val="center"/>
          <w:rPr>
            <w:rFonts w:ascii="Times New Roman" w:hAnsi="Times New Roman" w:cs="Times New Roman"/>
            <w:sz w:val="20"/>
            <w:szCs w:val="20"/>
          </w:rPr>
        </w:pPr>
        <w:r w:rsidRPr="003D3722">
          <w:rPr>
            <w:rFonts w:ascii="Times New Roman" w:hAnsi="Times New Roman" w:cs="Times New Roman"/>
            <w:sz w:val="20"/>
            <w:szCs w:val="20"/>
          </w:rPr>
          <w:fldChar w:fldCharType="begin"/>
        </w:r>
        <w:r w:rsidRPr="003D3722">
          <w:rPr>
            <w:rFonts w:ascii="Times New Roman" w:hAnsi="Times New Roman" w:cs="Times New Roman"/>
            <w:sz w:val="20"/>
            <w:szCs w:val="20"/>
          </w:rPr>
          <w:instrText>PAGE   \* MERGEFORMAT</w:instrText>
        </w:r>
        <w:r w:rsidRPr="003D3722">
          <w:rPr>
            <w:rFonts w:ascii="Times New Roman" w:hAnsi="Times New Roman" w:cs="Times New Roman"/>
            <w:sz w:val="20"/>
            <w:szCs w:val="20"/>
          </w:rPr>
          <w:fldChar w:fldCharType="separate"/>
        </w:r>
        <w:r w:rsidRPr="003D3722">
          <w:rPr>
            <w:rFonts w:ascii="Times New Roman" w:hAnsi="Times New Roman" w:cs="Times New Roman"/>
            <w:sz w:val="20"/>
            <w:szCs w:val="20"/>
          </w:rPr>
          <w:t>2</w:t>
        </w:r>
        <w:r w:rsidRPr="003D3722">
          <w:rPr>
            <w:rFonts w:ascii="Times New Roman" w:hAnsi="Times New Roman" w:cs="Times New Roman"/>
            <w:sz w:val="20"/>
            <w:szCs w:val="20"/>
          </w:rPr>
          <w:fldChar w:fldCharType="end"/>
        </w:r>
      </w:p>
    </w:sdtContent>
  </w:sdt>
  <w:p w14:paraId="7B1EDDEC" w14:textId="77777777" w:rsidR="00452F82" w:rsidRDefault="00452F82">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882451" w14:textId="77777777" w:rsidR="00F676A5" w:rsidRDefault="00F676A5" w:rsidP="00452F82">
      <w:pPr>
        <w:spacing w:after="0" w:line="240" w:lineRule="auto"/>
      </w:pPr>
      <w:r>
        <w:separator/>
      </w:r>
    </w:p>
  </w:footnote>
  <w:footnote w:type="continuationSeparator" w:id="0">
    <w:p w14:paraId="1BB7C6D8" w14:textId="77777777" w:rsidR="00F676A5" w:rsidRDefault="00F676A5" w:rsidP="00452F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C2360"/>
    <w:multiLevelType w:val="hybridMultilevel"/>
    <w:tmpl w:val="A204F33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713E14C9"/>
    <w:multiLevelType w:val="hybridMultilevel"/>
    <w:tmpl w:val="0C102E74"/>
    <w:lvl w:ilvl="0" w:tplc="3870B27E">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059552615">
    <w:abstractNumId w:val="1"/>
  </w:num>
  <w:num w:numId="2" w16cid:durableId="21268066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sjA3MDM3MTUzNrQ0tDBU0lEKTi0uzszPAykwrwUAaZ7ZOCwAAAA="/>
  </w:docVars>
  <w:rsids>
    <w:rsidRoot w:val="00FE74FA"/>
    <w:rsid w:val="00016526"/>
    <w:rsid w:val="00074F29"/>
    <w:rsid w:val="000F2C55"/>
    <w:rsid w:val="000F443B"/>
    <w:rsid w:val="00101A22"/>
    <w:rsid w:val="00114E7C"/>
    <w:rsid w:val="001340E3"/>
    <w:rsid w:val="00136B73"/>
    <w:rsid w:val="00150FA9"/>
    <w:rsid w:val="0019645A"/>
    <w:rsid w:val="001B3D4C"/>
    <w:rsid w:val="001E3D7A"/>
    <w:rsid w:val="001F202A"/>
    <w:rsid w:val="00260344"/>
    <w:rsid w:val="0027345B"/>
    <w:rsid w:val="002972F1"/>
    <w:rsid w:val="002A4E88"/>
    <w:rsid w:val="002B47CA"/>
    <w:rsid w:val="002C0A6F"/>
    <w:rsid w:val="002C2423"/>
    <w:rsid w:val="002D51F7"/>
    <w:rsid w:val="003056A3"/>
    <w:rsid w:val="00336A48"/>
    <w:rsid w:val="00386DBF"/>
    <w:rsid w:val="003D3722"/>
    <w:rsid w:val="003F3DD2"/>
    <w:rsid w:val="00410126"/>
    <w:rsid w:val="0043597F"/>
    <w:rsid w:val="004401B9"/>
    <w:rsid w:val="00452F82"/>
    <w:rsid w:val="00465124"/>
    <w:rsid w:val="00486233"/>
    <w:rsid w:val="00492549"/>
    <w:rsid w:val="004A1A91"/>
    <w:rsid w:val="004A3490"/>
    <w:rsid w:val="004A3E4A"/>
    <w:rsid w:val="004A41A9"/>
    <w:rsid w:val="004B5A85"/>
    <w:rsid w:val="004E62B7"/>
    <w:rsid w:val="005129E7"/>
    <w:rsid w:val="00532026"/>
    <w:rsid w:val="005347E6"/>
    <w:rsid w:val="00553573"/>
    <w:rsid w:val="005552F1"/>
    <w:rsid w:val="005A1D62"/>
    <w:rsid w:val="005A7D7D"/>
    <w:rsid w:val="005B63DC"/>
    <w:rsid w:val="005C2666"/>
    <w:rsid w:val="005E5D20"/>
    <w:rsid w:val="00607C79"/>
    <w:rsid w:val="00617E7D"/>
    <w:rsid w:val="00633F9B"/>
    <w:rsid w:val="00640DB8"/>
    <w:rsid w:val="00643B90"/>
    <w:rsid w:val="006933A8"/>
    <w:rsid w:val="006D06A4"/>
    <w:rsid w:val="006E0F0C"/>
    <w:rsid w:val="007177FE"/>
    <w:rsid w:val="00736A3F"/>
    <w:rsid w:val="007560B4"/>
    <w:rsid w:val="00767C7D"/>
    <w:rsid w:val="007D6AE3"/>
    <w:rsid w:val="007F709B"/>
    <w:rsid w:val="00812A85"/>
    <w:rsid w:val="008228B8"/>
    <w:rsid w:val="00851114"/>
    <w:rsid w:val="00872FE5"/>
    <w:rsid w:val="0089680E"/>
    <w:rsid w:val="008A5483"/>
    <w:rsid w:val="008A6FBA"/>
    <w:rsid w:val="008F20AA"/>
    <w:rsid w:val="009150A4"/>
    <w:rsid w:val="00915A28"/>
    <w:rsid w:val="0093704D"/>
    <w:rsid w:val="0094367A"/>
    <w:rsid w:val="0095130D"/>
    <w:rsid w:val="00974849"/>
    <w:rsid w:val="00984E1D"/>
    <w:rsid w:val="009C67F2"/>
    <w:rsid w:val="00A01F1D"/>
    <w:rsid w:val="00A0231B"/>
    <w:rsid w:val="00A1177F"/>
    <w:rsid w:val="00A22EAD"/>
    <w:rsid w:val="00A44479"/>
    <w:rsid w:val="00A800B3"/>
    <w:rsid w:val="00A90751"/>
    <w:rsid w:val="00A94DE2"/>
    <w:rsid w:val="00AA3C27"/>
    <w:rsid w:val="00AA5F1B"/>
    <w:rsid w:val="00AD09A4"/>
    <w:rsid w:val="00AF064B"/>
    <w:rsid w:val="00B17E87"/>
    <w:rsid w:val="00B373C2"/>
    <w:rsid w:val="00B71DB0"/>
    <w:rsid w:val="00B9175E"/>
    <w:rsid w:val="00BA1A97"/>
    <w:rsid w:val="00BB429E"/>
    <w:rsid w:val="00BB4362"/>
    <w:rsid w:val="00BF3A0A"/>
    <w:rsid w:val="00C05FA1"/>
    <w:rsid w:val="00C35EC8"/>
    <w:rsid w:val="00C43B7B"/>
    <w:rsid w:val="00C820D3"/>
    <w:rsid w:val="00CB753A"/>
    <w:rsid w:val="00CC472F"/>
    <w:rsid w:val="00D0210D"/>
    <w:rsid w:val="00D103A1"/>
    <w:rsid w:val="00D401E8"/>
    <w:rsid w:val="00D612ED"/>
    <w:rsid w:val="00D933C7"/>
    <w:rsid w:val="00D95A72"/>
    <w:rsid w:val="00DA5784"/>
    <w:rsid w:val="00DB6C23"/>
    <w:rsid w:val="00DD3E96"/>
    <w:rsid w:val="00DE1146"/>
    <w:rsid w:val="00E11234"/>
    <w:rsid w:val="00E460A3"/>
    <w:rsid w:val="00E6663F"/>
    <w:rsid w:val="00E83C16"/>
    <w:rsid w:val="00E83D01"/>
    <w:rsid w:val="00E85A89"/>
    <w:rsid w:val="00EA1164"/>
    <w:rsid w:val="00EB32DC"/>
    <w:rsid w:val="00EB5A18"/>
    <w:rsid w:val="00ED1ADC"/>
    <w:rsid w:val="00ED5F11"/>
    <w:rsid w:val="00EE2A8B"/>
    <w:rsid w:val="00F0501A"/>
    <w:rsid w:val="00F2270B"/>
    <w:rsid w:val="00F6059A"/>
    <w:rsid w:val="00F676A5"/>
    <w:rsid w:val="00F91B79"/>
    <w:rsid w:val="00FC0FFF"/>
    <w:rsid w:val="00FC1D2E"/>
    <w:rsid w:val="00FD331C"/>
    <w:rsid w:val="00FD618D"/>
    <w:rsid w:val="00FE4910"/>
    <w:rsid w:val="00FE74F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6C6AAE"/>
  <w15:docId w15:val="{19747C3F-F1B6-4A9B-937E-BC6B37F83D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27345B"/>
    <w:rPr>
      <w:color w:val="0563C1" w:themeColor="hyperlink"/>
      <w:u w:val="single"/>
    </w:rPr>
  </w:style>
  <w:style w:type="character" w:styleId="Menzionenonrisolta">
    <w:name w:val="Unresolved Mention"/>
    <w:basedOn w:val="Carpredefinitoparagrafo"/>
    <w:uiPriority w:val="99"/>
    <w:semiHidden/>
    <w:unhideWhenUsed/>
    <w:rsid w:val="0027345B"/>
    <w:rPr>
      <w:color w:val="605E5C"/>
      <w:shd w:val="clear" w:color="auto" w:fill="E1DFDD"/>
    </w:rPr>
  </w:style>
  <w:style w:type="paragraph" w:styleId="Paragrafoelenco">
    <w:name w:val="List Paragraph"/>
    <w:basedOn w:val="Normale"/>
    <w:uiPriority w:val="34"/>
    <w:qFormat/>
    <w:rsid w:val="00F2270B"/>
    <w:pPr>
      <w:ind w:left="720"/>
      <w:contextualSpacing/>
    </w:pPr>
  </w:style>
  <w:style w:type="character" w:styleId="Rimandocommento">
    <w:name w:val="annotation reference"/>
    <w:basedOn w:val="Carpredefinitoparagrafo"/>
    <w:uiPriority w:val="99"/>
    <w:semiHidden/>
    <w:unhideWhenUsed/>
    <w:rsid w:val="00A44479"/>
    <w:rPr>
      <w:sz w:val="16"/>
      <w:szCs w:val="16"/>
    </w:rPr>
  </w:style>
  <w:style w:type="paragraph" w:styleId="Testocommento">
    <w:name w:val="annotation text"/>
    <w:basedOn w:val="Normale"/>
    <w:link w:val="TestocommentoCarattere"/>
    <w:uiPriority w:val="99"/>
    <w:unhideWhenUsed/>
    <w:rsid w:val="00A4447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44479"/>
    <w:rPr>
      <w:sz w:val="20"/>
      <w:szCs w:val="20"/>
    </w:rPr>
  </w:style>
  <w:style w:type="paragraph" w:styleId="Soggettocommento">
    <w:name w:val="annotation subject"/>
    <w:basedOn w:val="Testocommento"/>
    <w:next w:val="Testocommento"/>
    <w:link w:val="SoggettocommentoCarattere"/>
    <w:uiPriority w:val="99"/>
    <w:semiHidden/>
    <w:unhideWhenUsed/>
    <w:rsid w:val="00A44479"/>
    <w:rPr>
      <w:b/>
      <w:bCs/>
    </w:rPr>
  </w:style>
  <w:style w:type="character" w:customStyle="1" w:styleId="SoggettocommentoCarattere">
    <w:name w:val="Soggetto commento Carattere"/>
    <w:basedOn w:val="TestocommentoCarattere"/>
    <w:link w:val="Soggettocommento"/>
    <w:uiPriority w:val="99"/>
    <w:semiHidden/>
    <w:rsid w:val="00A44479"/>
    <w:rPr>
      <w:b/>
      <w:bCs/>
      <w:sz w:val="20"/>
      <w:szCs w:val="20"/>
    </w:rPr>
  </w:style>
  <w:style w:type="paragraph" w:styleId="Revisione">
    <w:name w:val="Revision"/>
    <w:hidden/>
    <w:uiPriority w:val="99"/>
    <w:semiHidden/>
    <w:rsid w:val="00A44479"/>
    <w:pPr>
      <w:spacing w:after="0" w:line="240" w:lineRule="auto"/>
    </w:pPr>
  </w:style>
  <w:style w:type="paragraph" w:styleId="Intestazione">
    <w:name w:val="header"/>
    <w:basedOn w:val="Normale"/>
    <w:link w:val="IntestazioneCarattere"/>
    <w:uiPriority w:val="99"/>
    <w:unhideWhenUsed/>
    <w:rsid w:val="00452F8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52F82"/>
  </w:style>
  <w:style w:type="paragraph" w:styleId="Pidipagina">
    <w:name w:val="footer"/>
    <w:basedOn w:val="Normale"/>
    <w:link w:val="PidipaginaCarattere"/>
    <w:uiPriority w:val="99"/>
    <w:unhideWhenUsed/>
    <w:rsid w:val="00452F8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52F82"/>
  </w:style>
  <w:style w:type="character" w:styleId="Collegamentovisitato">
    <w:name w:val="FollowedHyperlink"/>
    <w:basedOn w:val="Carpredefinitoparagrafo"/>
    <w:uiPriority w:val="99"/>
    <w:semiHidden/>
    <w:unhideWhenUsed/>
    <w:rsid w:val="002972F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wici-global.com/useful_resorces_publications"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eur-lex.europa.eu/legal-content/IT/TXT/PDF/?uri=CELEX:32022L2464" TargetMode="External"/><Relationship Id="rId12" Type="http://schemas.openxmlformats.org/officeDocument/2006/relationships/hyperlink" Target="https://www.ifrs.org/groups/jurisdictional-working-grou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ifrs.org/projects/work-plan/international-applicability-of-the-sasb-standards/ed-comments-sasb-applicability/"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1.emf"/><Relationship Id="rId4" Type="http://schemas.openxmlformats.org/officeDocument/2006/relationships/webSettings" Target="webSettings.xml"/><Relationship Id="rId9" Type="http://schemas.openxmlformats.org/officeDocument/2006/relationships/hyperlink" Target="https://www.iaasb.org/news-events/2023-06/proposed-international-standard-sustainability-assurance-5000-approved-public-consultation-unanimous"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5469</Words>
  <Characters>31176</Characters>
  <Application>Microsoft Office Word</Application>
  <DocSecurity>0</DocSecurity>
  <Lines>259</Lines>
  <Paragraphs>73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36572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Zambon Stefano</dc:creator>
  <cp:keywords/>
  <dc:description/>
  <cp:lastModifiedBy>Laura Girella</cp:lastModifiedBy>
  <cp:revision>2</cp:revision>
  <cp:lastPrinted>2024-01-04T16:20:00Z</cp:lastPrinted>
  <dcterms:created xsi:type="dcterms:W3CDTF">2024-05-27T07:42:00Z</dcterms:created>
  <dcterms:modified xsi:type="dcterms:W3CDTF">2024-05-27T07:42:00Z</dcterms:modified>
</cp:coreProperties>
</file>