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5584" w:rsidRPr="00AF022D" w:rsidRDefault="00895584" w:rsidP="00895584">
      <w:pPr>
        <w:tabs>
          <w:tab w:val="left" w:pos="1913"/>
        </w:tabs>
        <w:jc w:val="both"/>
        <w:rPr>
          <w:color w:val="000000"/>
          <w:sz w:val="20"/>
          <w:szCs w:val="20"/>
        </w:rPr>
      </w:pPr>
      <w:r w:rsidRPr="00AF022D">
        <w:rPr>
          <w:b/>
          <w:bCs/>
          <w:color w:val="000000"/>
          <w:sz w:val="20"/>
          <w:szCs w:val="20"/>
        </w:rPr>
        <w:t>Indice</w:t>
      </w:r>
      <w:r w:rsidRPr="00AF022D">
        <w:rPr>
          <w:bCs/>
          <w:color w:val="000000"/>
          <w:sz w:val="20"/>
          <w:szCs w:val="20"/>
        </w:rPr>
        <w:t>:</w:t>
      </w:r>
      <w:r>
        <w:rPr>
          <w:bCs/>
          <w:color w:val="000000"/>
          <w:sz w:val="20"/>
          <w:szCs w:val="20"/>
        </w:rPr>
        <w:t xml:space="preserve"> </w:t>
      </w:r>
      <w:r w:rsidRPr="00FC6065">
        <w:rPr>
          <w:b/>
          <w:bCs/>
          <w:color w:val="000000"/>
          <w:sz w:val="20"/>
          <w:szCs w:val="20"/>
        </w:rPr>
        <w:t>Presentación</w:t>
      </w:r>
      <w:r>
        <w:rPr>
          <w:bCs/>
          <w:color w:val="000000"/>
          <w:sz w:val="20"/>
          <w:szCs w:val="20"/>
        </w:rPr>
        <w:t xml:space="preserve"> Guillermo Carrascón,</w:t>
      </w:r>
      <w:r w:rsidRPr="00AF022D">
        <w:rPr>
          <w:bCs/>
          <w:color w:val="000000"/>
          <w:sz w:val="20"/>
          <w:szCs w:val="20"/>
        </w:rPr>
        <w:t xml:space="preserve"> </w:t>
      </w:r>
      <w:r w:rsidRPr="00AF022D">
        <w:rPr>
          <w:b/>
          <w:bCs/>
          <w:i/>
          <w:color w:val="000000"/>
          <w:sz w:val="20"/>
          <w:szCs w:val="20"/>
        </w:rPr>
        <w:t>Novelas Ejemplares</w:t>
      </w:r>
      <w:r w:rsidRPr="00AF022D">
        <w:rPr>
          <w:bCs/>
          <w:color w:val="000000"/>
          <w:sz w:val="20"/>
          <w:szCs w:val="20"/>
        </w:rPr>
        <w:t xml:space="preserve">. </w:t>
      </w:r>
      <w:r w:rsidRPr="00AF022D">
        <w:rPr>
          <w:color w:val="000000"/>
          <w:sz w:val="20"/>
          <w:szCs w:val="20"/>
        </w:rPr>
        <w:t xml:space="preserve">Carlos Alvar “Cervantes en el prólogo al lector de las </w:t>
      </w:r>
      <w:r w:rsidRPr="005C618D">
        <w:rPr>
          <w:i/>
          <w:color w:val="000000"/>
          <w:sz w:val="20"/>
          <w:szCs w:val="20"/>
        </w:rPr>
        <w:t>Novelas ejemplares</w:t>
      </w:r>
      <w:r w:rsidRPr="00AF022D">
        <w:rPr>
          <w:color w:val="000000"/>
          <w:sz w:val="20"/>
          <w:szCs w:val="20"/>
        </w:rPr>
        <w:t xml:space="preserve">”, </w:t>
      </w:r>
      <w:r>
        <w:rPr>
          <w:color w:val="000000"/>
          <w:sz w:val="20"/>
          <w:szCs w:val="20"/>
        </w:rPr>
        <w:t xml:space="preserve">Jean-Michel Laspéras </w:t>
      </w:r>
      <w:r w:rsidRPr="00AF022D">
        <w:rPr>
          <w:color w:val="000000"/>
          <w:sz w:val="20"/>
          <w:szCs w:val="20"/>
        </w:rPr>
        <w:t xml:space="preserve">“Algún misterio tienen escondido...”, José Manuel Martín Morán “Aspectos del diálogo en las Novelas ejemplares”, </w:t>
      </w:r>
      <w:r>
        <w:rPr>
          <w:color w:val="000000"/>
          <w:sz w:val="20"/>
          <w:szCs w:val="20"/>
        </w:rPr>
        <w:t xml:space="preserve">Michel Moner </w:t>
      </w:r>
      <w:r w:rsidRPr="00AF022D">
        <w:rPr>
          <w:color w:val="000000"/>
          <w:sz w:val="20"/>
          <w:szCs w:val="20"/>
        </w:rPr>
        <w:t>“</w:t>
      </w:r>
      <w:r w:rsidRPr="00AF022D">
        <w:rPr>
          <w:sz w:val="20"/>
          <w:szCs w:val="20"/>
          <w:lang w:eastAsia="fr-FR"/>
        </w:rPr>
        <w:t xml:space="preserve">La palabra y sus avatares en las </w:t>
      </w:r>
      <w:r w:rsidRPr="00AF022D">
        <w:rPr>
          <w:i/>
          <w:sz w:val="20"/>
          <w:szCs w:val="20"/>
          <w:lang w:eastAsia="fr-FR"/>
        </w:rPr>
        <w:t>Novelas ejemplares</w:t>
      </w:r>
      <w:r w:rsidRPr="00AF022D">
        <w:rPr>
          <w:sz w:val="20"/>
          <w:szCs w:val="20"/>
          <w:lang w:eastAsia="fr-FR"/>
        </w:rPr>
        <w:t xml:space="preserve"> de Miguel de Cervantes: malabarismos textuales e intencionalidad discursiva”. </w:t>
      </w:r>
      <w:r w:rsidRPr="00AF022D">
        <w:rPr>
          <w:b/>
          <w:bCs/>
          <w:color w:val="000000"/>
          <w:sz w:val="20"/>
          <w:szCs w:val="20"/>
        </w:rPr>
        <w:t>Teatro</w:t>
      </w:r>
      <w:r w:rsidRPr="00AF022D">
        <w:rPr>
          <w:bCs/>
          <w:color w:val="000000"/>
          <w:sz w:val="20"/>
          <w:szCs w:val="20"/>
        </w:rPr>
        <w:t xml:space="preserve">. </w:t>
      </w:r>
      <w:r w:rsidRPr="00AF022D">
        <w:rPr>
          <w:color w:val="000000"/>
          <w:sz w:val="20"/>
          <w:szCs w:val="20"/>
        </w:rPr>
        <w:t xml:space="preserve">Jean Canavaggio “La </w:t>
      </w:r>
      <w:r w:rsidRPr="00AF022D">
        <w:rPr>
          <w:i/>
          <w:color w:val="000000"/>
          <w:sz w:val="20"/>
          <w:szCs w:val="20"/>
        </w:rPr>
        <w:t>Numancia</w:t>
      </w:r>
      <w:r w:rsidRPr="00AF022D">
        <w:rPr>
          <w:color w:val="000000"/>
          <w:sz w:val="20"/>
          <w:szCs w:val="20"/>
        </w:rPr>
        <w:t xml:space="preserve"> de Cervantes de comedia a tragedia”, Fausta Antonucci “La estructura dramática de </w:t>
      </w:r>
      <w:r w:rsidRPr="00AF022D">
        <w:rPr>
          <w:i/>
          <w:iCs/>
          <w:color w:val="000000"/>
          <w:sz w:val="20"/>
          <w:szCs w:val="20"/>
        </w:rPr>
        <w:t>La conquista de Jerusalén por Godofre de Bullón</w:t>
      </w:r>
      <w:r w:rsidRPr="00AF022D">
        <w:rPr>
          <w:color w:val="000000"/>
          <w:sz w:val="20"/>
          <w:szCs w:val="20"/>
        </w:rPr>
        <w:t xml:space="preserve">: un análisis comparado con </w:t>
      </w:r>
      <w:r w:rsidRPr="00AF022D">
        <w:rPr>
          <w:i/>
          <w:iCs/>
          <w:color w:val="000000"/>
          <w:sz w:val="20"/>
          <w:szCs w:val="20"/>
        </w:rPr>
        <w:t>La Numancia</w:t>
      </w:r>
      <w:r w:rsidRPr="00AF022D">
        <w:rPr>
          <w:iCs/>
          <w:color w:val="000000"/>
          <w:sz w:val="20"/>
          <w:szCs w:val="20"/>
        </w:rPr>
        <w:t xml:space="preserve">”, </w:t>
      </w:r>
      <w:r w:rsidRPr="00AF022D">
        <w:rPr>
          <w:color w:val="000000"/>
          <w:sz w:val="20"/>
          <w:szCs w:val="20"/>
        </w:rPr>
        <w:t xml:space="preserve">Antonio Rey Hazas “Atila el Godo en </w:t>
      </w:r>
      <w:r w:rsidRPr="00AF022D">
        <w:rPr>
          <w:i/>
          <w:color w:val="000000"/>
          <w:sz w:val="20"/>
          <w:szCs w:val="20"/>
        </w:rPr>
        <w:t>La Numancia</w:t>
      </w:r>
      <w:r w:rsidRPr="00AF022D">
        <w:rPr>
          <w:color w:val="000000"/>
          <w:sz w:val="20"/>
          <w:szCs w:val="20"/>
        </w:rPr>
        <w:t xml:space="preserve"> de Cervantes”, Alfredo Rodríguez López-Vázquez “</w:t>
      </w:r>
      <w:r>
        <w:rPr>
          <w:color w:val="000000"/>
          <w:sz w:val="20"/>
          <w:szCs w:val="20"/>
        </w:rPr>
        <w:t xml:space="preserve">El </w:t>
      </w:r>
      <w:r w:rsidRPr="005C618D">
        <w:rPr>
          <w:i/>
          <w:color w:val="000000"/>
          <w:sz w:val="20"/>
          <w:szCs w:val="20"/>
        </w:rPr>
        <w:t>Entremés de la Carcel de Sevilla</w:t>
      </w:r>
      <w:r>
        <w:rPr>
          <w:color w:val="000000"/>
          <w:sz w:val="20"/>
          <w:szCs w:val="20"/>
        </w:rPr>
        <w:t xml:space="preserve"> atribuido a Cervantes: edición anotada</w:t>
      </w:r>
      <w:r w:rsidRPr="00AF022D">
        <w:rPr>
          <w:color w:val="000000"/>
          <w:sz w:val="20"/>
          <w:szCs w:val="20"/>
        </w:rPr>
        <w:t xml:space="preserve">”, Aurelio González “Bebidas y dulces en el teatro del siglo de oro”, David González </w:t>
      </w:r>
      <w:r>
        <w:rPr>
          <w:color w:val="000000"/>
          <w:sz w:val="20"/>
          <w:szCs w:val="20"/>
        </w:rPr>
        <w:t>Ramírez</w:t>
      </w:r>
      <w:r w:rsidRPr="00AF022D">
        <w:rPr>
          <w:color w:val="000000"/>
          <w:sz w:val="20"/>
          <w:szCs w:val="20"/>
        </w:rPr>
        <w:t xml:space="preserve"> e Ilaria Resta “Lope de Vega, reescritor de Giraldi Cinzio: la construcción dramática de una </w:t>
      </w:r>
      <w:r w:rsidRPr="005C618D">
        <w:rPr>
          <w:i/>
          <w:color w:val="000000"/>
          <w:sz w:val="20"/>
          <w:szCs w:val="20"/>
        </w:rPr>
        <w:t>novella</w:t>
      </w:r>
      <w:r w:rsidRPr="00AF022D">
        <w:rPr>
          <w:color w:val="000000"/>
          <w:sz w:val="20"/>
          <w:szCs w:val="20"/>
        </w:rPr>
        <w:t xml:space="preserve"> de los </w:t>
      </w:r>
      <w:r w:rsidRPr="005C618D">
        <w:rPr>
          <w:i/>
          <w:color w:val="000000"/>
          <w:sz w:val="20"/>
          <w:szCs w:val="20"/>
        </w:rPr>
        <w:t>Hecatommithi</w:t>
      </w:r>
      <w:r w:rsidRPr="00AF022D">
        <w:rPr>
          <w:color w:val="000000"/>
          <w:sz w:val="20"/>
          <w:szCs w:val="20"/>
        </w:rPr>
        <w:t xml:space="preserve">”. </w:t>
      </w:r>
      <w:r w:rsidRPr="00FC6065">
        <w:rPr>
          <w:b/>
          <w:bCs/>
          <w:i/>
          <w:color w:val="000000"/>
          <w:sz w:val="20"/>
          <w:szCs w:val="20"/>
        </w:rPr>
        <w:t>Quijote</w:t>
      </w:r>
      <w:r w:rsidRPr="00D40C75">
        <w:rPr>
          <w:b/>
          <w:bCs/>
          <w:color w:val="000000"/>
          <w:sz w:val="20"/>
          <w:szCs w:val="20"/>
        </w:rPr>
        <w:t>.</w:t>
      </w:r>
      <w:r w:rsidRPr="00D40C75">
        <w:rPr>
          <w:bCs/>
          <w:color w:val="000000"/>
          <w:sz w:val="20"/>
          <w:szCs w:val="20"/>
        </w:rPr>
        <w:t xml:space="preserve"> </w:t>
      </w:r>
      <w:r w:rsidRPr="00D40C75">
        <w:rPr>
          <w:color w:val="000000"/>
          <w:sz w:val="20"/>
          <w:szCs w:val="20"/>
        </w:rPr>
        <w:t>Maria Grazia Profeti “</w:t>
      </w:r>
      <w:r w:rsidRPr="005C618D">
        <w:rPr>
          <w:i/>
          <w:color w:val="000000"/>
          <w:sz w:val="20"/>
          <w:szCs w:val="20"/>
        </w:rPr>
        <w:t>Don Quijote</w:t>
      </w:r>
      <w:r w:rsidRPr="00D40C75">
        <w:rPr>
          <w:color w:val="000000"/>
          <w:sz w:val="20"/>
          <w:szCs w:val="20"/>
        </w:rPr>
        <w:t xml:space="preserve"> difeso da Lampillas”, </w:t>
      </w:r>
      <w:r>
        <w:rPr>
          <w:color w:val="000000"/>
          <w:sz w:val="20"/>
          <w:szCs w:val="20"/>
        </w:rPr>
        <w:t xml:space="preserve">Maria Caterina Ruta </w:t>
      </w:r>
      <w:r w:rsidRPr="00AF022D">
        <w:rPr>
          <w:color w:val="000000"/>
          <w:sz w:val="20"/>
          <w:szCs w:val="20"/>
        </w:rPr>
        <w:t>“Las bodas de Camacho tra Cervantes y Petipa”, Marco Cipolloni “«Así se rehizo». Don Quijote animado, entre traducción audiovisual, contenidos especiales y lectores en voz alta”, Daniela Capra “</w:t>
      </w:r>
      <w:r w:rsidRPr="00AF022D">
        <w:rPr>
          <w:sz w:val="20"/>
          <w:szCs w:val="20"/>
        </w:rPr>
        <w:t>Don Quijote cabalga de nuevo: parodia y relectura</w:t>
      </w:r>
      <w:r>
        <w:rPr>
          <w:sz w:val="20"/>
          <w:szCs w:val="20"/>
        </w:rPr>
        <w:t xml:space="preserve"> cervantina</w:t>
      </w:r>
      <w:r w:rsidRPr="00AF022D">
        <w:rPr>
          <w:sz w:val="20"/>
          <w:szCs w:val="20"/>
        </w:rPr>
        <w:t xml:space="preserve"> en la creación contemporánea”, </w:t>
      </w:r>
      <w:r w:rsidRPr="00AF022D">
        <w:rPr>
          <w:color w:val="000000"/>
          <w:sz w:val="20"/>
          <w:szCs w:val="20"/>
        </w:rPr>
        <w:t xml:space="preserve">Guillermo Carrascón “Cervantes, el </w:t>
      </w:r>
      <w:r w:rsidRPr="005C618D">
        <w:rPr>
          <w:i/>
          <w:color w:val="000000"/>
          <w:sz w:val="20"/>
          <w:szCs w:val="20"/>
        </w:rPr>
        <w:t>Quijote</w:t>
      </w:r>
      <w:r w:rsidRPr="00AF022D">
        <w:rPr>
          <w:color w:val="000000"/>
          <w:sz w:val="20"/>
          <w:szCs w:val="20"/>
        </w:rPr>
        <w:t xml:space="preserve"> y la comedia nueva”. </w:t>
      </w:r>
      <w:r w:rsidRPr="00AF022D">
        <w:rPr>
          <w:b/>
          <w:bCs/>
          <w:color w:val="000000"/>
          <w:sz w:val="20"/>
          <w:szCs w:val="20"/>
        </w:rPr>
        <w:t>Garcilaso</w:t>
      </w:r>
      <w:r w:rsidRPr="00AF022D">
        <w:rPr>
          <w:bCs/>
          <w:color w:val="000000"/>
          <w:sz w:val="20"/>
          <w:szCs w:val="20"/>
        </w:rPr>
        <w:t xml:space="preserve">. </w:t>
      </w:r>
      <w:r w:rsidRPr="00AF022D">
        <w:rPr>
          <w:color w:val="000000"/>
          <w:sz w:val="20"/>
          <w:szCs w:val="20"/>
        </w:rPr>
        <w:t>Antonio Gargano “</w:t>
      </w:r>
      <w:r>
        <w:rPr>
          <w:color w:val="000000"/>
          <w:sz w:val="20"/>
          <w:szCs w:val="20"/>
        </w:rPr>
        <w:t xml:space="preserve">«Tra lo stile de’ moderni e ‘l sermon prisco». </w:t>
      </w:r>
      <w:r w:rsidRPr="00AF022D">
        <w:rPr>
          <w:iCs/>
          <w:color w:val="000000"/>
          <w:sz w:val="20"/>
          <w:szCs w:val="20"/>
        </w:rPr>
        <w:t>Lettura del sonetto «Ilustre honor del nombre de Cardona»</w:t>
      </w:r>
      <w:r>
        <w:rPr>
          <w:color w:val="000000"/>
          <w:sz w:val="20"/>
          <w:szCs w:val="20"/>
        </w:rPr>
        <w:t xml:space="preserve"> di</w:t>
      </w:r>
      <w:r w:rsidRPr="00AF022D">
        <w:rPr>
          <w:color w:val="000000"/>
          <w:sz w:val="20"/>
          <w:szCs w:val="20"/>
        </w:rPr>
        <w:t xml:space="preserve"> Garcilaso de la Vega”, Maria Rosso “Las andanzas ejemplares del Soneto XIV de Garcilaso”. </w:t>
      </w:r>
      <w:r w:rsidRPr="00EC1F0A">
        <w:rPr>
          <w:b/>
          <w:bCs/>
          <w:i/>
          <w:color w:val="000000"/>
          <w:sz w:val="20"/>
          <w:szCs w:val="20"/>
        </w:rPr>
        <w:t>Lazarillo</w:t>
      </w:r>
      <w:r w:rsidRPr="00AF022D">
        <w:rPr>
          <w:b/>
          <w:bCs/>
          <w:color w:val="000000"/>
          <w:sz w:val="20"/>
          <w:szCs w:val="20"/>
        </w:rPr>
        <w:t xml:space="preserve"> y picaresca</w:t>
      </w:r>
      <w:r w:rsidRPr="00AF022D">
        <w:rPr>
          <w:bCs/>
          <w:color w:val="000000"/>
          <w:sz w:val="20"/>
          <w:szCs w:val="20"/>
        </w:rPr>
        <w:t xml:space="preserve">. </w:t>
      </w:r>
      <w:r w:rsidRPr="00AF022D">
        <w:rPr>
          <w:color w:val="000000"/>
          <w:sz w:val="20"/>
          <w:szCs w:val="20"/>
        </w:rPr>
        <w:t>Patrizia Botta “Variantes y tendencias léxicas</w:t>
      </w:r>
      <w:r>
        <w:rPr>
          <w:color w:val="000000"/>
          <w:sz w:val="20"/>
          <w:szCs w:val="20"/>
        </w:rPr>
        <w:t>:</w:t>
      </w:r>
      <w:r w:rsidRPr="00AF022D">
        <w:rPr>
          <w:color w:val="000000"/>
          <w:sz w:val="20"/>
          <w:szCs w:val="20"/>
        </w:rPr>
        <w:t xml:space="preserve"> algunas calas en el </w:t>
      </w:r>
      <w:r w:rsidRPr="00AF022D">
        <w:rPr>
          <w:i/>
          <w:color w:val="000000"/>
          <w:sz w:val="20"/>
          <w:szCs w:val="20"/>
        </w:rPr>
        <w:t>Lazarillo</w:t>
      </w:r>
      <w:r w:rsidRPr="00AF022D">
        <w:rPr>
          <w:color w:val="000000"/>
          <w:sz w:val="20"/>
          <w:szCs w:val="20"/>
        </w:rPr>
        <w:t>”, David Mañero</w:t>
      </w:r>
      <w:r>
        <w:rPr>
          <w:color w:val="000000"/>
          <w:sz w:val="20"/>
          <w:szCs w:val="20"/>
        </w:rPr>
        <w:t xml:space="preserve"> Lozano</w:t>
      </w:r>
      <w:r w:rsidRPr="00AF022D">
        <w:rPr>
          <w:color w:val="000000"/>
          <w:sz w:val="20"/>
          <w:szCs w:val="20"/>
        </w:rPr>
        <w:t xml:space="preserve"> “La atalaya cómica de Pablos y Ginés”. </w:t>
      </w:r>
      <w:r w:rsidRPr="00AF022D">
        <w:rPr>
          <w:b/>
          <w:bCs/>
          <w:color w:val="000000"/>
          <w:sz w:val="20"/>
          <w:szCs w:val="20"/>
        </w:rPr>
        <w:t>Miscelánea</w:t>
      </w:r>
      <w:r w:rsidRPr="00AF022D">
        <w:rPr>
          <w:bCs/>
          <w:color w:val="000000"/>
          <w:sz w:val="20"/>
          <w:szCs w:val="20"/>
        </w:rPr>
        <w:t xml:space="preserve">. </w:t>
      </w:r>
      <w:r w:rsidRPr="00AF022D">
        <w:rPr>
          <w:color w:val="000000"/>
          <w:sz w:val="20"/>
          <w:szCs w:val="20"/>
        </w:rPr>
        <w:t xml:space="preserve">Manuel Alvar </w:t>
      </w:r>
      <w:r>
        <w:rPr>
          <w:color w:val="000000"/>
          <w:sz w:val="20"/>
          <w:szCs w:val="20"/>
        </w:rPr>
        <w:t>Ezquerra</w:t>
      </w:r>
      <w:r w:rsidRPr="00AF022D">
        <w:rPr>
          <w:color w:val="000000"/>
          <w:sz w:val="20"/>
          <w:szCs w:val="20"/>
        </w:rPr>
        <w:t xml:space="preserve"> “Vocabulario de la ganadería menor en Chinchon</w:t>
      </w:r>
      <w:r>
        <w:rPr>
          <w:color w:val="000000"/>
          <w:sz w:val="20"/>
          <w:szCs w:val="20"/>
        </w:rPr>
        <w:t xml:space="preserve"> (Madrid)</w:t>
      </w:r>
      <w:r w:rsidRPr="00AF022D">
        <w:rPr>
          <w:color w:val="000000"/>
          <w:sz w:val="20"/>
          <w:szCs w:val="20"/>
        </w:rPr>
        <w:t xml:space="preserve">”, Antonio Barbagallo “Los </w:t>
      </w:r>
      <w:r w:rsidRPr="00AF022D">
        <w:rPr>
          <w:i/>
          <w:iCs/>
          <w:color w:val="000000"/>
          <w:sz w:val="20"/>
          <w:szCs w:val="20"/>
        </w:rPr>
        <w:t xml:space="preserve">Casos de consciencia </w:t>
      </w:r>
      <w:r>
        <w:rPr>
          <w:color w:val="000000"/>
          <w:sz w:val="20"/>
          <w:szCs w:val="20"/>
        </w:rPr>
        <w:t>de Fray Antonio d</w:t>
      </w:r>
      <w:r w:rsidRPr="00AF022D">
        <w:rPr>
          <w:color w:val="000000"/>
          <w:sz w:val="20"/>
          <w:szCs w:val="20"/>
        </w:rPr>
        <w:t>e C</w:t>
      </w:r>
      <w:r>
        <w:rPr>
          <w:color w:val="000000"/>
          <w:sz w:val="20"/>
          <w:szCs w:val="20"/>
        </w:rPr>
        <w:t>ó</w:t>
      </w:r>
      <w:r w:rsidRPr="00AF022D">
        <w:rPr>
          <w:color w:val="000000"/>
          <w:sz w:val="20"/>
          <w:szCs w:val="20"/>
        </w:rPr>
        <w:t xml:space="preserve">rdoba”, </w:t>
      </w:r>
      <w:r w:rsidRPr="00D40C75">
        <w:rPr>
          <w:color w:val="000000"/>
          <w:sz w:val="20"/>
          <w:szCs w:val="20"/>
        </w:rPr>
        <w:t>Manuel Carrera</w:t>
      </w:r>
      <w:r>
        <w:rPr>
          <w:color w:val="000000"/>
          <w:sz w:val="20"/>
          <w:szCs w:val="20"/>
        </w:rPr>
        <w:t xml:space="preserve"> Díaz</w:t>
      </w:r>
      <w:r w:rsidRPr="00D40C75">
        <w:rPr>
          <w:color w:val="000000"/>
          <w:sz w:val="20"/>
          <w:szCs w:val="20"/>
        </w:rPr>
        <w:t xml:space="preserve"> “Metrica italiana e metrica spagnola”, </w:t>
      </w:r>
      <w:r w:rsidRPr="00AF022D">
        <w:rPr>
          <w:color w:val="000000"/>
          <w:sz w:val="20"/>
          <w:szCs w:val="20"/>
        </w:rPr>
        <w:t xml:space="preserve">María Hernández Esteban “Imágenes contemporáneas del </w:t>
      </w:r>
      <w:r w:rsidRPr="00AF022D">
        <w:rPr>
          <w:i/>
          <w:color w:val="000000"/>
          <w:sz w:val="20"/>
          <w:szCs w:val="20"/>
        </w:rPr>
        <w:t>Decameron</w:t>
      </w:r>
      <w:r w:rsidRPr="00AF022D">
        <w:rPr>
          <w:color w:val="000000"/>
          <w:sz w:val="20"/>
          <w:szCs w:val="20"/>
        </w:rPr>
        <w:t xml:space="preserve"> en España</w:t>
      </w:r>
      <w:r>
        <w:rPr>
          <w:color w:val="000000"/>
          <w:sz w:val="20"/>
          <w:szCs w:val="20"/>
        </w:rPr>
        <w:t>: comicidad, sensualidad y erotismo. El realismo en el ejemplo de IV, 5</w:t>
      </w:r>
      <w:r w:rsidRPr="00AF022D">
        <w:rPr>
          <w:color w:val="000000"/>
          <w:sz w:val="20"/>
          <w:szCs w:val="20"/>
        </w:rPr>
        <w:t xml:space="preserve">”, José Manuel Lucía Mejías “Transmisión </w:t>
      </w:r>
      <w:r w:rsidRPr="00AF022D">
        <w:rPr>
          <w:i/>
          <w:iCs/>
          <w:color w:val="000000"/>
          <w:sz w:val="20"/>
          <w:szCs w:val="20"/>
        </w:rPr>
        <w:t>vs.</w:t>
      </w:r>
      <w:r w:rsidRPr="00AF022D">
        <w:rPr>
          <w:color w:val="000000"/>
          <w:sz w:val="20"/>
          <w:szCs w:val="20"/>
        </w:rPr>
        <w:t xml:space="preserve"> Edición: cuatro calas en la historia del texto (con un elogio final a la segunda textualidad)”, Vittoria Martinetto “</w:t>
      </w:r>
      <w:r>
        <w:rPr>
          <w:color w:val="000000"/>
          <w:sz w:val="20"/>
          <w:szCs w:val="20"/>
        </w:rPr>
        <w:t xml:space="preserve">La vida inalcanzable. </w:t>
      </w:r>
      <w:r w:rsidRPr="00AF022D">
        <w:rPr>
          <w:color w:val="000000"/>
          <w:sz w:val="20"/>
          <w:szCs w:val="20"/>
        </w:rPr>
        <w:t xml:space="preserve">El tema del suicidio en los </w:t>
      </w:r>
      <w:r w:rsidRPr="00FC6065">
        <w:rPr>
          <w:i/>
          <w:color w:val="000000"/>
          <w:sz w:val="20"/>
          <w:szCs w:val="20"/>
        </w:rPr>
        <w:t>Diarios</w:t>
      </w:r>
      <w:r w:rsidRPr="00AF022D">
        <w:rPr>
          <w:color w:val="000000"/>
          <w:sz w:val="20"/>
          <w:szCs w:val="20"/>
        </w:rPr>
        <w:t xml:space="preserve"> de </w:t>
      </w:r>
      <w:r>
        <w:rPr>
          <w:color w:val="000000"/>
          <w:sz w:val="20"/>
          <w:szCs w:val="20"/>
        </w:rPr>
        <w:t xml:space="preserve">Alejandra </w:t>
      </w:r>
      <w:r w:rsidRPr="00AF022D">
        <w:rPr>
          <w:color w:val="000000"/>
          <w:sz w:val="20"/>
          <w:szCs w:val="20"/>
        </w:rPr>
        <w:t>Pizarnik”, José Muñoz</w:t>
      </w:r>
      <w:r>
        <w:rPr>
          <w:color w:val="000000"/>
          <w:sz w:val="20"/>
          <w:szCs w:val="20"/>
        </w:rPr>
        <w:t xml:space="preserve"> Rivas</w:t>
      </w:r>
      <w:r w:rsidRPr="00AF022D">
        <w:rPr>
          <w:color w:val="000000"/>
          <w:sz w:val="20"/>
          <w:szCs w:val="20"/>
        </w:rPr>
        <w:t xml:space="preserve"> “E</w:t>
      </w:r>
      <w:r>
        <w:rPr>
          <w:color w:val="000000"/>
          <w:sz w:val="20"/>
          <w:szCs w:val="20"/>
        </w:rPr>
        <w:t xml:space="preserve">dgar </w:t>
      </w:r>
      <w:r w:rsidRPr="00AF022D">
        <w:rPr>
          <w:color w:val="000000"/>
          <w:sz w:val="20"/>
          <w:szCs w:val="20"/>
        </w:rPr>
        <w:t>L</w:t>
      </w:r>
      <w:r>
        <w:rPr>
          <w:color w:val="000000"/>
          <w:sz w:val="20"/>
          <w:szCs w:val="20"/>
        </w:rPr>
        <w:t xml:space="preserve">ee </w:t>
      </w:r>
      <w:r w:rsidRPr="00AF022D">
        <w:rPr>
          <w:color w:val="000000"/>
          <w:sz w:val="20"/>
          <w:szCs w:val="20"/>
        </w:rPr>
        <w:t>M</w:t>
      </w:r>
      <w:r>
        <w:rPr>
          <w:color w:val="000000"/>
          <w:sz w:val="20"/>
          <w:szCs w:val="20"/>
        </w:rPr>
        <w:t>asters</w:t>
      </w:r>
      <w:r w:rsidRPr="00AF022D">
        <w:rPr>
          <w:color w:val="000000"/>
          <w:sz w:val="20"/>
          <w:szCs w:val="20"/>
        </w:rPr>
        <w:t xml:space="preserve"> en la teorización</w:t>
      </w:r>
      <w:r>
        <w:rPr>
          <w:color w:val="000000"/>
          <w:sz w:val="20"/>
          <w:szCs w:val="20"/>
        </w:rPr>
        <w:t xml:space="preserve"> poética e intelectual</w:t>
      </w:r>
      <w:r w:rsidRPr="00AF022D">
        <w:rPr>
          <w:color w:val="000000"/>
          <w:sz w:val="20"/>
          <w:szCs w:val="20"/>
        </w:rPr>
        <w:t xml:space="preserve"> de </w:t>
      </w:r>
      <w:r>
        <w:rPr>
          <w:color w:val="000000"/>
          <w:sz w:val="20"/>
          <w:szCs w:val="20"/>
        </w:rPr>
        <w:t xml:space="preserve">Cesare </w:t>
      </w:r>
      <w:r w:rsidRPr="00AF022D">
        <w:rPr>
          <w:color w:val="000000"/>
          <w:sz w:val="20"/>
          <w:szCs w:val="20"/>
        </w:rPr>
        <w:t xml:space="preserve">Pavese”, </w:t>
      </w:r>
      <w:r>
        <w:rPr>
          <w:color w:val="000000"/>
          <w:sz w:val="20"/>
          <w:szCs w:val="20"/>
        </w:rPr>
        <w:t>Vero</w:t>
      </w:r>
      <w:r w:rsidRPr="00D40C75">
        <w:rPr>
          <w:color w:val="000000"/>
          <w:sz w:val="20"/>
          <w:szCs w:val="20"/>
        </w:rPr>
        <w:t xml:space="preserve">nica Orazi “Sublimi mistificazioni. </w:t>
      </w:r>
      <w:r w:rsidRPr="00AF022D">
        <w:rPr>
          <w:color w:val="000000"/>
          <w:sz w:val="20"/>
          <w:szCs w:val="20"/>
        </w:rPr>
        <w:t>Max Aub</w:t>
      </w:r>
      <w:r>
        <w:rPr>
          <w:color w:val="000000"/>
          <w:sz w:val="20"/>
          <w:szCs w:val="20"/>
        </w:rPr>
        <w:t xml:space="preserve"> e la Academia Española</w:t>
      </w:r>
      <w:r w:rsidRPr="00AF022D">
        <w:rPr>
          <w:color w:val="000000"/>
          <w:sz w:val="20"/>
          <w:szCs w:val="20"/>
        </w:rPr>
        <w:t>”, Elisabetta Paltrinieri “Alcune cons</w:t>
      </w:r>
      <w:r>
        <w:rPr>
          <w:color w:val="000000"/>
          <w:sz w:val="20"/>
          <w:szCs w:val="20"/>
        </w:rPr>
        <w:t>iderazioni sull’importanza delle</w:t>
      </w:r>
      <w:r w:rsidRPr="00AF022D">
        <w:rPr>
          <w:color w:val="000000"/>
          <w:sz w:val="20"/>
          <w:szCs w:val="20"/>
        </w:rPr>
        <w:t xml:space="preserve"> cornic</w:t>
      </w:r>
      <w:r>
        <w:rPr>
          <w:color w:val="000000"/>
          <w:sz w:val="20"/>
          <w:szCs w:val="20"/>
        </w:rPr>
        <w:t>i</w:t>
      </w:r>
      <w:r w:rsidRPr="00AF022D">
        <w:rPr>
          <w:color w:val="000000"/>
          <w:sz w:val="20"/>
          <w:szCs w:val="20"/>
        </w:rPr>
        <w:t xml:space="preserve"> narrativ</w:t>
      </w:r>
      <w:r>
        <w:rPr>
          <w:color w:val="000000"/>
          <w:sz w:val="20"/>
          <w:szCs w:val="20"/>
        </w:rPr>
        <w:t>e</w:t>
      </w:r>
      <w:r w:rsidRPr="00AF022D">
        <w:rPr>
          <w:color w:val="000000"/>
          <w:sz w:val="20"/>
          <w:szCs w:val="20"/>
        </w:rPr>
        <w:t xml:space="preserve"> del </w:t>
      </w:r>
      <w:r w:rsidRPr="00AF022D">
        <w:rPr>
          <w:i/>
          <w:color w:val="000000"/>
          <w:sz w:val="20"/>
          <w:szCs w:val="20"/>
        </w:rPr>
        <w:t>Sendebar</w:t>
      </w:r>
      <w:r w:rsidRPr="00AF022D">
        <w:rPr>
          <w:color w:val="000000"/>
          <w:sz w:val="20"/>
          <w:szCs w:val="20"/>
        </w:rPr>
        <w:t xml:space="preserve"> e del </w:t>
      </w:r>
      <w:r w:rsidRPr="00AF022D">
        <w:rPr>
          <w:i/>
          <w:color w:val="000000"/>
          <w:sz w:val="20"/>
          <w:szCs w:val="20"/>
        </w:rPr>
        <w:t>Calila e Dimna</w:t>
      </w:r>
      <w:r w:rsidRPr="00AF022D">
        <w:rPr>
          <w:color w:val="000000"/>
          <w:sz w:val="20"/>
          <w:szCs w:val="20"/>
        </w:rPr>
        <w:t>”</w:t>
      </w:r>
      <w:r>
        <w:rPr>
          <w:color w:val="000000"/>
          <w:sz w:val="20"/>
          <w:szCs w:val="20"/>
        </w:rPr>
        <w:t xml:space="preserve">, Iole Scamuzzi “El concepto de diasistema en la edición de textos literarios para música, </w:t>
      </w:r>
      <w:r w:rsidRPr="00AF022D">
        <w:rPr>
          <w:color w:val="000000"/>
          <w:sz w:val="20"/>
          <w:szCs w:val="20"/>
        </w:rPr>
        <w:t>Selena Simonatti “</w:t>
      </w:r>
      <w:r w:rsidRPr="00FC6065">
        <w:rPr>
          <w:iCs/>
          <w:color w:val="000000"/>
          <w:sz w:val="20"/>
          <w:szCs w:val="20"/>
        </w:rPr>
        <w:t>Co</w:t>
      </w:r>
      <w:r>
        <w:rPr>
          <w:iCs/>
          <w:color w:val="000000"/>
          <w:sz w:val="20"/>
          <w:szCs w:val="20"/>
        </w:rPr>
        <w:t>rtesía caballeresca y heroísmo «</w:t>
      </w:r>
      <w:r w:rsidRPr="00FC6065">
        <w:rPr>
          <w:iCs/>
          <w:color w:val="000000"/>
          <w:sz w:val="20"/>
          <w:szCs w:val="20"/>
        </w:rPr>
        <w:t>humano</w:t>
      </w:r>
      <w:r>
        <w:rPr>
          <w:iCs/>
          <w:color w:val="000000"/>
          <w:sz w:val="20"/>
          <w:szCs w:val="20"/>
        </w:rPr>
        <w:t>»</w:t>
      </w:r>
      <w:r w:rsidRPr="00FC6065">
        <w:rPr>
          <w:iCs/>
          <w:color w:val="000000"/>
          <w:sz w:val="20"/>
          <w:szCs w:val="20"/>
        </w:rPr>
        <w:t xml:space="preserve"> en las</w:t>
      </w:r>
      <w:r w:rsidRPr="00FC6065">
        <w:rPr>
          <w:i/>
          <w:iCs/>
          <w:color w:val="000000"/>
          <w:sz w:val="20"/>
          <w:szCs w:val="20"/>
        </w:rPr>
        <w:t xml:space="preserve"> </w:t>
      </w:r>
      <w:r w:rsidRPr="00FC6065">
        <w:rPr>
          <w:i/>
          <w:color w:val="000000"/>
          <w:sz w:val="20"/>
          <w:szCs w:val="20"/>
        </w:rPr>
        <w:t>Crónicas</w:t>
      </w:r>
      <w:r w:rsidRPr="00AF022D">
        <w:rPr>
          <w:color w:val="000000"/>
          <w:sz w:val="20"/>
          <w:szCs w:val="20"/>
        </w:rPr>
        <w:t xml:space="preserve"> de Pero López de Ayala y Fernão Lopes”</w:t>
      </w:r>
      <w:r>
        <w:rPr>
          <w:color w:val="000000"/>
          <w:sz w:val="20"/>
          <w:szCs w:val="20"/>
        </w:rPr>
        <w:t xml:space="preserve">, </w:t>
      </w:r>
      <w:r w:rsidRPr="00AF022D">
        <w:rPr>
          <w:color w:val="000000"/>
          <w:sz w:val="20"/>
          <w:szCs w:val="20"/>
        </w:rPr>
        <w:t xml:space="preserve">Beatriz Sanz Alonso “La </w:t>
      </w:r>
      <w:r w:rsidRPr="00FC6065">
        <w:rPr>
          <w:i/>
          <w:color w:val="000000"/>
          <w:sz w:val="20"/>
          <w:szCs w:val="20"/>
        </w:rPr>
        <w:t>Relación de la cárcel de Sevilla</w:t>
      </w:r>
      <w:r>
        <w:rPr>
          <w:color w:val="000000"/>
          <w:sz w:val="20"/>
          <w:szCs w:val="20"/>
        </w:rPr>
        <w:t xml:space="preserve"> en los C</w:t>
      </w:r>
      <w:r w:rsidRPr="00AF022D">
        <w:rPr>
          <w:color w:val="000000"/>
          <w:sz w:val="20"/>
          <w:szCs w:val="20"/>
        </w:rPr>
        <w:t>omentarios de Duque de Estrada”</w:t>
      </w:r>
      <w:r>
        <w:rPr>
          <w:color w:val="000000"/>
          <w:sz w:val="20"/>
          <w:szCs w:val="20"/>
        </w:rPr>
        <w:t xml:space="preserve">, </w:t>
      </w:r>
      <w:r w:rsidRPr="00AF022D">
        <w:rPr>
          <w:color w:val="000000"/>
          <w:sz w:val="20"/>
          <w:szCs w:val="20"/>
        </w:rPr>
        <w:t xml:space="preserve">Maria Jesús Zamora “Los motivos de los cuentos intercalados en las </w:t>
      </w:r>
      <w:r w:rsidRPr="00AF022D">
        <w:rPr>
          <w:i/>
          <w:color w:val="000000"/>
          <w:sz w:val="20"/>
          <w:szCs w:val="20"/>
        </w:rPr>
        <w:t>Disquisiciones mágicas</w:t>
      </w:r>
      <w:r w:rsidRPr="00AF022D">
        <w:rPr>
          <w:color w:val="000000"/>
          <w:sz w:val="20"/>
          <w:szCs w:val="20"/>
        </w:rPr>
        <w:t xml:space="preserve"> de Martín del Río”.</w:t>
      </w:r>
      <w:r>
        <w:rPr>
          <w:color w:val="000000"/>
          <w:sz w:val="20"/>
          <w:szCs w:val="20"/>
        </w:rPr>
        <w:t xml:space="preserve"> Bibliografía general al cuidado de Daniela Capra</w:t>
      </w:r>
    </w:p>
    <w:p w:rsidR="00895584" w:rsidRPr="00AF022D" w:rsidRDefault="00895584" w:rsidP="00895584">
      <w:pPr>
        <w:jc w:val="both"/>
        <w:rPr>
          <w:sz w:val="20"/>
          <w:szCs w:val="20"/>
        </w:rPr>
      </w:pPr>
    </w:p>
    <w:p w:rsidR="00716BA7" w:rsidRDefault="00716BA7">
      <w:bookmarkStart w:id="0" w:name="_GoBack"/>
      <w:bookmarkEnd w:id="0"/>
    </w:p>
    <w:sectPr w:rsidR="00716BA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7008E623-8311-4AC3-B440-EC194C9B8A74}"/>
    <w:embedBold r:id="rId2" w:fontKey="{CBEA28AD-7AAF-459F-B6C7-3C87E8ED397F}"/>
    <w:embedItalic r:id="rId3" w:fontKey="{41266027-FBBE-4B06-B8A9-28A165131090}"/>
    <w:embedBoldItalic r:id="rId4" w:fontKey="{407203FA-63C7-4741-BD49-E79684E41F98}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oNotDisplayPageBoundaries/>
  <w:embedTrueTypeFonts/>
  <w:saveSubsetFont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584"/>
    <w:rsid w:val="00716BA7"/>
    <w:rsid w:val="00895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2E1F108-829A-41DA-A807-9A0ED3081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</dc:creator>
  <cp:keywords/>
  <dc:description/>
  <cp:lastModifiedBy>Daniela</cp:lastModifiedBy>
  <cp:revision>1</cp:revision>
  <dcterms:created xsi:type="dcterms:W3CDTF">2014-11-22T16:01:00Z</dcterms:created>
  <dcterms:modified xsi:type="dcterms:W3CDTF">2014-11-22T16:02:00Z</dcterms:modified>
</cp:coreProperties>
</file>