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5D4A95" w14:textId="77777777" w:rsidR="00523337" w:rsidRDefault="00043A66" w:rsidP="001F4828">
      <w:pPr>
        <w:jc w:val="center"/>
        <w:outlineLvl w:val="0"/>
        <w:rPr>
          <w:i/>
          <w:sz w:val="24"/>
        </w:rPr>
      </w:pPr>
      <w:r>
        <w:rPr>
          <w:i/>
          <w:iCs/>
          <w:sz w:val="24"/>
          <w:lang w:val="en-GB"/>
        </w:rPr>
        <w:t>Reformed mountains</w:t>
      </w:r>
    </w:p>
    <w:p w14:paraId="3602F9A4" w14:textId="77777777" w:rsidR="00523337" w:rsidRDefault="00523337" w:rsidP="001F4828">
      <w:pPr>
        <w:jc w:val="center"/>
        <w:outlineLvl w:val="0"/>
        <w:rPr>
          <w:i/>
          <w:sz w:val="24"/>
        </w:rPr>
      </w:pPr>
      <w:r>
        <w:rPr>
          <w:i/>
          <w:iCs/>
          <w:sz w:val="24"/>
          <w:lang w:val="en-GB"/>
        </w:rPr>
        <w:t>Social and religious control strategies in the Tusco-Emilian Apennines (16</w:t>
      </w:r>
      <w:r>
        <w:rPr>
          <w:i/>
          <w:iCs/>
          <w:sz w:val="24"/>
          <w:vertAlign w:val="superscript"/>
          <w:lang w:val="en-GB"/>
        </w:rPr>
        <w:t>th</w:t>
      </w:r>
      <w:r>
        <w:rPr>
          <w:i/>
          <w:iCs/>
          <w:sz w:val="24"/>
          <w:lang w:val="en-GB"/>
        </w:rPr>
        <w:t xml:space="preserve"> century)</w:t>
      </w:r>
    </w:p>
    <w:p w14:paraId="2B2FD54E" w14:textId="77777777" w:rsidR="00523337" w:rsidRPr="00523337" w:rsidRDefault="00523337" w:rsidP="00523337">
      <w:pPr>
        <w:jc w:val="center"/>
        <w:rPr>
          <w:i/>
          <w:sz w:val="24"/>
        </w:rPr>
      </w:pPr>
    </w:p>
    <w:p w14:paraId="6516EB2C" w14:textId="77777777" w:rsidR="00EB4E73" w:rsidRPr="00EB4E73" w:rsidRDefault="00477FD8" w:rsidP="001F4828">
      <w:pPr>
        <w:outlineLvl w:val="0"/>
        <w:rPr>
          <w:i/>
          <w:sz w:val="24"/>
        </w:rPr>
      </w:pPr>
      <w:r>
        <w:rPr>
          <w:i/>
          <w:iCs/>
          <w:sz w:val="24"/>
          <w:lang w:val="en-GB"/>
        </w:rPr>
        <w:t>1.</w:t>
      </w:r>
      <w:r>
        <w:rPr>
          <w:sz w:val="24"/>
          <w:lang w:val="en-GB"/>
        </w:rPr>
        <w:t xml:space="preserve"> </w:t>
      </w:r>
      <w:r>
        <w:rPr>
          <w:i/>
          <w:iCs/>
          <w:sz w:val="24"/>
          <w:lang w:val="en-GB"/>
        </w:rPr>
        <w:t>A land to be conquered</w:t>
      </w:r>
      <w:r>
        <w:rPr>
          <w:rStyle w:val="Rimandonotaapidipagina"/>
          <w:sz w:val="24"/>
          <w:lang w:val="en-GB"/>
        </w:rPr>
        <w:footnoteReference w:id="1"/>
      </w:r>
    </w:p>
    <w:p w14:paraId="3B48EF05" w14:textId="77777777" w:rsidR="00EB4E73" w:rsidRPr="00EB4E73" w:rsidRDefault="00EB4E73" w:rsidP="00900079">
      <w:pPr>
        <w:rPr>
          <w:i/>
          <w:sz w:val="24"/>
          <w:highlight w:val="green"/>
        </w:rPr>
      </w:pPr>
    </w:p>
    <w:p w14:paraId="78066C34" w14:textId="77777777" w:rsidR="007255AC" w:rsidRPr="007C56D8" w:rsidRDefault="007255AC" w:rsidP="00EB4E73">
      <w:pPr>
        <w:jc w:val="both"/>
        <w:rPr>
          <w:sz w:val="24"/>
        </w:rPr>
      </w:pPr>
      <w:r>
        <w:rPr>
          <w:sz w:val="24"/>
          <w:lang w:val="en-GB"/>
        </w:rPr>
        <w:t>When in 1949 Fernand Braudel wrestled with defining exactly what was meant by the Mediterranean, he decided that it was best described as a sea surrounded by mountains. The orography and geology of the region appeared to back him up. Nonetheless, this opened up another problem: what were the mountains? Rejecting altimetric explanations, to clarify what made mountain areas different from others the French historian deemed it necessary to consider the question from a socio-political perspective: mountain areas, at least in the modern age, were “proletarian reserves”, generally poor regions in which the apparatus of the State (justice, taxation, militia, etc.), struggled to take root. Mountains “resist[ed] the march of history”, remaining to all intents and purposes a “world apart from civilisations, which are an urban and lowland achievement”</w:t>
      </w:r>
      <w:r>
        <w:rPr>
          <w:rStyle w:val="Rimandonotaapidipagina"/>
          <w:sz w:val="24"/>
          <w:lang w:val="en-GB"/>
        </w:rPr>
        <w:footnoteReference w:id="2"/>
      </w:r>
      <w:r>
        <w:rPr>
          <w:sz w:val="24"/>
          <w:lang w:val="en-GB"/>
        </w:rPr>
        <w:t>. Braudel’s analysis confirmed the notion of the backward nature of the mountain habitat</w:t>
      </w:r>
      <w:r>
        <w:rPr>
          <w:i/>
          <w:iCs/>
          <w:sz w:val="24"/>
          <w:lang w:val="en-GB"/>
        </w:rPr>
        <w:t xml:space="preserve"> </w:t>
      </w:r>
      <w:r>
        <w:rPr>
          <w:sz w:val="24"/>
          <w:lang w:val="en-GB"/>
        </w:rPr>
        <w:t>compared to the advanced and widespread civilisation of urban and neighbouring areas.</w:t>
      </w:r>
    </w:p>
    <w:p w14:paraId="2971FB7B" w14:textId="77777777" w:rsidR="00A02CF0" w:rsidRDefault="004A0D45" w:rsidP="00EB4E73">
      <w:pPr>
        <w:jc w:val="both"/>
        <w:rPr>
          <w:sz w:val="24"/>
        </w:rPr>
      </w:pPr>
      <w:r>
        <w:rPr>
          <w:sz w:val="24"/>
          <w:lang w:val="en-GB"/>
        </w:rPr>
        <w:t xml:space="preserve">And the mountains refused to bow not only to the canons of “modernity” imposed by secular authorities: churches too, the Roman Catholic Church first and foremost, identified scant Christianisation in mountain areas, a fact deemed all the more serious when, in the mid sixteenth century, attempts were made to restore codified religious practice based on increasingly specific principles. For the Catholic Church, striving to apply the prescriptions of the Council of Trent and driven by a universalist vision, mountain areas were an unavoidable challenge and, on many levels, a chance to reassert its own ability to have an effective bearing on the social fabric of the day. To Christianise mountain populations, bishops resorted to tools such as synods and, above all, pastoral visits; religious orders played their part with intensive missions and preaching and, finally, the Roman authorities also intervened, indirectly or directly, through </w:t>
      </w:r>
      <w:r>
        <w:rPr>
          <w:i/>
          <w:iCs/>
          <w:sz w:val="24"/>
          <w:lang w:val="en-GB"/>
        </w:rPr>
        <w:t>ad limina</w:t>
      </w:r>
      <w:r>
        <w:rPr>
          <w:sz w:val="24"/>
          <w:lang w:val="en-GB"/>
        </w:rPr>
        <w:t xml:space="preserve"> visits – periodical reports by the bishops to the Holy See – and apostolic visitations.</w:t>
      </w:r>
    </w:p>
    <w:p w14:paraId="14C96970" w14:textId="77777777" w:rsidR="00EB4E73" w:rsidRPr="00EB4E73" w:rsidRDefault="00C012EF" w:rsidP="00EB4E73">
      <w:pPr>
        <w:jc w:val="both"/>
        <w:rPr>
          <w:sz w:val="24"/>
        </w:rPr>
      </w:pPr>
      <w:r>
        <w:rPr>
          <w:sz w:val="24"/>
          <w:lang w:val="en-GB"/>
        </w:rPr>
        <w:t>To better understand the dynamics of this religious “conquest”, the pursued objectives and the prevailing attitudes and ideas with regard to the mountains, we shall examine the case of the Tusco-Emilian Apennines and, in particular, the area – mentioned by Braudel himself – encompassing Lunigiana, Garfagnana and the districts of Modena and Reggio Emilia. It is an interesting area as it shared borders with different political contexts (the Republic of Lucca, the Duchy of Tuscany and the Este state), and also because it represented a major crossroads for trade and human capital, criss-crossed as it was by many transportation routes.</w:t>
      </w:r>
    </w:p>
    <w:p w14:paraId="0DDEB9AB" w14:textId="77777777" w:rsidR="006D4EB4" w:rsidRDefault="006D4EB4">
      <w:pPr>
        <w:rPr>
          <w:sz w:val="24"/>
        </w:rPr>
      </w:pPr>
    </w:p>
    <w:p w14:paraId="34858FA4" w14:textId="77777777" w:rsidR="00ED7118" w:rsidRDefault="00477FD8" w:rsidP="001F4828">
      <w:pPr>
        <w:outlineLvl w:val="0"/>
        <w:rPr>
          <w:i/>
          <w:sz w:val="24"/>
        </w:rPr>
      </w:pPr>
      <w:r>
        <w:rPr>
          <w:i/>
          <w:iCs/>
          <w:sz w:val="24"/>
          <w:lang w:val="en-GB"/>
        </w:rPr>
        <w:t xml:space="preserve">2. Peacemaking in the mountains: the mission of </w:t>
      </w:r>
      <w:proofErr w:type="spellStart"/>
      <w:r>
        <w:rPr>
          <w:i/>
          <w:iCs/>
          <w:sz w:val="24"/>
          <w:lang w:val="en-GB"/>
        </w:rPr>
        <w:t>Silvestro</w:t>
      </w:r>
      <w:proofErr w:type="spellEnd"/>
      <w:r>
        <w:rPr>
          <w:i/>
          <w:iCs/>
          <w:sz w:val="24"/>
          <w:lang w:val="en-GB"/>
        </w:rPr>
        <w:t xml:space="preserve"> </w:t>
      </w:r>
      <w:proofErr w:type="spellStart"/>
      <w:r>
        <w:rPr>
          <w:i/>
          <w:iCs/>
          <w:sz w:val="24"/>
          <w:lang w:val="en-GB"/>
        </w:rPr>
        <w:t>Landini</w:t>
      </w:r>
      <w:proofErr w:type="spellEnd"/>
    </w:p>
    <w:p w14:paraId="02E45B1A" w14:textId="77777777" w:rsidR="00ED7118" w:rsidRDefault="00ED7118">
      <w:pPr>
        <w:rPr>
          <w:sz w:val="24"/>
        </w:rPr>
      </w:pPr>
    </w:p>
    <w:p w14:paraId="0D87A3BA" w14:textId="77777777" w:rsidR="00852350" w:rsidRPr="001C681F" w:rsidRDefault="00ED7118" w:rsidP="00C55B8A">
      <w:pPr>
        <w:jc w:val="both"/>
        <w:rPr>
          <w:sz w:val="24"/>
        </w:rPr>
      </w:pPr>
      <w:r>
        <w:rPr>
          <w:sz w:val="24"/>
          <w:lang w:val="en-GB"/>
        </w:rPr>
        <w:lastRenderedPageBreak/>
        <w:t>The first, and perhaps most pressing type of intervention that the religious authorities tackled was that of establishing peace in the mountains. As we know, the situation in mountain and foothill areas was especially complex and characterised by a high level of conflict</w:t>
      </w:r>
      <w:r>
        <w:rPr>
          <w:rStyle w:val="Rimandonotaapidipagina"/>
          <w:sz w:val="24"/>
          <w:lang w:val="en-GB"/>
        </w:rPr>
        <w:footnoteReference w:id="3"/>
      </w:r>
      <w:r>
        <w:rPr>
          <w:sz w:val="24"/>
          <w:lang w:val="en-GB"/>
        </w:rPr>
        <w:t xml:space="preserve">. Before any interventions attempting to impose a programme of religious reform, it was vital to restore social order and, in many cases, take back effective control of the territory. </w:t>
      </w:r>
    </w:p>
    <w:p w14:paraId="27A0E1A7" w14:textId="77777777" w:rsidR="00ED7118" w:rsidRPr="001C681F" w:rsidRDefault="00852350" w:rsidP="00C55B8A">
      <w:pPr>
        <w:jc w:val="both"/>
        <w:rPr>
          <w:sz w:val="24"/>
        </w:rPr>
      </w:pPr>
      <w:r>
        <w:rPr>
          <w:sz w:val="24"/>
          <w:lang w:val="en-GB"/>
        </w:rPr>
        <w:t>One of the key protagonists in this regard was the Jesuit missionary, Silvestro Landini, who while living in the Tusco-Emilian Apennines devoted great energy to peacemaking in many hamlets and villages that were torn apart by family feuds and conflicts.</w:t>
      </w:r>
    </w:p>
    <w:p w14:paraId="61FD8E4B" w14:textId="77777777" w:rsidR="001C681F" w:rsidRDefault="001C681F" w:rsidP="00C55B8A">
      <w:pPr>
        <w:jc w:val="both"/>
        <w:rPr>
          <w:rFonts w:cs="Helvetica"/>
          <w:sz w:val="24"/>
        </w:rPr>
      </w:pPr>
      <w:r>
        <w:rPr>
          <w:rFonts w:cs="Helvetica"/>
          <w:sz w:val="24"/>
          <w:lang w:val="en-GB"/>
        </w:rPr>
        <w:t>Born in 1503 in Val di Magra into a family in the service of the Malaspinas, he was ordained a priest in 1527. After meeting the Jesuits Pierre Favre and Diego Laínez in Parma, he travelled to Rome and served his novitiate under Ignatius of Loyola who, perhaps considering him unsuited, ordered him to return home. There his missionary skills came to the fore and, in the space of just a few years, his calling took him to Corsica, where he died in 1554 while working to evangelize the island</w:t>
      </w:r>
      <w:r>
        <w:rPr>
          <w:rStyle w:val="Rimandonotaapidipagina"/>
          <w:rFonts w:cs="Helvetica"/>
          <w:sz w:val="24"/>
          <w:lang w:val="en-GB"/>
        </w:rPr>
        <w:footnoteReference w:id="4"/>
      </w:r>
      <w:r>
        <w:rPr>
          <w:rFonts w:cs="Helvetica"/>
          <w:sz w:val="24"/>
          <w:lang w:val="en-GB"/>
        </w:rPr>
        <w:t xml:space="preserve">. </w:t>
      </w:r>
    </w:p>
    <w:p w14:paraId="5748D027" w14:textId="77777777" w:rsidR="00BD715E" w:rsidRDefault="00E613D4" w:rsidP="00C55B8A">
      <w:pPr>
        <w:jc w:val="both"/>
        <w:rPr>
          <w:sz w:val="24"/>
        </w:rPr>
      </w:pPr>
      <w:r>
        <w:rPr>
          <w:sz w:val="24"/>
          <w:lang w:val="en-GB"/>
        </w:rPr>
        <w:t>His experience began, as we mentioned, in his native hamlet of Malgrate in the region of Lunigiana</w:t>
      </w:r>
      <w:r>
        <w:rPr>
          <w:rStyle w:val="Rimandonotaapidipagina"/>
          <w:sz w:val="24"/>
          <w:lang w:val="en-GB"/>
        </w:rPr>
        <w:footnoteReference w:id="5"/>
      </w:r>
      <w:r>
        <w:rPr>
          <w:sz w:val="24"/>
          <w:lang w:val="en-GB"/>
        </w:rPr>
        <w:t>. On 8</w:t>
      </w:r>
      <w:r>
        <w:rPr>
          <w:sz w:val="24"/>
          <w:vertAlign w:val="superscript"/>
          <w:lang w:val="en-GB"/>
        </w:rPr>
        <w:t xml:space="preserve">th </w:t>
      </w:r>
      <w:r>
        <w:rPr>
          <w:sz w:val="24"/>
          <w:lang w:val="en-GB"/>
        </w:rPr>
        <w:t>September 1547, Landini wrote to Ignatius, reporting the results he had achieved by preaching in over twenty villages across the region</w:t>
      </w:r>
      <w:r>
        <w:rPr>
          <w:rStyle w:val="Rimandonotaapidipagina"/>
          <w:sz w:val="24"/>
          <w:lang w:val="en-GB"/>
        </w:rPr>
        <w:footnoteReference w:id="6"/>
      </w:r>
      <w:r>
        <w:rPr>
          <w:sz w:val="24"/>
          <w:lang w:val="en-GB"/>
        </w:rPr>
        <w:t xml:space="preserve">. In the town’s outlying areas he had read and explained the </w:t>
      </w:r>
      <w:r>
        <w:rPr>
          <w:i/>
          <w:iCs/>
          <w:sz w:val="24"/>
          <w:lang w:val="en-GB"/>
        </w:rPr>
        <w:t xml:space="preserve">Summa </w:t>
      </w:r>
      <w:r>
        <w:rPr>
          <w:sz w:val="24"/>
          <w:lang w:val="en-GB"/>
        </w:rPr>
        <w:t>of St. Thomas to the local clergy, and promoted confession and communion to the population, using the two sacraments as a tool of social reconciliation</w:t>
      </w:r>
      <w:r>
        <w:rPr>
          <w:rStyle w:val="Rimandonotaapidipagina"/>
          <w:sz w:val="24"/>
          <w:lang w:val="en-GB"/>
        </w:rPr>
        <w:footnoteReference w:id="7"/>
      </w:r>
      <w:r>
        <w:rPr>
          <w:sz w:val="24"/>
          <w:lang w:val="en-GB"/>
        </w:rPr>
        <w:t xml:space="preserve">. </w:t>
      </w:r>
    </w:p>
    <w:p w14:paraId="1F663A24" w14:textId="77777777" w:rsidR="007C442C" w:rsidRDefault="007C442C" w:rsidP="00C55B8A">
      <w:pPr>
        <w:jc w:val="both"/>
        <w:rPr>
          <w:sz w:val="24"/>
        </w:rPr>
      </w:pPr>
      <w:r>
        <w:rPr>
          <w:sz w:val="24"/>
          <w:lang w:val="en-GB"/>
        </w:rPr>
        <w:t>Landini’s report already alluded to the two fundamental elements around which he would build his method: intervention at clergy level to heighten its morality and re-establish a presidium to protect communities; the reinstatement of Christian practice among lay people through the promotion of the sacraments and encouragement of confraternities</w:t>
      </w:r>
      <w:r>
        <w:rPr>
          <w:rStyle w:val="Rimandonotaapidipagina"/>
          <w:sz w:val="24"/>
          <w:lang w:val="en-GB"/>
        </w:rPr>
        <w:footnoteReference w:id="8"/>
      </w:r>
      <w:r>
        <w:rPr>
          <w:sz w:val="24"/>
          <w:lang w:val="en-GB"/>
        </w:rPr>
        <w:t>. Soon afterwards, a third tool was added: the establishment of a judiciary to settle conflicts and, to some degree, prevent them arising.</w:t>
      </w:r>
    </w:p>
    <w:p w14:paraId="2FD145FB" w14:textId="77777777" w:rsidR="00A161BB" w:rsidRDefault="00BD715E" w:rsidP="00BD715E">
      <w:pPr>
        <w:jc w:val="both"/>
        <w:rPr>
          <w:sz w:val="24"/>
        </w:rPr>
      </w:pPr>
      <w:r>
        <w:rPr>
          <w:sz w:val="24"/>
          <w:lang w:val="en-GB"/>
        </w:rPr>
        <w:t>The positive effects of Landini’s intervention were acknowledged first of all by the political authorities, constantly seeking men and means that might give them the wherewithal to re</w:t>
      </w:r>
      <w:r w:rsidR="004A4256">
        <w:rPr>
          <w:sz w:val="24"/>
          <w:lang w:val="en-GB"/>
        </w:rPr>
        <w:t xml:space="preserve">gain control of the territory. </w:t>
      </w:r>
      <w:proofErr w:type="spellStart"/>
      <w:r>
        <w:rPr>
          <w:sz w:val="24"/>
          <w:lang w:val="en-GB"/>
        </w:rPr>
        <w:t>Baldassarre</w:t>
      </w:r>
      <w:proofErr w:type="spellEnd"/>
      <w:r>
        <w:rPr>
          <w:sz w:val="24"/>
          <w:lang w:val="en-GB"/>
        </w:rPr>
        <w:t xml:space="preserve"> </w:t>
      </w:r>
      <w:proofErr w:type="spellStart"/>
      <w:r>
        <w:rPr>
          <w:sz w:val="24"/>
          <w:lang w:val="en-GB"/>
        </w:rPr>
        <w:t>Turiano</w:t>
      </w:r>
      <w:proofErr w:type="spellEnd"/>
      <w:r>
        <w:rPr>
          <w:sz w:val="24"/>
          <w:lang w:val="en-GB"/>
        </w:rPr>
        <w:t xml:space="preserve">, </w:t>
      </w:r>
      <w:proofErr w:type="spellStart"/>
      <w:r>
        <w:rPr>
          <w:sz w:val="24"/>
          <w:lang w:val="en-GB"/>
        </w:rPr>
        <w:t>podestà</w:t>
      </w:r>
      <w:proofErr w:type="spellEnd"/>
      <w:r>
        <w:rPr>
          <w:sz w:val="24"/>
          <w:lang w:val="en-GB"/>
        </w:rPr>
        <w:t xml:space="preserve"> of Castiglione del Terziere, in the heart of Lunigiana, implored the general of the Society of Jesus to allow him to keep father Silvestro in his village. The missionary’s work, he explained, had been vital in restoring peace to a land scarred by bitter infighting. The long list of merits detailed by the podestà left no room for doubt. Landini had brought improvements at every social level: he had restored harmony within family groups, between fellow townspeople, between neighbouring villages and parties guilty of heinous crimes. In addition to this, as in Malgrate, he had appealed to the clergy, leading a number of “wandering” monks back to their convents</w:t>
      </w:r>
      <w:r>
        <w:rPr>
          <w:rStyle w:val="Rimandonotaapidipagina"/>
          <w:sz w:val="24"/>
          <w:lang w:val="en-GB"/>
        </w:rPr>
        <w:footnoteReference w:id="9"/>
      </w:r>
      <w:r>
        <w:rPr>
          <w:sz w:val="24"/>
          <w:lang w:val="en-GB"/>
        </w:rPr>
        <w:t xml:space="preserve">. </w:t>
      </w:r>
    </w:p>
    <w:p w14:paraId="0A766BEE" w14:textId="77777777" w:rsidR="0091241D" w:rsidRDefault="008C670A" w:rsidP="00385DF5">
      <w:pPr>
        <w:jc w:val="both"/>
        <w:rPr>
          <w:sz w:val="24"/>
        </w:rPr>
      </w:pPr>
      <w:r>
        <w:rPr>
          <w:sz w:val="24"/>
          <w:lang w:val="en-GB"/>
        </w:rPr>
        <w:t>However, the Jesuit’s good work did not meet with universal approval. While plenty of priests had welcomed Landini with enthusiasm</w:t>
      </w:r>
      <w:r>
        <w:rPr>
          <w:rStyle w:val="Rimandonotaapidipagina"/>
          <w:sz w:val="24"/>
          <w:lang w:val="en-GB"/>
        </w:rPr>
        <w:footnoteReference w:id="10"/>
      </w:r>
      <w:r>
        <w:rPr>
          <w:sz w:val="24"/>
          <w:lang w:val="en-GB"/>
        </w:rPr>
        <w:t>, others were ready to do whatever was necessary to stop him from upsetting a carefully constructed balance. In many places, priests were actively involved in local feuds and resorted to blatantly threatening father Silvestro, warning him to desist from him mission. As he revealed to Juan de Polanco, secretary of the Society, priests in various villages had insulted him (“wicked traitor, we shall gouge your eyes out”), swearing to do whatever it took to prevent the taking of communion from becoming a regular practice among the people (“you believe you will be able to impose this rule [...] that one must take communion? you will never have the strength!”)</w:t>
      </w:r>
      <w:r>
        <w:rPr>
          <w:rStyle w:val="Rimandonotaapidipagina"/>
          <w:sz w:val="24"/>
          <w:lang w:val="en-GB"/>
        </w:rPr>
        <w:footnoteReference w:id="11"/>
      </w:r>
      <w:r>
        <w:rPr>
          <w:sz w:val="24"/>
          <w:lang w:val="en-GB"/>
        </w:rPr>
        <w:t>.</w:t>
      </w:r>
    </w:p>
    <w:p w14:paraId="7C173058" w14:textId="77777777" w:rsidR="002E10DF" w:rsidRDefault="00F52014" w:rsidP="00C55B8A">
      <w:pPr>
        <w:jc w:val="both"/>
        <w:rPr>
          <w:sz w:val="24"/>
        </w:rPr>
      </w:pPr>
      <w:r>
        <w:rPr>
          <w:sz w:val="24"/>
          <w:lang w:val="en-GB"/>
        </w:rPr>
        <w:t>In addition to opposition from various members of the clergy, the chaos and abandonment that prevailed in vast swathes of the mountains were further compounded by the spread of heterodox contestation. In the winter of 1547 - 1548, on travelling the length and breadth of the region (Gragnana, Filattiera, Orturano, Mocrone, Sarzana, Casola, Fivizzano, etc.), Landini realised the gravity of the situation: alongside problems of a social nature, he saw how the Tusco-Emilian Apennines were greatly influenced by the nearby city of Lucca, where reformation ideas had been largely embraced</w:t>
      </w:r>
      <w:r>
        <w:rPr>
          <w:rStyle w:val="Rimandonotaapidipagina"/>
          <w:sz w:val="24"/>
          <w:lang w:val="en-GB"/>
        </w:rPr>
        <w:footnoteReference w:id="12"/>
      </w:r>
      <w:r>
        <w:rPr>
          <w:sz w:val="24"/>
          <w:lang w:val="en-GB"/>
        </w:rPr>
        <w:t>. The situation with the clergy and its opposition to Landini were in all likelihood amplified and, at least to a certain extent, fuelled by the anti-Roman sentiment that was rife among the population and had swayed many priests. According to the Jesuit’s account, heretics had persuaded numerous clerics to take a wife and they publicly professed that it was right and good for priests to have children and mistresses. They despised the sacraments of the Church and, in dismissing the Eucharist as “a morsel of bread”, they displayed a Zwinglian symbolism that favoured the scant regard in which consecrated hosts were held (many churches had not had communion hosts in over thirty years!)</w:t>
      </w:r>
      <w:r>
        <w:rPr>
          <w:rStyle w:val="Rimandonotaapidipagina"/>
          <w:sz w:val="24"/>
          <w:lang w:val="en-GB"/>
        </w:rPr>
        <w:footnoteReference w:id="13"/>
      </w:r>
      <w:r>
        <w:rPr>
          <w:sz w:val="24"/>
          <w:lang w:val="en-GB"/>
        </w:rPr>
        <w:t xml:space="preserve">. The disintegration of the social fabric that Landini encountered was also exacerbated by the spread of religious contestation that did not hesitate to kindle malcontent and often resorted to incitement. </w:t>
      </w:r>
    </w:p>
    <w:p w14:paraId="20A6AA97" w14:textId="77777777" w:rsidR="00650964" w:rsidRDefault="002E10DF" w:rsidP="00C55B8A">
      <w:pPr>
        <w:jc w:val="both"/>
        <w:rPr>
          <w:sz w:val="24"/>
        </w:rPr>
      </w:pPr>
      <w:r>
        <w:rPr>
          <w:sz w:val="24"/>
          <w:lang w:val="en-GB"/>
        </w:rPr>
        <w:t xml:space="preserve">It is therefore easy to understand why the Jesuit, faced with such a complex state of affairs, was in favour of reconciling communities by reaffirming Catholic orthodoxy, striving to exploit the latter’s “stabilising” effect in relation to possible assent and openness to pro-reform contestation among the lower and working classes and a floundering clergy. </w:t>
      </w:r>
    </w:p>
    <w:p w14:paraId="34EB17D5" w14:textId="77777777" w:rsidR="00FD0403" w:rsidRDefault="00D34455" w:rsidP="00C55B8A">
      <w:pPr>
        <w:jc w:val="both"/>
        <w:rPr>
          <w:sz w:val="24"/>
        </w:rPr>
      </w:pPr>
      <w:r>
        <w:rPr>
          <w:sz w:val="24"/>
          <w:lang w:val="en-GB"/>
        </w:rPr>
        <w:t xml:space="preserve">Within this framework, the symbolic pinnacle of Landini’s ministry came in the Este-ruled Garfagnana. Here again in a mountain setting, in Careggine, two separate factions had been at loggerheads for years. Almost fifty people had lost their lives in the clashes, and the intervention of the dukes of Ferrara, who ruled over the area, had proved ineffectual. </w:t>
      </w:r>
    </w:p>
    <w:p w14:paraId="39FE09F7" w14:textId="77777777" w:rsidR="00556A61" w:rsidRDefault="00F84C33" w:rsidP="00C55B8A">
      <w:pPr>
        <w:jc w:val="both"/>
        <w:rPr>
          <w:sz w:val="24"/>
        </w:rPr>
      </w:pPr>
      <w:r>
        <w:rPr>
          <w:sz w:val="24"/>
          <w:lang w:val="en-GB"/>
        </w:rPr>
        <w:t>In July 1549, amid the discontent of the faction leaders, Landini arrived in town and began preaching. In just a matter of days the whole climate changed and the leaders of the warring factions themselves confessed, won over by the Jesuit’s words.</w:t>
      </w:r>
      <w:r>
        <w:rPr>
          <w:i/>
          <w:iCs/>
          <w:sz w:val="24"/>
          <w:lang w:val="en-GB"/>
        </w:rPr>
        <w:t xml:space="preserve"> </w:t>
      </w:r>
      <w:r>
        <w:rPr>
          <w:sz w:val="24"/>
          <w:lang w:val="en-GB"/>
        </w:rPr>
        <w:t>On his bidding, they embraced publicly and, together with their supporters, they laid down their weapons</w:t>
      </w:r>
      <w:r>
        <w:rPr>
          <w:rStyle w:val="Rimandonotaapidipagina"/>
          <w:sz w:val="24"/>
          <w:lang w:val="en-GB"/>
        </w:rPr>
        <w:footnoteReference w:id="14"/>
      </w:r>
      <w:r>
        <w:rPr>
          <w:sz w:val="24"/>
          <w:lang w:val="en-GB"/>
        </w:rPr>
        <w:t>. In the wake of that peace, a sort of judiciary was set up, entrusted with settling any future disputes and therefore preventing hostilities from worsening again. Apart from subsequent accounts that related the event in heroic and miraculous tones, in the eyes of contemporaries, the peace of Careggine must have seemed a truly extraordinary happening and it triggered an emulative effect in nearby towns (“countless municipalities, castles, men, moguls and other people too have also decided that they want to make peace”, a priest from Casola wrote to Ignatius</w:t>
      </w:r>
      <w:r>
        <w:rPr>
          <w:rStyle w:val="Rimandonotaapidipagina"/>
          <w:sz w:val="24"/>
          <w:lang w:val="en-GB"/>
        </w:rPr>
        <w:footnoteReference w:id="15"/>
      </w:r>
      <w:r>
        <w:rPr>
          <w:sz w:val="24"/>
          <w:lang w:val="en-GB"/>
        </w:rPr>
        <w:t xml:space="preserve">). </w:t>
      </w:r>
    </w:p>
    <w:p w14:paraId="61D11C6C" w14:textId="77777777" w:rsidR="000A0282" w:rsidRDefault="00E338F2" w:rsidP="00C55B8A">
      <w:pPr>
        <w:jc w:val="both"/>
        <w:rPr>
          <w:sz w:val="24"/>
        </w:rPr>
      </w:pPr>
      <w:r>
        <w:rPr>
          <w:sz w:val="24"/>
          <w:lang w:val="en-GB"/>
        </w:rPr>
        <w:t xml:space="preserve">Following those events, Loyola and many bishops and princes began to view Landini differently. Soon the Jesuit would be asked to take up the arduous challenge of a mission in Corsica (a land that was doubly “wild” as it was both an island, and at the same time, mountainous): first of all, however, he moved to the other side of the Apennines, into the Modena territory, seeking to bring about there, too, the peace that appeared to flourish upon his presence. </w:t>
      </w:r>
    </w:p>
    <w:p w14:paraId="2E3C5751" w14:textId="77777777" w:rsidR="000A0282" w:rsidRDefault="0079150F" w:rsidP="00C55B8A">
      <w:pPr>
        <w:jc w:val="both"/>
        <w:rPr>
          <w:sz w:val="24"/>
        </w:rPr>
      </w:pPr>
      <w:r>
        <w:rPr>
          <w:sz w:val="24"/>
          <w:lang w:val="en-GB"/>
        </w:rPr>
        <w:t>On reaching Modena in May 1550, he began a vast cycle of preaching that took him to one hundred and forty towns, hamlets and villages. It immediately became apparent to Landini that the mountain region was torn apart by the fierce battle between the opposing factions of the d’Amorotto and Tanari families</w:t>
      </w:r>
      <w:r>
        <w:rPr>
          <w:rStyle w:val="Rimandonotaapidipagina"/>
          <w:sz w:val="24"/>
          <w:lang w:val="en-GB"/>
        </w:rPr>
        <w:footnoteReference w:id="16"/>
      </w:r>
      <w:r>
        <w:rPr>
          <w:sz w:val="24"/>
          <w:lang w:val="en-GB"/>
        </w:rPr>
        <w:t>. As in the past, Landini settled the feuds he encountered in the various villages. On 29</w:t>
      </w:r>
      <w:r>
        <w:rPr>
          <w:sz w:val="24"/>
          <w:vertAlign w:val="superscript"/>
          <w:lang w:val="en-GB"/>
        </w:rPr>
        <w:t>th</w:t>
      </w:r>
      <w:r>
        <w:rPr>
          <w:sz w:val="24"/>
          <w:lang w:val="en-GB"/>
        </w:rPr>
        <w:t xml:space="preserve"> May 1551, writing to update Ignatius, he recalled how, in the hamlets visited, he had made fruitful recourse once again to the usual measures, including the establishment of officials in charge of peace in the community, the method tried and tested successfully at Careggine: “we appointed two principled men for each village, to settle the numerous disputes”. He had achieved peace between neighbouring villages, as in Garfagnana and Lunigiana: thanks to him, the towns of Castelnuovo and Fogliano, in the foothill area, had become reconciled, as had the nearby San Dalmazio and Levizzano</w:t>
      </w:r>
      <w:r>
        <w:rPr>
          <w:rStyle w:val="Rimandonotaapidipagina"/>
          <w:sz w:val="24"/>
          <w:lang w:val="en-GB"/>
        </w:rPr>
        <w:footnoteReference w:id="17"/>
      </w:r>
      <w:r>
        <w:rPr>
          <w:sz w:val="24"/>
          <w:lang w:val="en-GB"/>
        </w:rPr>
        <w:t>. A few days later, setting off for Roccapelago, in the heart of the Modenese Apennines, he confirmed that he had appointed, as standard, “two men for each village, to settle differences”</w:t>
      </w:r>
      <w:r>
        <w:rPr>
          <w:rStyle w:val="Rimandonotaapidipagina"/>
          <w:sz w:val="24"/>
          <w:lang w:val="en-GB"/>
        </w:rPr>
        <w:footnoteReference w:id="18"/>
      </w:r>
      <w:r>
        <w:rPr>
          <w:sz w:val="24"/>
          <w:lang w:val="en-GB"/>
        </w:rPr>
        <w:t xml:space="preserve">. In short, by the time he reached Modena, Landini already had a tried-and-tested method (which he would go on to use and indeed refine in Corsica) and he succeeded in obtaining remarkable results, healing apparently irreparable social divisions. </w:t>
      </w:r>
    </w:p>
    <w:p w14:paraId="5BEE9079" w14:textId="77777777" w:rsidR="002731C1" w:rsidRDefault="00961976" w:rsidP="00C55B8A">
      <w:pPr>
        <w:jc w:val="both"/>
        <w:rPr>
          <w:sz w:val="24"/>
        </w:rPr>
      </w:pPr>
      <w:r>
        <w:rPr>
          <w:sz w:val="24"/>
          <w:lang w:val="en-GB"/>
        </w:rPr>
        <w:t>Great swathes of the Este-ruled Apennines benefitted from his visits between 1549 and 1551, and his ability to reconcile enemies would become the main character trait described in propaganda by the Society. Although Landini’s preaching had strong anti-heretical overtones and, in all likelihood, was not immune to the controlling force of illustrious exponents of the Holy Office</w:t>
      </w:r>
      <w:r>
        <w:rPr>
          <w:rStyle w:val="Rimandonotaapidipagina"/>
          <w:sz w:val="24"/>
          <w:lang w:val="en-GB"/>
        </w:rPr>
        <w:footnoteReference w:id="19"/>
      </w:r>
      <w:r>
        <w:rPr>
          <w:sz w:val="24"/>
          <w:lang w:val="en-GB"/>
        </w:rPr>
        <w:t>, he was “branded” the ideal model of internal missions. He was extolled for his ability to educate mountain populations, sometimes described almost as savages, and to restore religious practice by spreading the word and through personal example</w:t>
      </w:r>
      <w:r>
        <w:rPr>
          <w:rStyle w:val="Rimandonotaapidipagina"/>
          <w:sz w:val="24"/>
          <w:lang w:val="en-GB"/>
        </w:rPr>
        <w:footnoteReference w:id="20"/>
      </w:r>
      <w:r>
        <w:rPr>
          <w:sz w:val="24"/>
          <w:lang w:val="en-GB"/>
        </w:rPr>
        <w:t xml:space="preserve">. </w:t>
      </w:r>
    </w:p>
    <w:p w14:paraId="6A2947D3" w14:textId="77777777" w:rsidR="00F3531A" w:rsidRDefault="002731C1" w:rsidP="00961976">
      <w:pPr>
        <w:jc w:val="both"/>
        <w:rPr>
          <w:sz w:val="24"/>
        </w:rPr>
      </w:pPr>
      <w:r>
        <w:rPr>
          <w:sz w:val="24"/>
          <w:lang w:val="en-GB"/>
        </w:rPr>
        <w:t>The idea of internal missions which, in Landini’s case, corresponded largely to work carried out in mountain territories, was linked to a consideration of that area and its inhabitants as a frontier of civilisation, veritable Indies</w:t>
      </w:r>
      <w:r>
        <w:rPr>
          <w:rStyle w:val="Rimandonotaapidipagina"/>
          <w:sz w:val="24"/>
          <w:lang w:val="en-GB"/>
        </w:rPr>
        <w:footnoteReference w:id="21"/>
      </w:r>
      <w:r>
        <w:rPr>
          <w:sz w:val="24"/>
          <w:lang w:val="en-GB"/>
        </w:rPr>
        <w:t xml:space="preserve">, whose backwardness called for a special strength in order to establish Christian practice in accordance with the counter-reformation. </w:t>
      </w:r>
    </w:p>
    <w:p w14:paraId="4CB549A3" w14:textId="77777777" w:rsidR="00D50544" w:rsidRDefault="00D50544" w:rsidP="00C55B8A">
      <w:pPr>
        <w:jc w:val="both"/>
        <w:rPr>
          <w:sz w:val="24"/>
        </w:rPr>
      </w:pPr>
    </w:p>
    <w:p w14:paraId="61D6BFD7" w14:textId="77777777" w:rsidR="00EF707E" w:rsidRPr="00123039" w:rsidRDefault="00477FD8" w:rsidP="001F4828">
      <w:pPr>
        <w:jc w:val="both"/>
        <w:outlineLvl w:val="0"/>
        <w:rPr>
          <w:i/>
          <w:sz w:val="24"/>
        </w:rPr>
      </w:pPr>
      <w:r>
        <w:rPr>
          <w:i/>
          <w:iCs/>
          <w:sz w:val="24"/>
          <w:lang w:val="en-GB"/>
        </w:rPr>
        <w:t>3. Reconstruction in the mountains: the visit by bishop Sisto Visdomini</w:t>
      </w:r>
    </w:p>
    <w:p w14:paraId="068A7BD7" w14:textId="77777777" w:rsidR="00053BB8" w:rsidRDefault="00053BB8" w:rsidP="00C55B8A">
      <w:pPr>
        <w:jc w:val="both"/>
        <w:rPr>
          <w:sz w:val="24"/>
        </w:rPr>
      </w:pPr>
    </w:p>
    <w:p w14:paraId="09BDADB1" w14:textId="77777777" w:rsidR="00053BB8" w:rsidRDefault="00053BB8" w:rsidP="00C55B8A">
      <w:pPr>
        <w:jc w:val="both"/>
        <w:rPr>
          <w:sz w:val="24"/>
        </w:rPr>
      </w:pPr>
      <w:r>
        <w:rPr>
          <w:sz w:val="24"/>
          <w:lang w:val="en-GB"/>
        </w:rPr>
        <w:t>Sowing peace in communities and the clergy as Landini had done would not be sufficient without the re-establishment of the holy places devoted to religious instruction and the everyday life of local populations. In the many towns and villages he had visited, the Jesuit missionary had helped build monasteries and churches, well aware of the importance of places of worship. He must have urged the faithful to take charge of these projects since, as he wrote to Ignatius in May 1550, Apennine populations displayed signs of conversion, visible also “in their keeping the sacred items and liturgical furnishings of the church clean, and in restoring, walling, painting and frescoing of holy spaces, including the construction of pulpits”</w:t>
      </w:r>
      <w:r>
        <w:rPr>
          <w:rStyle w:val="Rimandonotaapidipagina"/>
          <w:sz w:val="24"/>
          <w:lang w:val="en-GB"/>
        </w:rPr>
        <w:footnoteReference w:id="22"/>
      </w:r>
      <w:r>
        <w:rPr>
          <w:sz w:val="24"/>
          <w:lang w:val="en-GB"/>
        </w:rPr>
        <w:t xml:space="preserve">. </w:t>
      </w:r>
    </w:p>
    <w:p w14:paraId="4CBD16D2" w14:textId="77777777" w:rsidR="00814A8B" w:rsidRDefault="000C7A73" w:rsidP="007666F0">
      <w:pPr>
        <w:jc w:val="both"/>
        <w:rPr>
          <w:sz w:val="24"/>
        </w:rPr>
      </w:pPr>
      <w:r>
        <w:rPr>
          <w:sz w:val="24"/>
          <w:lang w:val="en-GB"/>
        </w:rPr>
        <w:t>The fundamental symbolic importance of all this was clear not only to Landini, but also to the bishops and, higher up the chain of command, the Roman authorities</w:t>
      </w:r>
      <w:r>
        <w:rPr>
          <w:rStyle w:val="Rimandonotaapidipagina"/>
          <w:sz w:val="24"/>
          <w:lang w:val="en-GB"/>
        </w:rPr>
        <w:footnoteReference w:id="23"/>
      </w:r>
      <w:r>
        <w:rPr>
          <w:sz w:val="24"/>
          <w:lang w:val="en-GB"/>
        </w:rPr>
        <w:t>. Despite great efforts, however, two decades after the Jesuit’s mission, the situation was less than encouraging. In 1564, a report sent to the then bishop of Modena, Giovanni Morone, described the dreadful conditions of churches and the clergy in the Emilian diocese: while religious abandonment was rife in the countryside, the problem was no less serious in mountains. The priests of mountain villages behaved immorally, divided into factions and constantly engaged in a battle of reciprocal defamation and accusation. Church councils fell prey to private interests, the prerogative of lay people, and places of worship were mismanaged, often lacking the requisite conditions for officiating the rituals that were meant to be part of Christian life</w:t>
      </w:r>
      <w:r>
        <w:rPr>
          <w:rStyle w:val="Rimandonotaapidipagina"/>
          <w:sz w:val="24"/>
          <w:lang w:val="en-GB"/>
        </w:rPr>
        <w:footnoteReference w:id="24"/>
      </w:r>
      <w:r>
        <w:rPr>
          <w:sz w:val="24"/>
          <w:lang w:val="en-GB"/>
        </w:rPr>
        <w:t xml:space="preserve">. </w:t>
      </w:r>
    </w:p>
    <w:p w14:paraId="0D2166FC" w14:textId="77777777" w:rsidR="00A9737F" w:rsidRDefault="002E61D6" w:rsidP="007666F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r>
        <w:rPr>
          <w:sz w:val="24"/>
          <w:lang w:val="en-GB"/>
        </w:rPr>
        <w:t xml:space="preserve">Taking Landini’s mission as the </w:t>
      </w:r>
      <w:r>
        <w:rPr>
          <w:i/>
          <w:iCs/>
          <w:sz w:val="24"/>
          <w:lang w:val="en-GB"/>
        </w:rPr>
        <w:t>terminus post quem</w:t>
      </w:r>
      <w:r>
        <w:rPr>
          <w:sz w:val="24"/>
          <w:lang w:val="en-GB"/>
        </w:rPr>
        <w:t xml:space="preserve"> and focusing on the Modena area, an emerging pattern shows how the bishops of the age attempted to remedy the situation above all through pastoral visits. In this regard, Modena presented an upward trend: after the 1552 visit during the bishopric of Egidio Foscarari (1550-1564) and that of 1569 by Giovanni Morone (1564-1571), the bishopric of Sisto Visdomini (1571-1590) brought a marked acceleration. The new bishop’s first visit in 1572 was soon followed by numerous others, with almost annual regularity, in the periods 1575-79 and 1585-88</w:t>
      </w:r>
      <w:r>
        <w:rPr>
          <w:rStyle w:val="Rimandonotaapidipagina"/>
          <w:sz w:val="24"/>
          <w:lang w:val="en-GB"/>
        </w:rPr>
        <w:footnoteReference w:id="25"/>
      </w:r>
      <w:r>
        <w:rPr>
          <w:sz w:val="24"/>
          <w:lang w:val="en-GB"/>
        </w:rPr>
        <w:t xml:space="preserve">. </w:t>
      </w:r>
    </w:p>
    <w:p w14:paraId="55788C37" w14:textId="77777777" w:rsidR="00423CCC" w:rsidRPr="00423CCC" w:rsidRDefault="00423CCC" w:rsidP="007666F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r>
        <w:rPr>
          <w:sz w:val="24"/>
          <w:lang w:val="en-GB"/>
        </w:rPr>
        <w:t xml:space="preserve">Between 1552 and 1588 a total of 700/800 church and parish inspections were carried out (an average of 20/25 annually), 80% of these being conducted or ordered by Visdomini (who visited 35/40 churches each year, against the 8/10 of his predecessors). </w:t>
      </w:r>
    </w:p>
    <w:p w14:paraId="0CA7FC71" w14:textId="77777777" w:rsidR="006906DC" w:rsidRDefault="008E6650" w:rsidP="007666F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r>
        <w:rPr>
          <w:sz w:val="24"/>
          <w:lang w:val="en-GB"/>
        </w:rPr>
        <w:t>In terms of numbers and time dedicated to them, mountain parishes took up the lion’s share. The Apennine area was considered of paramount strategic importance, probably for pastoral reasons (with a higher concentration of clergy and churches) as well as political significance (it was a border region). The notion that this priority might be the consequence of mountain churches having greater needs than those of rural areas appears entirely unfounded, as rural churches were actually in a worse state. Nor, based on available data, can it be claimed that the Apennine area had proportionally higher population numbers than urban or countryside areas</w:t>
      </w:r>
      <w:r>
        <w:rPr>
          <w:rStyle w:val="Rimandonotaapidipagina"/>
          <w:sz w:val="24"/>
          <w:lang w:val="en-GB"/>
        </w:rPr>
        <w:footnoteReference w:id="26"/>
      </w:r>
      <w:r w:rsidR="004A4256">
        <w:rPr>
          <w:sz w:val="24"/>
          <w:lang w:val="en-GB"/>
        </w:rPr>
        <w:t>.</w:t>
      </w:r>
    </w:p>
    <w:p w14:paraId="238C2217" w14:textId="77777777" w:rsidR="00974DC9" w:rsidRDefault="0006229A" w:rsidP="007666F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r>
        <w:rPr>
          <w:sz w:val="24"/>
          <w:lang w:val="en-GB"/>
        </w:rPr>
        <w:t>A detailed analysis of visits made in the period in question bears out the priority afforded to the Apennine area. The table below shows in the left-hand column the number of visits received annually by each parish and, on the right, the number of parishes benefitting from that visit (e.g. n. visits: 7; n. parishes: 2 = 2 parishes were visited 7 times in the period in question)</w:t>
      </w:r>
      <w:r>
        <w:rPr>
          <w:rStyle w:val="Rimandonotaapidipagina"/>
          <w:sz w:val="24"/>
          <w:lang w:val="en-GB"/>
        </w:rPr>
        <w:footnoteReference w:id="27"/>
      </w:r>
      <w:r>
        <w:rPr>
          <w:sz w:val="24"/>
          <w:lang w:val="en-GB"/>
        </w:rPr>
        <w:t>.</w:t>
      </w:r>
    </w:p>
    <w:p w14:paraId="5204982F" w14:textId="77777777" w:rsidR="00393A53" w:rsidRDefault="00393A53" w:rsidP="007666F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p>
    <w:p w14:paraId="6ED4D81C" w14:textId="77777777" w:rsidR="009D0F4F" w:rsidRDefault="009D0F4F" w:rsidP="007666F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bookmarkStart w:id="0" w:name="_GoBack"/>
      <w:bookmarkEnd w:id="0"/>
    </w:p>
    <w:tbl>
      <w:tblPr>
        <w:tblStyle w:val="Sfondochiaro"/>
        <w:tblW w:w="0" w:type="auto"/>
        <w:jc w:val="center"/>
        <w:tblLook w:val="04A0" w:firstRow="1" w:lastRow="0" w:firstColumn="1" w:lastColumn="0" w:noHBand="0" w:noVBand="1"/>
      </w:tblPr>
      <w:tblGrid>
        <w:gridCol w:w="1069"/>
        <w:gridCol w:w="2689"/>
        <w:gridCol w:w="2249"/>
        <w:gridCol w:w="2023"/>
      </w:tblGrid>
      <w:tr w:rsidR="00FD225F" w14:paraId="7C92F4A8" w14:textId="77777777" w:rsidTr="00477FD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gridSpan w:val="4"/>
          </w:tcPr>
          <w:p w14:paraId="160C9A95" w14:textId="77777777" w:rsid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4"/>
              </w:rPr>
            </w:pPr>
            <w:r>
              <w:rPr>
                <w:sz w:val="24"/>
                <w:lang w:val="en-GB"/>
              </w:rPr>
              <w:t>PARISHES VISITED 1552-1588</w:t>
            </w:r>
          </w:p>
        </w:tc>
      </w:tr>
      <w:tr w:rsidR="00FD225F" w:rsidRPr="00FD225F" w14:paraId="13B5A1F9" w14:textId="77777777" w:rsidTr="00477FD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2CC0C984" w14:textId="77777777" w:rsidR="00FD225F" w:rsidRP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4"/>
              </w:rPr>
            </w:pPr>
            <w:r>
              <w:rPr>
                <w:sz w:val="24"/>
                <w:lang w:val="en-GB"/>
              </w:rPr>
              <w:t>n. visits</w:t>
            </w:r>
          </w:p>
        </w:tc>
        <w:tc>
          <w:tcPr>
            <w:tcW w:w="0" w:type="auto"/>
          </w:tcPr>
          <w:p w14:paraId="7AFFA9C9" w14:textId="77777777" w:rsidR="00FD225F" w:rsidRP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b/>
                <w:sz w:val="24"/>
              </w:rPr>
            </w:pPr>
            <w:r>
              <w:rPr>
                <w:b/>
                <w:bCs/>
                <w:sz w:val="24"/>
                <w:lang w:val="en-GB"/>
              </w:rPr>
              <w:t>n. mountain parishes</w:t>
            </w:r>
            <w:r>
              <w:rPr>
                <w:rStyle w:val="Rimandonotaapidipagina"/>
                <w:sz w:val="24"/>
                <w:lang w:val="en-GB"/>
              </w:rPr>
              <w:footnoteReference w:id="28"/>
            </w:r>
          </w:p>
        </w:tc>
        <w:tc>
          <w:tcPr>
            <w:tcW w:w="0" w:type="auto"/>
          </w:tcPr>
          <w:p w14:paraId="3D21863F" w14:textId="77777777" w:rsidR="00FD225F" w:rsidRP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b/>
                <w:sz w:val="24"/>
              </w:rPr>
            </w:pPr>
            <w:r>
              <w:rPr>
                <w:b/>
                <w:bCs/>
                <w:sz w:val="24"/>
                <w:lang w:val="en-GB"/>
              </w:rPr>
              <w:t xml:space="preserve">n. countryside and </w:t>
            </w:r>
          </w:p>
          <w:p w14:paraId="4A27ED09" w14:textId="77777777" w:rsidR="00FD225F" w:rsidRPr="00FD225F" w:rsidRDefault="00FD225F" w:rsidP="00FD225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b/>
                <w:sz w:val="24"/>
              </w:rPr>
            </w:pPr>
            <w:r>
              <w:rPr>
                <w:b/>
                <w:bCs/>
                <w:sz w:val="24"/>
                <w:lang w:val="en-GB"/>
              </w:rPr>
              <w:t>foothill parishes</w:t>
            </w:r>
            <w:r>
              <w:rPr>
                <w:rStyle w:val="Rimandonotaapidipagina"/>
                <w:sz w:val="24"/>
                <w:lang w:val="en-GB"/>
              </w:rPr>
              <w:footnoteReference w:id="29"/>
            </w:r>
          </w:p>
        </w:tc>
        <w:tc>
          <w:tcPr>
            <w:tcW w:w="0" w:type="auto"/>
          </w:tcPr>
          <w:p w14:paraId="78BD5D6A" w14:textId="77777777" w:rsidR="00FD225F" w:rsidRP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b/>
                <w:sz w:val="24"/>
              </w:rPr>
            </w:pPr>
            <w:r>
              <w:rPr>
                <w:b/>
                <w:bCs/>
                <w:sz w:val="24"/>
                <w:lang w:val="en-GB"/>
              </w:rPr>
              <w:t>n. city parishes</w:t>
            </w:r>
            <w:r>
              <w:rPr>
                <w:rStyle w:val="Rimandonotaapidipagina"/>
                <w:sz w:val="24"/>
                <w:lang w:val="en-GB"/>
              </w:rPr>
              <w:footnoteReference w:id="30"/>
            </w:r>
          </w:p>
        </w:tc>
      </w:tr>
      <w:tr w:rsidR="00FD225F" w14:paraId="350C722E" w14:textId="77777777" w:rsidTr="00477FD8">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3A1387AD" w14:textId="77777777" w:rsid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4"/>
              </w:rPr>
            </w:pPr>
            <w:r>
              <w:rPr>
                <w:sz w:val="24"/>
                <w:lang w:val="en-GB"/>
              </w:rPr>
              <w:t>8</w:t>
            </w:r>
          </w:p>
        </w:tc>
        <w:tc>
          <w:tcPr>
            <w:tcW w:w="0" w:type="auto"/>
          </w:tcPr>
          <w:p w14:paraId="1A48D6DC" w14:textId="77777777" w:rsid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rPr>
            </w:pPr>
            <w:r>
              <w:rPr>
                <w:sz w:val="24"/>
                <w:lang w:val="en-GB"/>
              </w:rPr>
              <w:t>2</w:t>
            </w:r>
          </w:p>
        </w:tc>
        <w:tc>
          <w:tcPr>
            <w:tcW w:w="0" w:type="auto"/>
          </w:tcPr>
          <w:p w14:paraId="776775AF" w14:textId="77777777" w:rsidR="00FD225F" w:rsidRDefault="00717D45"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rPr>
            </w:pPr>
            <w:r>
              <w:rPr>
                <w:sz w:val="24"/>
                <w:lang w:val="en-GB"/>
              </w:rPr>
              <w:t>-</w:t>
            </w:r>
          </w:p>
        </w:tc>
        <w:tc>
          <w:tcPr>
            <w:tcW w:w="0" w:type="auto"/>
          </w:tcPr>
          <w:p w14:paraId="571AAA84" w14:textId="77777777" w:rsidR="00FD225F" w:rsidRDefault="00252F3D"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rPr>
            </w:pPr>
            <w:r>
              <w:rPr>
                <w:sz w:val="24"/>
                <w:lang w:val="en-GB"/>
              </w:rPr>
              <w:t>-</w:t>
            </w:r>
          </w:p>
        </w:tc>
      </w:tr>
      <w:tr w:rsidR="00FD225F" w14:paraId="3EC999FA" w14:textId="77777777" w:rsidTr="00477FD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39851B97" w14:textId="77777777" w:rsid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4"/>
              </w:rPr>
            </w:pPr>
            <w:r>
              <w:rPr>
                <w:sz w:val="24"/>
                <w:lang w:val="en-GB"/>
              </w:rPr>
              <w:t>7</w:t>
            </w:r>
          </w:p>
        </w:tc>
        <w:tc>
          <w:tcPr>
            <w:tcW w:w="0" w:type="auto"/>
          </w:tcPr>
          <w:p w14:paraId="42803145" w14:textId="77777777" w:rsid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rPr>
            </w:pPr>
            <w:r>
              <w:rPr>
                <w:sz w:val="24"/>
                <w:lang w:val="en-GB"/>
              </w:rPr>
              <w:t>14</w:t>
            </w:r>
          </w:p>
        </w:tc>
        <w:tc>
          <w:tcPr>
            <w:tcW w:w="0" w:type="auto"/>
          </w:tcPr>
          <w:p w14:paraId="4AEEED7F" w14:textId="77777777" w:rsidR="00FD225F" w:rsidRDefault="00717D45"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rPr>
            </w:pPr>
            <w:r>
              <w:rPr>
                <w:sz w:val="24"/>
                <w:lang w:val="en-GB"/>
              </w:rPr>
              <w:t>-</w:t>
            </w:r>
          </w:p>
        </w:tc>
        <w:tc>
          <w:tcPr>
            <w:tcW w:w="0" w:type="auto"/>
          </w:tcPr>
          <w:p w14:paraId="4B19FB46" w14:textId="77777777" w:rsidR="00FD225F" w:rsidRDefault="00252F3D"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rPr>
            </w:pPr>
            <w:r>
              <w:rPr>
                <w:sz w:val="24"/>
                <w:lang w:val="en-GB"/>
              </w:rPr>
              <w:t>-</w:t>
            </w:r>
          </w:p>
        </w:tc>
      </w:tr>
      <w:tr w:rsidR="00FD225F" w14:paraId="257CAB48" w14:textId="77777777" w:rsidTr="00477FD8">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5724D4B9" w14:textId="77777777" w:rsid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4"/>
              </w:rPr>
            </w:pPr>
            <w:r>
              <w:rPr>
                <w:sz w:val="24"/>
                <w:lang w:val="en-GB"/>
              </w:rPr>
              <w:t>6</w:t>
            </w:r>
          </w:p>
        </w:tc>
        <w:tc>
          <w:tcPr>
            <w:tcW w:w="0" w:type="auto"/>
          </w:tcPr>
          <w:p w14:paraId="3B01B34B" w14:textId="77777777" w:rsid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rPr>
            </w:pPr>
            <w:r>
              <w:rPr>
                <w:sz w:val="24"/>
                <w:lang w:val="en-GB"/>
              </w:rPr>
              <w:t>23</w:t>
            </w:r>
          </w:p>
        </w:tc>
        <w:tc>
          <w:tcPr>
            <w:tcW w:w="0" w:type="auto"/>
          </w:tcPr>
          <w:p w14:paraId="4B482846" w14:textId="77777777" w:rsidR="00FD225F" w:rsidRDefault="00717D45"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rPr>
            </w:pPr>
            <w:r>
              <w:rPr>
                <w:sz w:val="24"/>
                <w:lang w:val="en-GB"/>
              </w:rPr>
              <w:t>3</w:t>
            </w:r>
          </w:p>
        </w:tc>
        <w:tc>
          <w:tcPr>
            <w:tcW w:w="0" w:type="auto"/>
          </w:tcPr>
          <w:p w14:paraId="2A3DF214" w14:textId="77777777" w:rsidR="00FD225F" w:rsidRDefault="00252F3D"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rPr>
            </w:pPr>
            <w:r>
              <w:rPr>
                <w:sz w:val="24"/>
                <w:lang w:val="en-GB"/>
              </w:rPr>
              <w:t>-</w:t>
            </w:r>
          </w:p>
        </w:tc>
      </w:tr>
      <w:tr w:rsidR="00FD225F" w14:paraId="397D0C7F" w14:textId="77777777" w:rsidTr="00477FD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3AC39D9B" w14:textId="77777777" w:rsid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4"/>
              </w:rPr>
            </w:pPr>
            <w:r>
              <w:rPr>
                <w:sz w:val="24"/>
                <w:lang w:val="en-GB"/>
              </w:rPr>
              <w:t>5</w:t>
            </w:r>
          </w:p>
        </w:tc>
        <w:tc>
          <w:tcPr>
            <w:tcW w:w="0" w:type="auto"/>
          </w:tcPr>
          <w:p w14:paraId="7D8222D7" w14:textId="77777777" w:rsid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rPr>
            </w:pPr>
            <w:r>
              <w:rPr>
                <w:sz w:val="24"/>
                <w:lang w:val="en-GB"/>
              </w:rPr>
              <w:t>19</w:t>
            </w:r>
          </w:p>
        </w:tc>
        <w:tc>
          <w:tcPr>
            <w:tcW w:w="0" w:type="auto"/>
          </w:tcPr>
          <w:p w14:paraId="047F82A7" w14:textId="77777777" w:rsidR="00FD225F" w:rsidRDefault="00717D45"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rPr>
            </w:pPr>
            <w:r>
              <w:rPr>
                <w:sz w:val="24"/>
                <w:lang w:val="en-GB"/>
              </w:rPr>
              <w:t>7</w:t>
            </w:r>
          </w:p>
        </w:tc>
        <w:tc>
          <w:tcPr>
            <w:tcW w:w="0" w:type="auto"/>
          </w:tcPr>
          <w:p w14:paraId="2AC3ED8D" w14:textId="77777777" w:rsidR="00FD225F" w:rsidRDefault="00252F3D"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rPr>
            </w:pPr>
            <w:r>
              <w:rPr>
                <w:sz w:val="24"/>
                <w:lang w:val="en-GB"/>
              </w:rPr>
              <w:t>-</w:t>
            </w:r>
          </w:p>
        </w:tc>
      </w:tr>
      <w:tr w:rsidR="00FD225F" w14:paraId="136AE245" w14:textId="77777777" w:rsidTr="00477FD8">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0D55288D" w14:textId="77777777" w:rsid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4"/>
              </w:rPr>
            </w:pPr>
            <w:r>
              <w:rPr>
                <w:sz w:val="24"/>
                <w:lang w:val="en-GB"/>
              </w:rPr>
              <w:t>4</w:t>
            </w:r>
          </w:p>
        </w:tc>
        <w:tc>
          <w:tcPr>
            <w:tcW w:w="0" w:type="auto"/>
          </w:tcPr>
          <w:p w14:paraId="1701567B" w14:textId="77777777" w:rsid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rPr>
            </w:pPr>
            <w:r>
              <w:rPr>
                <w:sz w:val="24"/>
                <w:lang w:val="en-GB"/>
              </w:rPr>
              <w:t>21</w:t>
            </w:r>
          </w:p>
        </w:tc>
        <w:tc>
          <w:tcPr>
            <w:tcW w:w="0" w:type="auto"/>
          </w:tcPr>
          <w:p w14:paraId="295F7B6F" w14:textId="77777777" w:rsidR="00FD225F" w:rsidRDefault="00717D45"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rPr>
            </w:pPr>
            <w:r>
              <w:rPr>
                <w:sz w:val="24"/>
                <w:lang w:val="en-GB"/>
              </w:rPr>
              <w:t>5</w:t>
            </w:r>
          </w:p>
        </w:tc>
        <w:tc>
          <w:tcPr>
            <w:tcW w:w="0" w:type="auto"/>
          </w:tcPr>
          <w:p w14:paraId="4F0F277E" w14:textId="77777777" w:rsidR="00FD225F" w:rsidRDefault="00252F3D"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rPr>
            </w:pPr>
            <w:r>
              <w:rPr>
                <w:sz w:val="24"/>
                <w:lang w:val="en-GB"/>
              </w:rPr>
              <w:t>1</w:t>
            </w:r>
          </w:p>
        </w:tc>
      </w:tr>
      <w:tr w:rsidR="00FD225F" w14:paraId="0D3997DB" w14:textId="77777777" w:rsidTr="00477FD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06772E36" w14:textId="77777777" w:rsid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4"/>
              </w:rPr>
            </w:pPr>
            <w:r>
              <w:rPr>
                <w:sz w:val="24"/>
                <w:lang w:val="en-GB"/>
              </w:rPr>
              <w:t>3</w:t>
            </w:r>
          </w:p>
        </w:tc>
        <w:tc>
          <w:tcPr>
            <w:tcW w:w="0" w:type="auto"/>
          </w:tcPr>
          <w:p w14:paraId="2534897D" w14:textId="77777777" w:rsid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rPr>
            </w:pPr>
            <w:r>
              <w:rPr>
                <w:sz w:val="24"/>
                <w:lang w:val="en-GB"/>
              </w:rPr>
              <w:t>20</w:t>
            </w:r>
          </w:p>
        </w:tc>
        <w:tc>
          <w:tcPr>
            <w:tcW w:w="0" w:type="auto"/>
          </w:tcPr>
          <w:p w14:paraId="6B8B38E7" w14:textId="77777777" w:rsidR="00FD225F" w:rsidRDefault="00717D45"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rPr>
            </w:pPr>
            <w:r>
              <w:rPr>
                <w:sz w:val="24"/>
                <w:lang w:val="en-GB"/>
              </w:rPr>
              <w:t>15</w:t>
            </w:r>
          </w:p>
        </w:tc>
        <w:tc>
          <w:tcPr>
            <w:tcW w:w="0" w:type="auto"/>
          </w:tcPr>
          <w:p w14:paraId="5712F479" w14:textId="77777777" w:rsidR="00FD225F" w:rsidRDefault="00252F3D"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rPr>
            </w:pPr>
            <w:r>
              <w:rPr>
                <w:sz w:val="24"/>
                <w:lang w:val="en-GB"/>
              </w:rPr>
              <w:t>8</w:t>
            </w:r>
          </w:p>
        </w:tc>
      </w:tr>
      <w:tr w:rsidR="00FD225F" w14:paraId="49A56AAC" w14:textId="77777777" w:rsidTr="00477FD8">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7583747D" w14:textId="77777777" w:rsid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4"/>
              </w:rPr>
            </w:pPr>
            <w:r>
              <w:rPr>
                <w:sz w:val="24"/>
                <w:lang w:val="en-GB"/>
              </w:rPr>
              <w:t>2</w:t>
            </w:r>
          </w:p>
        </w:tc>
        <w:tc>
          <w:tcPr>
            <w:tcW w:w="0" w:type="auto"/>
          </w:tcPr>
          <w:p w14:paraId="4F18C7A3" w14:textId="77777777" w:rsidR="00FD225F" w:rsidRDefault="00717D45"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rPr>
            </w:pPr>
            <w:r>
              <w:rPr>
                <w:sz w:val="24"/>
                <w:lang w:val="en-GB"/>
              </w:rPr>
              <w:t>8</w:t>
            </w:r>
          </w:p>
        </w:tc>
        <w:tc>
          <w:tcPr>
            <w:tcW w:w="0" w:type="auto"/>
          </w:tcPr>
          <w:p w14:paraId="04AF852C" w14:textId="77777777" w:rsidR="00FD225F" w:rsidRDefault="00717D45"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rPr>
            </w:pPr>
            <w:r>
              <w:rPr>
                <w:sz w:val="24"/>
                <w:lang w:val="en-GB"/>
              </w:rPr>
              <w:t>23</w:t>
            </w:r>
          </w:p>
        </w:tc>
        <w:tc>
          <w:tcPr>
            <w:tcW w:w="0" w:type="auto"/>
          </w:tcPr>
          <w:p w14:paraId="5C948B00" w14:textId="77777777" w:rsidR="00FD225F" w:rsidRDefault="00252F3D"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rPr>
            </w:pPr>
            <w:r>
              <w:rPr>
                <w:sz w:val="24"/>
                <w:lang w:val="en-GB"/>
              </w:rPr>
              <w:t>9</w:t>
            </w:r>
          </w:p>
        </w:tc>
      </w:tr>
      <w:tr w:rsidR="00FD225F" w14:paraId="40E14BC8" w14:textId="77777777" w:rsidTr="00477FD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69FA22FF" w14:textId="77777777" w:rsid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4"/>
              </w:rPr>
            </w:pPr>
            <w:r>
              <w:rPr>
                <w:sz w:val="24"/>
                <w:lang w:val="en-GB"/>
              </w:rPr>
              <w:t>1</w:t>
            </w:r>
          </w:p>
        </w:tc>
        <w:tc>
          <w:tcPr>
            <w:tcW w:w="0" w:type="auto"/>
          </w:tcPr>
          <w:p w14:paraId="3C1D7AA9" w14:textId="77777777" w:rsidR="00FD225F" w:rsidRDefault="00717D45"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rPr>
            </w:pPr>
            <w:r>
              <w:rPr>
                <w:sz w:val="24"/>
                <w:lang w:val="en-GB"/>
              </w:rPr>
              <w:t>7</w:t>
            </w:r>
          </w:p>
        </w:tc>
        <w:tc>
          <w:tcPr>
            <w:tcW w:w="0" w:type="auto"/>
          </w:tcPr>
          <w:p w14:paraId="51F7800F" w14:textId="77777777" w:rsidR="00FD225F" w:rsidRDefault="00717D45"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rPr>
            </w:pPr>
            <w:r>
              <w:rPr>
                <w:sz w:val="24"/>
                <w:lang w:val="en-GB"/>
              </w:rPr>
              <w:t>8</w:t>
            </w:r>
          </w:p>
        </w:tc>
        <w:tc>
          <w:tcPr>
            <w:tcW w:w="0" w:type="auto"/>
          </w:tcPr>
          <w:p w14:paraId="1EF8910C" w14:textId="77777777" w:rsidR="00FD225F" w:rsidRDefault="00252F3D"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sz w:val="24"/>
              </w:rPr>
            </w:pPr>
            <w:r>
              <w:rPr>
                <w:sz w:val="24"/>
                <w:lang w:val="en-GB"/>
              </w:rPr>
              <w:t>2</w:t>
            </w:r>
          </w:p>
        </w:tc>
      </w:tr>
      <w:tr w:rsidR="00FD225F" w14:paraId="672D8F7B" w14:textId="77777777" w:rsidTr="00477FD8">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1E250A01" w14:textId="77777777" w:rsidR="00FD225F" w:rsidRDefault="00FD225F"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4"/>
              </w:rPr>
            </w:pPr>
            <w:r>
              <w:rPr>
                <w:sz w:val="24"/>
                <w:lang w:val="en-GB"/>
              </w:rPr>
              <w:t>tot.</w:t>
            </w:r>
          </w:p>
        </w:tc>
        <w:tc>
          <w:tcPr>
            <w:tcW w:w="0" w:type="auto"/>
          </w:tcPr>
          <w:p w14:paraId="0DFD93BF" w14:textId="77777777" w:rsidR="00FD225F" w:rsidRDefault="00717D45"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rPr>
            </w:pPr>
            <w:r>
              <w:rPr>
                <w:sz w:val="24"/>
                <w:lang w:val="en-GB"/>
              </w:rPr>
              <w:t>114</w:t>
            </w:r>
          </w:p>
        </w:tc>
        <w:tc>
          <w:tcPr>
            <w:tcW w:w="0" w:type="auto"/>
          </w:tcPr>
          <w:p w14:paraId="5419AF85" w14:textId="77777777" w:rsidR="00FD225F" w:rsidRDefault="00717D45"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rPr>
            </w:pPr>
            <w:r>
              <w:rPr>
                <w:sz w:val="24"/>
                <w:lang w:val="en-GB"/>
              </w:rPr>
              <w:t>61</w:t>
            </w:r>
          </w:p>
        </w:tc>
        <w:tc>
          <w:tcPr>
            <w:tcW w:w="0" w:type="auto"/>
          </w:tcPr>
          <w:p w14:paraId="786F76CD" w14:textId="77777777" w:rsidR="00FD225F" w:rsidRDefault="00252F3D"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sz w:val="24"/>
              </w:rPr>
            </w:pPr>
            <w:r>
              <w:rPr>
                <w:sz w:val="24"/>
                <w:lang w:val="en-GB"/>
              </w:rPr>
              <w:t>20</w:t>
            </w:r>
          </w:p>
        </w:tc>
      </w:tr>
    </w:tbl>
    <w:p w14:paraId="59E64902" w14:textId="77777777" w:rsidR="006906DC" w:rsidRDefault="006906DC" w:rsidP="00664B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sz w:val="24"/>
        </w:rPr>
      </w:pPr>
    </w:p>
    <w:p w14:paraId="728BBE12" w14:textId="77777777" w:rsidR="00C45780" w:rsidRDefault="00C45780" w:rsidP="007666F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p>
    <w:p w14:paraId="7607AB67" w14:textId="77777777" w:rsidR="0067306D" w:rsidRDefault="00B85E78" w:rsidP="00B56A8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r>
        <w:rPr>
          <w:sz w:val="24"/>
          <w:lang w:val="en-GB"/>
        </w:rPr>
        <w:t xml:space="preserve">As regards mountain parishes, each one was visited an average of 4.5 times, namely once every 8 years. Comparable parishes in the countryside or foothill area, meanwhile, received 2.8 pastoral visits, the equivalent of one every 13 years. Similarly, the churches in the city area were visited on average 2.5 times, namely once every 14 years. </w:t>
      </w:r>
    </w:p>
    <w:p w14:paraId="1F4779CB" w14:textId="77777777" w:rsidR="0067306D" w:rsidRDefault="0036012A" w:rsidP="00B56A8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r>
        <w:rPr>
          <w:sz w:val="24"/>
          <w:lang w:val="en-GB"/>
        </w:rPr>
        <w:t xml:space="preserve">In the light of this information, we can safely state that religious authorities devoted almost twice as much attention to the Apennine area, channelling greater efforts there. </w:t>
      </w:r>
    </w:p>
    <w:p w14:paraId="14181F77" w14:textId="77777777" w:rsidR="00E668FD" w:rsidRDefault="000F0F06" w:rsidP="00B56A8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r>
        <w:rPr>
          <w:sz w:val="24"/>
          <w:lang w:val="en-GB"/>
        </w:rPr>
        <w:t>But it is also essential to understand why, at least in Modena, the 1570s saw an intensification of pastoral visits and what was meant to be verified or reformed through the latter. The answer can be found in a letter dated 10</w:t>
      </w:r>
      <w:r>
        <w:rPr>
          <w:sz w:val="24"/>
          <w:vertAlign w:val="superscript"/>
          <w:lang w:val="en-GB"/>
        </w:rPr>
        <w:t>th</w:t>
      </w:r>
      <w:r>
        <w:rPr>
          <w:sz w:val="24"/>
          <w:lang w:val="en-GB"/>
        </w:rPr>
        <w:t xml:space="preserve"> October 1572 written by cardinal Tolomeo Gallio to Visdomini</w:t>
      </w:r>
      <w:r>
        <w:rPr>
          <w:rStyle w:val="Rimandonotaapidipagina"/>
          <w:sz w:val="24"/>
          <w:lang w:val="en-GB"/>
        </w:rPr>
        <w:footnoteReference w:id="31"/>
      </w:r>
      <w:r>
        <w:rPr>
          <w:sz w:val="24"/>
          <w:lang w:val="en-GB"/>
        </w:rPr>
        <w:t>. In it the bishop was informed of the desire of Pope Gregory XIII to intervene on the state of repair and interior decoration of churches and oratories in the run-up to the jubilee scheduled to be held three years later. To verify the condition of buildings in the various dioceses, the pontiff appointed an apostolic visitor, Gian Battista Maremonti, bishop of Utica, later replaced by Antimo Marchesani, bishop of Città di Castello</w:t>
      </w:r>
      <w:r>
        <w:rPr>
          <w:rStyle w:val="Rimandonotaapidipagina"/>
          <w:sz w:val="24"/>
          <w:lang w:val="en-GB"/>
        </w:rPr>
        <w:footnoteReference w:id="32"/>
      </w:r>
      <w:r>
        <w:rPr>
          <w:sz w:val="24"/>
          <w:lang w:val="en-GB"/>
        </w:rPr>
        <w:t>. To prepare for the visit, Gallio explained, churches must repair walls and roofs, restore altars and paintings, acquire “vestments” and “other ornaments necessary for worship”, in addition to doors and gates in order to prevent holy places from becoming a refuge for animals or disreputable men. In particular, the cardinal concluded, work must be done on buildings in proximity “to public roads, especially Roman roads”, because they would be used by pilgrims. The Pope expressed the hope “that this may greatly uplift the souls of the people, mountain dwellers especially, who will come to Rome during the holy year”</w:t>
      </w:r>
      <w:r>
        <w:rPr>
          <w:rStyle w:val="Rimandonotaapidipagina"/>
          <w:sz w:val="24"/>
          <w:lang w:val="en-GB"/>
        </w:rPr>
        <w:footnoteReference w:id="33"/>
      </w:r>
      <w:r>
        <w:rPr>
          <w:sz w:val="24"/>
          <w:lang w:val="en-GB"/>
        </w:rPr>
        <w:t xml:space="preserve">. </w:t>
      </w:r>
    </w:p>
    <w:p w14:paraId="7C7BCCFA" w14:textId="77777777" w:rsidR="00E249CF" w:rsidRDefault="002F0F78" w:rsidP="006946D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r>
        <w:rPr>
          <w:sz w:val="24"/>
          <w:lang w:val="en-GB"/>
        </w:rPr>
        <w:t xml:space="preserve">The content of the letter offers an insight into Visdomini’s reasons for increasing the number of pastoral visits, compared to those made by his predecessors. Shifting the focus to the specific points scrutinised during inspections, it is not surprising to discover that, based on the insistence of Gallio, the records of the minutes focused above all on material conditions. </w:t>
      </w:r>
    </w:p>
    <w:p w14:paraId="34738E3A" w14:textId="77777777" w:rsidR="00D276DC" w:rsidRDefault="00E36980" w:rsidP="006946D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r>
        <w:rPr>
          <w:sz w:val="24"/>
          <w:lang w:val="en-GB"/>
        </w:rPr>
        <w:t>Take, for example, visits made to the parishes of Olina and Renno, in the heart of the Modenese Apennines, which were visited no fewer than eight times (the most frequently visited parishes in that period). Visdomini travelled there for the first time between 15</w:t>
      </w:r>
      <w:r>
        <w:rPr>
          <w:sz w:val="24"/>
          <w:vertAlign w:val="superscript"/>
          <w:lang w:val="en-GB"/>
        </w:rPr>
        <w:t>th</w:t>
      </w:r>
      <w:r>
        <w:rPr>
          <w:sz w:val="24"/>
          <w:lang w:val="en-GB"/>
        </w:rPr>
        <w:t xml:space="preserve"> and 16</w:t>
      </w:r>
      <w:r>
        <w:rPr>
          <w:sz w:val="24"/>
          <w:vertAlign w:val="superscript"/>
          <w:lang w:val="en-GB"/>
        </w:rPr>
        <w:t>th</w:t>
      </w:r>
      <w:r>
        <w:rPr>
          <w:sz w:val="24"/>
          <w:lang w:val="en-GB"/>
        </w:rPr>
        <w:t xml:space="preserve"> July 1572</w:t>
      </w:r>
      <w:r>
        <w:rPr>
          <w:rStyle w:val="Rimandonotaapidipagina"/>
          <w:sz w:val="24"/>
          <w:lang w:val="en-GB"/>
        </w:rPr>
        <w:footnoteReference w:id="34"/>
      </w:r>
      <w:r>
        <w:rPr>
          <w:sz w:val="24"/>
          <w:lang w:val="en-GB"/>
        </w:rPr>
        <w:t xml:space="preserve">. </w:t>
      </w:r>
    </w:p>
    <w:p w14:paraId="50242734" w14:textId="77777777" w:rsidR="00E36980" w:rsidRDefault="00E36980" w:rsidP="006946D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r>
        <w:rPr>
          <w:sz w:val="24"/>
          <w:lang w:val="en-GB"/>
        </w:rPr>
        <w:t xml:space="preserve">In Renno he inspected the sacraments and ordered the tabernacle to be provided with a silver jar in which to store the communion wafers, while it was noted that the holy oils were already correctly stored. The altar furnishings were dirty and he ordered that they must not be used for mass. He also ordered the gilding of the chalices and patens, the restoration of the two side chapels, which were to be equipped with a frontal for the altar and, in one of the two chapels, the restoration of the paintings. In Olina, which he visited the following day, the situation was worse: in addition to the purchase of a silver jar for the Eucharist, he ordered repairs be made to the roof and walls. The rector undertook to pay for the necessary work, as long as the community of Olina was prepared to shoulder the expense of the construction and transportation of all necessary wood and building materials. However, the community rose up in protest, refusing to accept such a responsibility: in response, Visdomini prohibited the use of the church, the cemetery and the church bells. </w:t>
      </w:r>
    </w:p>
    <w:p w14:paraId="1600D175" w14:textId="77777777" w:rsidR="00710716" w:rsidRDefault="00710716" w:rsidP="006946D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r>
        <w:rPr>
          <w:sz w:val="24"/>
          <w:lang w:val="en-GB"/>
        </w:rPr>
        <w:t>These few notes underline how visits focused on material aspects, noting acceptable situations in some cases, and in others bitter conflict between parish priests and the local population, which were detrimental to the proper maintenance of places of worship. The bans issued by Visdomini in Olina also highlighted the important social role of churches and places of worship within local communities (the church was used for major social rites, from baptism through to marriage; it was essential for the burial of the dead and the church bells played an important role in the safety of the community).</w:t>
      </w:r>
    </w:p>
    <w:p w14:paraId="387027A2" w14:textId="77777777" w:rsidR="00E36980" w:rsidRDefault="008A09FD" w:rsidP="006946D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r>
        <w:rPr>
          <w:sz w:val="24"/>
          <w:lang w:val="en-GB"/>
        </w:rPr>
        <w:t>When the two parishes were visited for the last time by Visdomini, in 1585, things seemed to have improved, although the bishop continued to insist on improvements to holy spaces. In Olina, the disastrous conditions of ’72 had been overcome; nonetheless, the tabernacle still had no silk curtain, the baptismal font was still to be closed with special keys and a wall still had to be built around the cemetery to prevent bandits and other undesirables from taking refuge there</w:t>
      </w:r>
      <w:r>
        <w:rPr>
          <w:rStyle w:val="Rimandonotaapidipagina"/>
          <w:sz w:val="24"/>
          <w:lang w:val="en-GB"/>
        </w:rPr>
        <w:footnoteReference w:id="35"/>
      </w:r>
      <w:r>
        <w:rPr>
          <w:sz w:val="24"/>
          <w:lang w:val="en-GB"/>
        </w:rPr>
        <w:t>. In Renno, where fewer problems had been noted during the visit of the Seventies, even more precise instructions were issued: a silk curtain was to be fitted on the tabernacle and a bag acquired for carrying the sacrament to the sick; an iron gate was to be erected in front of the baptismal font and a copper lid fitted to protect the holy water; the side altars were to be provided with a candelabrum and a gold altar frontal within six months, after which time the celebration of the Eucharist would otherwise be prohibited; the walls of the main entrance were to be reinforced with new cement and the entrance itself renewed, painted in red and surmounted by a frescoed image of St. John the Baptist; the church was to be painted and the cemetery enclosed with walls, at the expense of the community</w:t>
      </w:r>
      <w:r>
        <w:rPr>
          <w:rStyle w:val="Rimandonotaapidipagina"/>
          <w:sz w:val="24"/>
          <w:lang w:val="en-GB"/>
        </w:rPr>
        <w:footnoteReference w:id="36"/>
      </w:r>
      <w:r>
        <w:rPr>
          <w:sz w:val="24"/>
          <w:lang w:val="en-GB"/>
        </w:rPr>
        <w:t xml:space="preserve">. </w:t>
      </w:r>
    </w:p>
    <w:p w14:paraId="41AD392F" w14:textId="77777777" w:rsidR="00A745CB" w:rsidRDefault="00A745CB" w:rsidP="00A745C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r>
        <w:rPr>
          <w:sz w:val="24"/>
          <w:lang w:val="en-GB"/>
        </w:rPr>
        <w:t>It is safe to say that, after the peacemaking attempts of the 1550s and efforts to bring Apennine communities back into the fold in terms of Christian practice, the bishopric of Visdomini marked a further step in the Christianisation of the area, through a systematic plan to restore religious buildings. The diocesan authorities devoted special attention to the mountains and gave increasingly detailed provisions for bringing the area’s places of worship up to standard.</w:t>
      </w:r>
    </w:p>
    <w:p w14:paraId="2D7796EB" w14:textId="77777777" w:rsidR="00A745CB" w:rsidRDefault="00A745CB" w:rsidP="00A745C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sz w:val="24"/>
        </w:rPr>
      </w:pPr>
    </w:p>
    <w:p w14:paraId="5FE57CDA" w14:textId="77777777" w:rsidR="008A1020" w:rsidRPr="008A1020" w:rsidRDefault="00477FD8" w:rsidP="001F482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outlineLvl w:val="0"/>
        <w:rPr>
          <w:i/>
          <w:sz w:val="24"/>
        </w:rPr>
      </w:pPr>
      <w:r>
        <w:rPr>
          <w:i/>
          <w:iCs/>
          <w:sz w:val="24"/>
          <w:lang w:val="en-GB"/>
        </w:rPr>
        <w:t>4. Mountains conquered?</w:t>
      </w:r>
    </w:p>
    <w:p w14:paraId="01F39BFA" w14:textId="77777777" w:rsidR="004722BD" w:rsidRDefault="004722BD" w:rsidP="00004E04">
      <w:pPr>
        <w:jc w:val="both"/>
      </w:pPr>
    </w:p>
    <w:p w14:paraId="79B3850E" w14:textId="77777777" w:rsidR="009D6CA8" w:rsidRDefault="008A1020" w:rsidP="00004E04">
      <w:pPr>
        <w:jc w:val="both"/>
        <w:rPr>
          <w:sz w:val="24"/>
        </w:rPr>
      </w:pPr>
      <w:r>
        <w:rPr>
          <w:sz w:val="24"/>
          <w:lang w:val="en-GB"/>
        </w:rPr>
        <w:t>In the light of these considerations, it is only natural to wonder if the planned spiritual conquest of the mountains can be considered a success and what importance was attributed to the undertaking. Certainly, the mountain area was of great symbolic and strategic value, as it was perceived as a wild place where environmental elements would often triumph over rationality and order. Succeeding in taming men and spaces meant showing the effectiveness of the Council of Trent and the ability of the Catholic Church to firmly establish itself in a setting which, in accordance with stereotypes, was hostile and averse to civilisation. The Society of Jesus chose the mountains as an internal frontier, discovering a land that allowed it to highlight its usefulness and show itself to bishops and princes as a precious tool for territorial government. Under the direction of Rome, the bishops invested great energy in the mountains, striving to eradicate the outward signs of decay into which the remote outposts of Christianity had fallen, well aware that this too had contributed to the schism with the protestant world.</w:t>
      </w:r>
    </w:p>
    <w:p w14:paraId="770475FA" w14:textId="77777777" w:rsidR="008A1020" w:rsidRDefault="009D6CA8" w:rsidP="00004E04">
      <w:pPr>
        <w:jc w:val="both"/>
        <w:rPr>
          <w:sz w:val="24"/>
        </w:rPr>
      </w:pPr>
      <w:r>
        <w:rPr>
          <w:sz w:val="24"/>
          <w:lang w:val="en-GB"/>
        </w:rPr>
        <w:t>Were the attempts to retake mountain areas and bring them into line with the canons and decrees of the Council of Trent successful? The answer is not straightforward and is the subject of historiographic debate, still ongoing, regarding the soundness of matters including catholic regulations and reform</w:t>
      </w:r>
      <w:r>
        <w:rPr>
          <w:rStyle w:val="Rimandonotaapidipagina"/>
          <w:sz w:val="24"/>
          <w:lang w:val="en-GB"/>
        </w:rPr>
        <w:footnoteReference w:id="37"/>
      </w:r>
      <w:r>
        <w:rPr>
          <w:sz w:val="24"/>
          <w:lang w:val="en-GB"/>
        </w:rPr>
        <w:t xml:space="preserve">. </w:t>
      </w:r>
    </w:p>
    <w:p w14:paraId="012EED63" w14:textId="77777777" w:rsidR="00665E5D" w:rsidRDefault="009D6CA8" w:rsidP="00004E04">
      <w:pPr>
        <w:jc w:val="both"/>
        <w:rPr>
          <w:sz w:val="24"/>
        </w:rPr>
      </w:pPr>
      <w:r>
        <w:rPr>
          <w:sz w:val="24"/>
          <w:lang w:val="en-GB"/>
        </w:rPr>
        <w:t>In the case study examined here, it appears that some level of success was achieved, although linked above all to material aspects. Fast forward by one century and consider the visit made in 1674 to Olina, one of the churches on which, as we saw, bishop Visdomini had focused the greatest effort.</w:t>
      </w:r>
    </w:p>
    <w:p w14:paraId="0055A24C" w14:textId="77777777" w:rsidR="00D262A7" w:rsidRDefault="009541D0" w:rsidP="00004E04">
      <w:pPr>
        <w:jc w:val="both"/>
        <w:rPr>
          <w:sz w:val="24"/>
        </w:rPr>
      </w:pPr>
      <w:r>
        <w:rPr>
          <w:sz w:val="24"/>
          <w:lang w:val="en-GB"/>
        </w:rPr>
        <w:t>On 19</w:t>
      </w:r>
      <w:r>
        <w:rPr>
          <w:sz w:val="24"/>
          <w:vertAlign w:val="superscript"/>
          <w:lang w:val="en-GB"/>
        </w:rPr>
        <w:t>th</w:t>
      </w:r>
      <w:r>
        <w:rPr>
          <w:sz w:val="24"/>
          <w:lang w:val="en-GB"/>
        </w:rPr>
        <w:t xml:space="preserve"> August that year, the blessed sacrament was properly stored, although recommendations were made to silver gild the key and procure a larger pyx; the baptismal font was to be enclosed behind a gate, while the high altar and the rosary altar were found to be perfectly satisfactory. Since the previous century, the church had acquired a piece of furniture associated with archbishop Charles Borromeo</w:t>
      </w:r>
      <w:r>
        <w:rPr>
          <w:rStyle w:val="Rimandonotaapidipagina"/>
          <w:sz w:val="24"/>
          <w:lang w:val="en-GB"/>
        </w:rPr>
        <w:footnoteReference w:id="38"/>
      </w:r>
      <w:r>
        <w:rPr>
          <w:sz w:val="24"/>
          <w:lang w:val="en-GB"/>
        </w:rPr>
        <w:t>, the confessional, which was to be fitted with a metal grate to divide confessor and penitent. The shortcomings identified did not concern any material inadequacies of the church: rather, improvements were ordered with regard to the storage of canonical books, the equipment of the sacristy and, above all, bookkeeping, which was lacking entirely. On the spiritual level, there were the usual confraternities of the blessed Sacrament and of the Rosary plus the confraternity of our Lady of Mount Carmel; there were nine priests, three of whom from outside the diocese, administering to 300 faithful, 80 of whom had not received first holy communion</w:t>
      </w:r>
      <w:r>
        <w:rPr>
          <w:rStyle w:val="Rimandonotaapidipagina"/>
          <w:sz w:val="24"/>
          <w:lang w:val="en-GB"/>
        </w:rPr>
        <w:footnoteReference w:id="39"/>
      </w:r>
      <w:r>
        <w:rPr>
          <w:sz w:val="24"/>
          <w:lang w:val="en-GB"/>
        </w:rPr>
        <w:t xml:space="preserve">. What can be glimpsed a century after the intensive efforts of Visdomini is a state of affairs that was positive, or at least acceptable, on a material level, but opaque and not yet satisfactory in terms of spirituality and management. </w:t>
      </w:r>
    </w:p>
    <w:p w14:paraId="703FDAFB" w14:textId="77777777" w:rsidR="00A171BF" w:rsidRDefault="006B433A" w:rsidP="00986AD2">
      <w:pPr>
        <w:jc w:val="both"/>
        <w:rPr>
          <w:sz w:val="24"/>
        </w:rPr>
      </w:pPr>
      <w:r>
        <w:rPr>
          <w:sz w:val="24"/>
          <w:lang w:val="en-GB"/>
        </w:rPr>
        <w:t>While the Council of Trent’s influence reached religious structures and spaces, it struggled to have a positive effect on the behaviour of the clergy and the population</w:t>
      </w:r>
      <w:r>
        <w:rPr>
          <w:rStyle w:val="Rimandonotaapidipagina"/>
          <w:sz w:val="24"/>
          <w:lang w:val="en-GB"/>
        </w:rPr>
        <w:footnoteReference w:id="40"/>
      </w:r>
      <w:r>
        <w:rPr>
          <w:sz w:val="24"/>
          <w:lang w:val="en-GB"/>
        </w:rPr>
        <w:t>. Despite this, there is no doubt that it achieved some level of success in the Tusco-Emilian Apennines compared to the previous conditions: the mountain areas shaped by the religious authorities were more ordered and disciplined that those which, at the start of the 16</w:t>
      </w:r>
      <w:r>
        <w:rPr>
          <w:sz w:val="24"/>
          <w:vertAlign w:val="superscript"/>
          <w:lang w:val="en-GB"/>
        </w:rPr>
        <w:t>th</w:t>
      </w:r>
      <w:r>
        <w:rPr>
          <w:sz w:val="24"/>
          <w:lang w:val="en-GB"/>
        </w:rPr>
        <w:t xml:space="preserve"> century, had reminded Landini of the Indies. Secular authorities too, at least to a certain extent, saw the Church and its deep-rooted territorial presence as a means of regaining control of areas that were otherwise difficult to govern, including the mountains. Visits by bishops and popular missions, supported and very often requested by princes, made it possible to settle conflicts and restore territorial strongholds like parish churches and oratories. At the same time, albeit indirectly, they restored to States - still lacking sufficient means and forces - significant areas over which the sovereign’s rule was at times little more than a formality. </w:t>
      </w:r>
    </w:p>
    <w:p w14:paraId="5CC0BC50" w14:textId="77777777" w:rsidR="001F3E21" w:rsidRDefault="00A171BF" w:rsidP="00986AD2">
      <w:pPr>
        <w:jc w:val="both"/>
        <w:rPr>
          <w:sz w:val="24"/>
        </w:rPr>
      </w:pPr>
      <w:r>
        <w:rPr>
          <w:sz w:val="24"/>
          <w:lang w:val="en-GB"/>
        </w:rPr>
        <w:t>Also for small States of the area in question, the need for regulation that arose from the provisions of the Council of Trent constituted a chance to regain firmer control of the territory. It is not surprising, however, that the frontier of the mission shifted over time, as new socio-political needs emerged: while in 1672 the Jesuit Paolo Segneri senior</w:t>
      </w:r>
      <w:r>
        <w:rPr>
          <w:i/>
          <w:iCs/>
          <w:sz w:val="24"/>
          <w:lang w:val="en-GB"/>
        </w:rPr>
        <w:t xml:space="preserve"> </w:t>
      </w:r>
      <w:r>
        <w:rPr>
          <w:sz w:val="24"/>
          <w:lang w:val="en-GB"/>
        </w:rPr>
        <w:t>devoted himself to catechesis in the Modenese mountain area, performing holy representations that replaced the traditional “maggi” May Day celebrations, half a century later his nephew, Paolo Segneri junior, was called upon to devote himself to rural areas, the new target of Christianisation and civilisation</w:t>
      </w:r>
      <w:r>
        <w:rPr>
          <w:rStyle w:val="Rimandonotaapidipagina"/>
          <w:sz w:val="24"/>
          <w:lang w:val="en-GB"/>
        </w:rPr>
        <w:footnoteReference w:id="41"/>
      </w:r>
      <w:r>
        <w:rPr>
          <w:sz w:val="24"/>
          <w:lang w:val="en-GB"/>
        </w:rPr>
        <w:t xml:space="preserve">. </w:t>
      </w:r>
    </w:p>
    <w:sectPr w:rsidR="001F3E21" w:rsidSect="00855D8C">
      <w:pgSz w:w="11900" w:h="16840"/>
      <w:pgMar w:top="1418" w:right="1134" w:bottom="1134" w:left="1134" w:header="709" w:footer="709"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02BE74" w14:textId="77777777" w:rsidR="00AD1E20" w:rsidRDefault="00AD1E20" w:rsidP="00852350">
      <w:r>
        <w:separator/>
      </w:r>
    </w:p>
  </w:endnote>
  <w:endnote w:type="continuationSeparator" w:id="0">
    <w:p w14:paraId="65E9BA02" w14:textId="77777777" w:rsidR="00AD1E20" w:rsidRDefault="00AD1E20" w:rsidP="008523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Book Antiqua">
    <w:panose1 w:val="02040602050305030304"/>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00002A87" w:usb1="80000000" w:usb2="00000008"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20005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2A87" w:usb1="80000000" w:usb2="00000008" w:usb3="00000000" w:csb0="000001FF"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00"/>
    <w:family w:val="auto"/>
    <w:pitch w:val="variable"/>
    <w:sig w:usb0="F7FFAFFF" w:usb1="E9DFFFFF" w:usb2="0000003F" w:usb3="00000000" w:csb0="003F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260CA9" w14:textId="77777777" w:rsidR="00AD1E20" w:rsidRDefault="00AD1E20" w:rsidP="00852350">
      <w:r>
        <w:separator/>
      </w:r>
    </w:p>
  </w:footnote>
  <w:footnote w:type="continuationSeparator" w:id="0">
    <w:p w14:paraId="2C82C747" w14:textId="77777777" w:rsidR="00AD1E20" w:rsidRDefault="00AD1E20" w:rsidP="00852350">
      <w:r>
        <w:continuationSeparator/>
      </w:r>
    </w:p>
  </w:footnote>
  <w:footnote w:id="1">
    <w:p w14:paraId="1EFD2445" w14:textId="77777777" w:rsidR="00DF7785" w:rsidRPr="00223207" w:rsidRDefault="00DF7785" w:rsidP="00C8440A">
      <w:pPr>
        <w:jc w:val="both"/>
        <w:rPr>
          <w:rFonts w:eastAsia="Times New Roman"/>
          <w:szCs w:val="20"/>
        </w:rPr>
      </w:pPr>
      <w:r>
        <w:rPr>
          <w:rStyle w:val="Rimandonotaapidipagina"/>
          <w:szCs w:val="20"/>
          <w:lang w:val="en-GB"/>
        </w:rPr>
        <w:footnoteRef/>
      </w:r>
      <w:r>
        <w:rPr>
          <w:szCs w:val="20"/>
          <w:lang w:val="en-GB"/>
        </w:rPr>
        <w:t xml:space="preserve"> Abbreviations: ACMo = Archivio del Capitolo [Chapter Archive], Modena; ASDMN = Archivio Storico Diocesano di Modena-Nonantola [Historical Diocesan Archives of Modena-Nonantola]; DBI = in </w:t>
      </w:r>
      <w:r>
        <w:rPr>
          <w:i/>
          <w:iCs/>
          <w:szCs w:val="20"/>
          <w:lang w:val="en-GB"/>
        </w:rPr>
        <w:t>Dizionario biografico degli Italiani</w:t>
      </w:r>
      <w:r>
        <w:rPr>
          <w:szCs w:val="20"/>
          <w:lang w:val="en-GB"/>
        </w:rPr>
        <w:t xml:space="preserve">, Rome, Istituto della Enciclopedia Italiana [Institute of the Italian Encyclopaedia], 1960 ss.; EM = </w:t>
      </w:r>
      <w:r>
        <w:rPr>
          <w:i/>
          <w:iCs/>
          <w:color w:val="000000"/>
          <w:szCs w:val="20"/>
          <w:shd w:val="clear" w:color="auto" w:fill="FFFFFF"/>
          <w:lang w:val="en-GB"/>
        </w:rPr>
        <w:t>Epistolae mixtae ex variis Europae locis ab anno 1537 ad 1556 scriptae nunc primum a patribus Societatis Jesu in luce editae</w:t>
      </w:r>
      <w:r>
        <w:rPr>
          <w:color w:val="000000"/>
          <w:szCs w:val="20"/>
          <w:shd w:val="clear" w:color="auto" w:fill="FFFFFF"/>
          <w:lang w:val="en-GB"/>
        </w:rPr>
        <w:t xml:space="preserve">, Madrid, Avrial (then Fortanet), 1898-1901, 5 vol.; </w:t>
      </w:r>
      <w:r>
        <w:rPr>
          <w:szCs w:val="20"/>
          <w:lang w:val="en-GB"/>
        </w:rPr>
        <w:t xml:space="preserve">LQ = </w:t>
      </w:r>
      <w:r>
        <w:rPr>
          <w:i/>
          <w:iCs/>
          <w:szCs w:val="20"/>
          <w:lang w:val="en-GB"/>
        </w:rPr>
        <w:t>Litterae Quadrimestres ex universis praeter Indiam et Brasiliam locis</w:t>
      </w:r>
      <w:r>
        <w:rPr>
          <w:szCs w:val="20"/>
          <w:lang w:val="en-GB"/>
        </w:rPr>
        <w:t>, Madrid,</w:t>
      </w:r>
      <w:r w:rsidR="004A4256">
        <w:rPr>
          <w:szCs w:val="20"/>
          <w:lang w:val="en-GB"/>
        </w:rPr>
        <w:t xml:space="preserve"> Avrial, Avrial, 1894, vol. I.</w:t>
      </w:r>
    </w:p>
  </w:footnote>
  <w:footnote w:id="2">
    <w:p w14:paraId="70651CBE" w14:textId="77777777" w:rsidR="00DF7785" w:rsidRPr="00223207" w:rsidRDefault="00DF7785" w:rsidP="00C9491C">
      <w:pPr>
        <w:jc w:val="both"/>
        <w:rPr>
          <w:sz w:val="24"/>
        </w:rPr>
      </w:pPr>
      <w:r>
        <w:rPr>
          <w:rStyle w:val="Rimandonotaapidipagina"/>
          <w:szCs w:val="20"/>
          <w:lang w:val="en-GB"/>
        </w:rPr>
        <w:footnoteRef/>
      </w:r>
      <w:r>
        <w:rPr>
          <w:szCs w:val="20"/>
          <w:lang w:val="en-GB"/>
        </w:rPr>
        <w:t xml:space="preserve"> F. Braudel, </w:t>
      </w:r>
      <w:r>
        <w:rPr>
          <w:i/>
          <w:iCs/>
          <w:szCs w:val="20"/>
          <w:lang w:val="en-GB"/>
        </w:rPr>
        <w:t>Civiltà e imperi del Mediterraneo nell’età di Filippo II</w:t>
      </w:r>
      <w:r>
        <w:rPr>
          <w:szCs w:val="20"/>
          <w:lang w:val="en-GB"/>
        </w:rPr>
        <w:t xml:space="preserve">, Turin, Einaudi, 1976 [or. ed. </w:t>
      </w:r>
      <w:r>
        <w:rPr>
          <w:i/>
          <w:iCs/>
          <w:szCs w:val="20"/>
          <w:lang w:val="en-GB"/>
        </w:rPr>
        <w:t>La Mediterranée et le Monde méditerranéen à l’époque de Philippe II</w:t>
      </w:r>
      <w:r>
        <w:rPr>
          <w:szCs w:val="20"/>
          <w:lang w:val="en-GB"/>
        </w:rPr>
        <w:t xml:space="preserve">, Paris, Colin, 1949], pp. 9-37, quoted here pp. 15, 18, 25. </w:t>
      </w:r>
    </w:p>
  </w:footnote>
  <w:footnote w:id="3">
    <w:p w14:paraId="720C8F45" w14:textId="77777777" w:rsidR="00DF7785" w:rsidRPr="00223207" w:rsidRDefault="00DF7785" w:rsidP="00FD6E1A">
      <w:pPr>
        <w:pStyle w:val="Testonotaapidipagina"/>
        <w:jc w:val="both"/>
        <w:rPr>
          <w:sz w:val="20"/>
          <w:szCs w:val="20"/>
        </w:rPr>
      </w:pPr>
      <w:r>
        <w:rPr>
          <w:rStyle w:val="Rimandonotaapidipagina"/>
          <w:sz w:val="20"/>
          <w:szCs w:val="20"/>
          <w:lang w:val="en-GB"/>
        </w:rPr>
        <w:footnoteRef/>
      </w:r>
      <w:r>
        <w:rPr>
          <w:sz w:val="20"/>
          <w:szCs w:val="20"/>
          <w:lang w:val="en-GB"/>
        </w:rPr>
        <w:t xml:space="preserve"> For the area considered here see M. Folin, </w:t>
      </w:r>
      <w:r>
        <w:rPr>
          <w:rStyle w:val="Enfasigrassetto"/>
          <w:rFonts w:eastAsia="Times New Roman" w:cs="Arial"/>
          <w:b w:val="0"/>
          <w:bCs w:val="0"/>
          <w:i/>
          <w:iCs/>
          <w:color w:val="000000"/>
          <w:sz w:val="20"/>
          <w:szCs w:val="20"/>
          <w:shd w:val="clear" w:color="auto" w:fill="FFFFFF"/>
          <w:lang w:val="en-GB"/>
        </w:rPr>
        <w:t>Rinascimento estense: politica, cultura, istituzioni di un antico Stato italiano</w:t>
      </w:r>
      <w:r>
        <w:rPr>
          <w:rStyle w:val="Enfasigrassetto"/>
          <w:rFonts w:eastAsia="Times New Roman" w:cs="Arial"/>
          <w:b w:val="0"/>
          <w:bCs w:val="0"/>
          <w:color w:val="000000"/>
          <w:sz w:val="20"/>
          <w:szCs w:val="20"/>
          <w:shd w:val="clear" w:color="auto" w:fill="FFFFFF"/>
          <w:lang w:val="en-GB"/>
        </w:rPr>
        <w:t>, Rome-Bari, Laterza, 2001</w:t>
      </w:r>
      <w:r>
        <w:rPr>
          <w:rStyle w:val="Enfasigrassetto"/>
          <w:rFonts w:eastAsia="Times New Roman" w:cs="Arial"/>
          <w:color w:val="000000"/>
          <w:sz w:val="20"/>
          <w:szCs w:val="20"/>
          <w:shd w:val="clear" w:color="auto" w:fill="FFFFFF"/>
          <w:lang w:val="en-GB"/>
        </w:rPr>
        <w:t>,</w:t>
      </w:r>
      <w:r>
        <w:rPr>
          <w:sz w:val="20"/>
          <w:szCs w:val="20"/>
          <w:lang w:val="en-GB"/>
        </w:rPr>
        <w:t xml:space="preserve"> pp. 111-120.</w:t>
      </w:r>
    </w:p>
  </w:footnote>
  <w:footnote w:id="4">
    <w:p w14:paraId="66E139C8" w14:textId="77777777" w:rsidR="00DF7785" w:rsidRPr="00223207" w:rsidRDefault="00DF7785" w:rsidP="00FD6E1A">
      <w:pPr>
        <w:pStyle w:val="Testonotaapidipagina"/>
        <w:jc w:val="both"/>
        <w:rPr>
          <w:sz w:val="20"/>
          <w:szCs w:val="20"/>
        </w:rPr>
      </w:pPr>
      <w:r>
        <w:rPr>
          <w:rStyle w:val="Rimandonotaapidipagina"/>
          <w:sz w:val="20"/>
          <w:szCs w:val="20"/>
          <w:lang w:val="en-GB"/>
        </w:rPr>
        <w:footnoteRef/>
      </w:r>
      <w:r>
        <w:rPr>
          <w:sz w:val="20"/>
          <w:szCs w:val="20"/>
          <w:lang w:val="en-GB"/>
        </w:rPr>
        <w:t xml:space="preserve"> S. Ragagli, </w:t>
      </w:r>
      <w:r>
        <w:rPr>
          <w:i/>
          <w:iCs/>
          <w:sz w:val="20"/>
          <w:szCs w:val="20"/>
          <w:lang w:val="en-GB"/>
        </w:rPr>
        <w:t>Landini Silvestro</w:t>
      </w:r>
      <w:r>
        <w:rPr>
          <w:sz w:val="20"/>
          <w:szCs w:val="20"/>
          <w:lang w:val="en-GB"/>
        </w:rPr>
        <w:t>, in DBI, 63 (2004), pp. 423-425 (with previous bibliography).</w:t>
      </w:r>
    </w:p>
  </w:footnote>
  <w:footnote w:id="5">
    <w:p w14:paraId="6972A743" w14:textId="77777777" w:rsidR="00DF7785" w:rsidRPr="00223207" w:rsidRDefault="00DF7785" w:rsidP="00FD6E1A">
      <w:pPr>
        <w:jc w:val="both"/>
        <w:rPr>
          <w:rFonts w:eastAsia="Times New Roman"/>
          <w:szCs w:val="20"/>
        </w:rPr>
      </w:pPr>
      <w:r>
        <w:rPr>
          <w:rStyle w:val="Rimandonotaapidipagina"/>
          <w:szCs w:val="20"/>
          <w:lang w:val="en-GB"/>
        </w:rPr>
        <w:footnoteRef/>
      </w:r>
      <w:r>
        <w:rPr>
          <w:szCs w:val="20"/>
          <w:lang w:val="en-GB"/>
        </w:rPr>
        <w:t xml:space="preserve"> For a more detailed description of the events mentioned below, see C. Luongo, </w:t>
      </w:r>
      <w:r>
        <w:rPr>
          <w:i/>
          <w:iCs/>
          <w:szCs w:val="20"/>
          <w:lang w:val="en-GB"/>
        </w:rPr>
        <w:t>Silvestro Landini e le “nostre Indie”. Un pioniere delle missioni popolari gesuitiche nell’Italia del Cinquecento</w:t>
      </w:r>
      <w:r>
        <w:rPr>
          <w:szCs w:val="20"/>
          <w:lang w:val="en-GB"/>
        </w:rPr>
        <w:t>, Florence, Atheneum, 2008,</w:t>
      </w:r>
      <w:r>
        <w:rPr>
          <w:i/>
          <w:iCs/>
          <w:szCs w:val="20"/>
          <w:lang w:val="en-GB"/>
        </w:rPr>
        <w:t xml:space="preserve"> </w:t>
      </w:r>
      <w:r>
        <w:rPr>
          <w:szCs w:val="20"/>
          <w:lang w:val="en-GB"/>
        </w:rPr>
        <w:t>pp. 144 ss</w:t>
      </w:r>
      <w:r>
        <w:rPr>
          <w:color w:val="000000"/>
          <w:szCs w:val="20"/>
          <w:shd w:val="clear" w:color="auto" w:fill="FFFFFF"/>
          <w:lang w:val="en-GB"/>
        </w:rPr>
        <w:t>.</w:t>
      </w:r>
      <w:r>
        <w:rPr>
          <w:szCs w:val="20"/>
          <w:lang w:val="en-GB"/>
        </w:rPr>
        <w:t xml:space="preserve"> A critical overview of the “conquest” promoted by Landini in A. Prosperi, </w:t>
      </w:r>
      <w:r>
        <w:rPr>
          <w:rStyle w:val="Enfasigrassetto"/>
          <w:rFonts w:eastAsia="Times New Roman" w:cs="Arial"/>
          <w:b w:val="0"/>
          <w:bCs w:val="0"/>
          <w:i/>
          <w:iCs/>
          <w:color w:val="000000"/>
          <w:szCs w:val="20"/>
          <w:shd w:val="clear" w:color="auto" w:fill="FFFFFF"/>
          <w:lang w:val="en-GB"/>
        </w:rPr>
        <w:t>Tribunali della coscienza. Inquisitori, confessori, missionari</w:t>
      </w:r>
      <w:r>
        <w:rPr>
          <w:rStyle w:val="Enfasigrassetto"/>
          <w:rFonts w:eastAsia="Times New Roman" w:cs="Arial"/>
          <w:b w:val="0"/>
          <w:bCs w:val="0"/>
          <w:color w:val="000000"/>
          <w:szCs w:val="20"/>
          <w:shd w:val="clear" w:color="auto" w:fill="FFFFFF"/>
          <w:lang w:val="en-GB"/>
        </w:rPr>
        <w:t xml:space="preserve">, Turin, Einaudi, 1996, pp. </w:t>
      </w:r>
      <w:r>
        <w:rPr>
          <w:szCs w:val="20"/>
          <w:lang w:val="en-GB"/>
        </w:rPr>
        <w:t xml:space="preserve">551-557 and O. Niccoli, </w:t>
      </w:r>
      <w:r>
        <w:rPr>
          <w:i/>
          <w:iCs/>
          <w:szCs w:val="20"/>
          <w:lang w:val="en-GB"/>
        </w:rPr>
        <w:t>Perdonare</w:t>
      </w:r>
      <w:r>
        <w:rPr>
          <w:szCs w:val="20"/>
          <w:lang w:val="en-GB"/>
        </w:rPr>
        <w:t xml:space="preserve">. </w:t>
      </w:r>
      <w:r>
        <w:rPr>
          <w:i/>
          <w:iCs/>
          <w:color w:val="000000"/>
          <w:szCs w:val="20"/>
          <w:shd w:val="clear" w:color="auto" w:fill="FFFFFF"/>
          <w:lang w:val="en-GB"/>
        </w:rPr>
        <w:t>Idee, pratiche, rituali in Italia tra Cinque e Seicento</w:t>
      </w:r>
      <w:r>
        <w:rPr>
          <w:color w:val="000000"/>
          <w:szCs w:val="20"/>
          <w:shd w:val="clear" w:color="auto" w:fill="FFFFFF"/>
          <w:lang w:val="en-GB"/>
        </w:rPr>
        <w:t>, Rome-Bari, Laterza, 2007, pp. 173-179.</w:t>
      </w:r>
    </w:p>
  </w:footnote>
  <w:footnote w:id="6">
    <w:p w14:paraId="6E87ADF9" w14:textId="77777777" w:rsidR="00DF7785" w:rsidRPr="00223207" w:rsidRDefault="00DF7785" w:rsidP="00556A61">
      <w:pPr>
        <w:pStyle w:val="Testonotaapidipagina"/>
        <w:jc w:val="both"/>
        <w:rPr>
          <w:sz w:val="20"/>
          <w:szCs w:val="20"/>
        </w:rPr>
      </w:pPr>
      <w:r>
        <w:rPr>
          <w:rStyle w:val="Rimandonotaapidipagina"/>
          <w:sz w:val="20"/>
          <w:szCs w:val="20"/>
          <w:lang w:val="en-GB"/>
        </w:rPr>
        <w:footnoteRef/>
      </w:r>
      <w:r>
        <w:rPr>
          <w:sz w:val="20"/>
          <w:szCs w:val="20"/>
          <w:lang w:val="en-GB"/>
        </w:rPr>
        <w:t xml:space="preserve"> See LQ, pp. 54-56. </w:t>
      </w:r>
    </w:p>
  </w:footnote>
  <w:footnote w:id="7">
    <w:p w14:paraId="662A143A" w14:textId="77777777" w:rsidR="00DF7785" w:rsidRPr="00223207" w:rsidRDefault="00DF7785" w:rsidP="002E10DF">
      <w:pPr>
        <w:pStyle w:val="Testonotaapidipagina"/>
        <w:jc w:val="both"/>
        <w:rPr>
          <w:sz w:val="20"/>
          <w:szCs w:val="20"/>
        </w:rPr>
      </w:pPr>
      <w:r>
        <w:rPr>
          <w:rStyle w:val="Rimandonotaapidipagina"/>
          <w:sz w:val="20"/>
          <w:szCs w:val="20"/>
          <w:lang w:val="en-GB"/>
        </w:rPr>
        <w:footnoteRef/>
      </w:r>
      <w:r>
        <w:rPr>
          <w:sz w:val="20"/>
          <w:szCs w:val="20"/>
          <w:lang w:val="en-GB"/>
        </w:rPr>
        <w:t xml:space="preserve"> Regarding the social function of the holy sacraments, see J. Bossy, </w:t>
      </w:r>
      <w:r>
        <w:rPr>
          <w:i/>
          <w:iCs/>
          <w:sz w:val="20"/>
          <w:szCs w:val="20"/>
          <w:lang w:val="en-GB"/>
        </w:rPr>
        <w:t>The Mass as a Social Institution, 1200-1700</w:t>
      </w:r>
      <w:r>
        <w:rPr>
          <w:sz w:val="20"/>
          <w:szCs w:val="20"/>
          <w:lang w:val="en-GB"/>
        </w:rPr>
        <w:t>, in: “Past and Present” 100 (1983), pp. 29-61 [</w:t>
      </w:r>
      <w:r>
        <w:rPr>
          <w:sz w:val="20"/>
          <w:szCs w:val="20"/>
          <w:highlight w:val="yellow"/>
          <w:lang w:val="en-GB"/>
        </w:rPr>
        <w:t>comment</w:t>
      </w:r>
      <w:r>
        <w:rPr>
          <w:sz w:val="20"/>
          <w:szCs w:val="20"/>
          <w:lang w:val="en-GB"/>
        </w:rPr>
        <w:t>]</w:t>
      </w:r>
      <w:r>
        <w:rPr>
          <w:i/>
          <w:iCs/>
          <w:sz w:val="20"/>
          <w:szCs w:val="20"/>
          <w:lang w:val="en-GB"/>
        </w:rPr>
        <w:t xml:space="preserve">. </w:t>
      </w:r>
    </w:p>
  </w:footnote>
  <w:footnote w:id="8">
    <w:p w14:paraId="7756EF20" w14:textId="77777777" w:rsidR="00DF7785" w:rsidRPr="000D6FD5" w:rsidRDefault="00DF7785" w:rsidP="000D6FD5">
      <w:pPr>
        <w:jc w:val="both"/>
        <w:rPr>
          <w:rFonts w:eastAsia="Times New Roman"/>
          <w:szCs w:val="20"/>
        </w:rPr>
      </w:pPr>
      <w:r>
        <w:rPr>
          <w:rStyle w:val="Rimandonotaapidipagina"/>
          <w:szCs w:val="20"/>
          <w:lang w:val="en-GB"/>
        </w:rPr>
        <w:footnoteRef/>
      </w:r>
      <w:r>
        <w:rPr>
          <w:szCs w:val="20"/>
          <w:lang w:val="en-GB"/>
        </w:rPr>
        <w:t xml:space="preserve"> On the establishment of confraternities by Jesuits during missions, see J. O’Malley, </w:t>
      </w:r>
      <w:r>
        <w:rPr>
          <w:i/>
          <w:iCs/>
          <w:szCs w:val="20"/>
          <w:lang w:val="en-GB"/>
        </w:rPr>
        <w:t>The first Jesuits</w:t>
      </w:r>
      <w:r>
        <w:rPr>
          <w:szCs w:val="20"/>
          <w:lang w:val="en-GB"/>
        </w:rPr>
        <w:t xml:space="preserve">, </w:t>
      </w:r>
      <w:r>
        <w:rPr>
          <w:szCs w:val="20"/>
          <w:highlight w:val="yellow"/>
          <w:lang w:val="en-GB"/>
        </w:rPr>
        <w:t>xxxx</w:t>
      </w:r>
      <w:r>
        <w:rPr>
          <w:szCs w:val="20"/>
          <w:lang w:val="en-GB"/>
        </w:rPr>
        <w:t xml:space="preserve">; C. Black, </w:t>
      </w:r>
      <w:r>
        <w:rPr>
          <w:i/>
          <w:iCs/>
          <w:color w:val="000000"/>
          <w:szCs w:val="20"/>
          <w:shd w:val="clear" w:color="auto" w:fill="FFFFFF"/>
          <w:lang w:val="en-GB"/>
        </w:rPr>
        <w:t>Italian confraternities in the sixteenth century</w:t>
      </w:r>
      <w:r>
        <w:rPr>
          <w:szCs w:val="20"/>
          <w:lang w:val="en-GB"/>
        </w:rPr>
        <w:t xml:space="preserve">, </w:t>
      </w:r>
      <w:r>
        <w:rPr>
          <w:color w:val="000000"/>
          <w:szCs w:val="20"/>
          <w:shd w:val="clear" w:color="auto" w:fill="FFFFFF"/>
          <w:lang w:val="en-GB"/>
        </w:rPr>
        <w:t xml:space="preserve">Cambridge, Cambridge University press, 1989, pp. </w:t>
      </w:r>
      <w:r>
        <w:rPr>
          <w:color w:val="000000"/>
          <w:szCs w:val="20"/>
          <w:highlight w:val="yellow"/>
          <w:shd w:val="clear" w:color="auto" w:fill="FFFFFF"/>
          <w:lang w:val="en-GB"/>
        </w:rPr>
        <w:t>xxxx</w:t>
      </w:r>
      <w:r>
        <w:rPr>
          <w:color w:val="000000"/>
          <w:szCs w:val="20"/>
          <w:shd w:val="clear" w:color="auto" w:fill="FFFFFF"/>
          <w:lang w:val="en-GB"/>
        </w:rPr>
        <w:t>.</w:t>
      </w:r>
      <w:r>
        <w:rPr>
          <w:szCs w:val="20"/>
          <w:lang w:val="en-GB"/>
        </w:rPr>
        <w:t xml:space="preserve"> On the role of confraternities in the “civilisation” process in Italy during the early modern period, see the collection by N. Terpstra (ed.), </w:t>
      </w:r>
      <w:r>
        <w:rPr>
          <w:i/>
          <w:iCs/>
          <w:color w:val="000000"/>
          <w:szCs w:val="20"/>
          <w:shd w:val="clear" w:color="auto" w:fill="FFFFFF"/>
          <w:lang w:val="en-GB"/>
        </w:rPr>
        <w:t>The Politics of Ritual Kinship:</w:t>
      </w:r>
      <w:r>
        <w:rPr>
          <w:color w:val="000000"/>
          <w:szCs w:val="20"/>
          <w:shd w:val="clear" w:color="auto" w:fill="FFFFFF"/>
          <w:lang w:val="en-GB"/>
        </w:rPr>
        <w:t xml:space="preserve"> </w:t>
      </w:r>
      <w:r>
        <w:rPr>
          <w:i/>
          <w:iCs/>
          <w:color w:val="000000"/>
          <w:szCs w:val="20"/>
          <w:shd w:val="clear" w:color="auto" w:fill="FFFFFF"/>
          <w:lang w:val="en-GB"/>
        </w:rPr>
        <w:t>Confraternities and Social Order in Early Modern Italy</w:t>
      </w:r>
      <w:r>
        <w:rPr>
          <w:color w:val="000000"/>
          <w:szCs w:val="20"/>
          <w:shd w:val="clear" w:color="auto" w:fill="FFFFFF"/>
          <w:lang w:val="en-GB"/>
        </w:rPr>
        <w:t>, Cambridge, Cambridge University press, 2000</w:t>
      </w:r>
      <w:r>
        <w:rPr>
          <w:szCs w:val="20"/>
          <w:lang w:val="en-GB"/>
        </w:rPr>
        <w:t xml:space="preserve">. </w:t>
      </w:r>
    </w:p>
  </w:footnote>
  <w:footnote w:id="9">
    <w:p w14:paraId="5D209AB4" w14:textId="77777777" w:rsidR="00DF7785" w:rsidRPr="000D6FD5" w:rsidRDefault="00DF7785" w:rsidP="000D6FD5">
      <w:pPr>
        <w:pStyle w:val="Testonotaapidipagina"/>
        <w:jc w:val="both"/>
        <w:rPr>
          <w:sz w:val="20"/>
          <w:szCs w:val="20"/>
        </w:rPr>
      </w:pPr>
      <w:r>
        <w:rPr>
          <w:rStyle w:val="Rimandonotaapidipagina"/>
          <w:sz w:val="20"/>
          <w:szCs w:val="20"/>
          <w:lang w:val="en-GB"/>
        </w:rPr>
        <w:footnoteRef/>
      </w:r>
      <w:r>
        <w:rPr>
          <w:sz w:val="20"/>
          <w:szCs w:val="20"/>
          <w:lang w:val="en-GB"/>
        </w:rPr>
        <w:t xml:space="preserve"> See the letter by Turiano to Loyola in EM, I, pp. 445-446 (27</w:t>
      </w:r>
      <w:r>
        <w:rPr>
          <w:sz w:val="20"/>
          <w:szCs w:val="20"/>
          <w:vertAlign w:val="superscript"/>
          <w:lang w:val="en-GB"/>
        </w:rPr>
        <w:t>th</w:t>
      </w:r>
      <w:r>
        <w:rPr>
          <w:sz w:val="20"/>
          <w:szCs w:val="20"/>
          <w:lang w:val="en-GB"/>
        </w:rPr>
        <w:t xml:space="preserve"> November 1547).</w:t>
      </w:r>
    </w:p>
  </w:footnote>
  <w:footnote w:id="10">
    <w:p w14:paraId="46DBE3CD" w14:textId="77777777" w:rsidR="00DF7785" w:rsidRPr="00B6139E" w:rsidRDefault="00DF7785" w:rsidP="00385DF5">
      <w:pPr>
        <w:pStyle w:val="Testonotaapidipagina"/>
        <w:jc w:val="both"/>
        <w:rPr>
          <w:sz w:val="20"/>
          <w:szCs w:val="20"/>
        </w:rPr>
      </w:pPr>
      <w:r>
        <w:rPr>
          <w:rStyle w:val="Rimandonotaapidipagina"/>
          <w:sz w:val="20"/>
          <w:szCs w:val="20"/>
          <w:lang w:val="en-GB"/>
        </w:rPr>
        <w:footnoteRef/>
      </w:r>
      <w:r>
        <w:rPr>
          <w:sz w:val="20"/>
          <w:szCs w:val="20"/>
          <w:lang w:val="en-GB"/>
        </w:rPr>
        <w:t xml:space="preserve"> In 1549 in Casola, after hearing Landini preach the </w:t>
      </w:r>
      <w:r>
        <w:rPr>
          <w:i/>
          <w:iCs/>
          <w:sz w:val="20"/>
          <w:szCs w:val="20"/>
          <w:lang w:val="en-GB"/>
        </w:rPr>
        <w:t>Esercizi,</w:t>
      </w:r>
      <w:r>
        <w:rPr>
          <w:sz w:val="20"/>
          <w:szCs w:val="20"/>
          <w:lang w:val="en-GB"/>
        </w:rPr>
        <w:t xml:space="preserve"> some priests had even asked to join the Society of Jesus; see letter by Landini to Ignatius in LQ, </w:t>
      </w:r>
      <w:r>
        <w:rPr>
          <w:sz w:val="20"/>
          <w:szCs w:val="20"/>
          <w:highlight w:val="green"/>
          <w:lang w:val="en-GB"/>
        </w:rPr>
        <w:t>p. 157</w:t>
      </w:r>
      <w:r>
        <w:rPr>
          <w:sz w:val="20"/>
          <w:szCs w:val="20"/>
          <w:lang w:val="en-GB"/>
        </w:rPr>
        <w:t xml:space="preserve"> (Puglianella, 25</w:t>
      </w:r>
      <w:r>
        <w:rPr>
          <w:sz w:val="20"/>
          <w:szCs w:val="20"/>
          <w:vertAlign w:val="superscript"/>
          <w:lang w:val="en-GB"/>
        </w:rPr>
        <w:t>th</w:t>
      </w:r>
      <w:r>
        <w:rPr>
          <w:sz w:val="20"/>
          <w:szCs w:val="20"/>
          <w:lang w:val="en-GB"/>
        </w:rPr>
        <w:t xml:space="preserve"> June 1549).</w:t>
      </w:r>
    </w:p>
  </w:footnote>
  <w:footnote w:id="11">
    <w:p w14:paraId="7CBF0556" w14:textId="77777777" w:rsidR="00DF7785" w:rsidRPr="00B6139E" w:rsidRDefault="00DF7785" w:rsidP="00FD6E1A">
      <w:pPr>
        <w:pStyle w:val="Testonotaapidipagina"/>
        <w:jc w:val="both"/>
        <w:rPr>
          <w:sz w:val="20"/>
          <w:szCs w:val="20"/>
        </w:rPr>
      </w:pPr>
      <w:r>
        <w:rPr>
          <w:rStyle w:val="Rimandonotaapidipagina"/>
          <w:sz w:val="20"/>
          <w:szCs w:val="20"/>
          <w:lang w:val="en-GB"/>
        </w:rPr>
        <w:footnoteRef/>
      </w:r>
      <w:r>
        <w:rPr>
          <w:sz w:val="20"/>
          <w:szCs w:val="20"/>
          <w:lang w:val="en-GB"/>
        </w:rPr>
        <w:t xml:space="preserve"> The expressions are taken from a letter to Polanco in which Landini recounted his experience; see LQ, pp. 80-83 (Malgrate, 7</w:t>
      </w:r>
      <w:r>
        <w:rPr>
          <w:sz w:val="20"/>
          <w:szCs w:val="20"/>
          <w:vertAlign w:val="superscript"/>
          <w:lang w:val="en-GB"/>
        </w:rPr>
        <w:t>th</w:t>
      </w:r>
      <w:r>
        <w:rPr>
          <w:sz w:val="20"/>
          <w:szCs w:val="20"/>
          <w:lang w:val="en-GB"/>
        </w:rPr>
        <w:t xml:space="preserve"> February 1548).</w:t>
      </w:r>
    </w:p>
  </w:footnote>
  <w:footnote w:id="12">
    <w:p w14:paraId="473CBA97" w14:textId="77777777" w:rsidR="00DF7785" w:rsidRPr="00B6139E" w:rsidRDefault="00DF7785" w:rsidP="00FD6E1A">
      <w:pPr>
        <w:jc w:val="both"/>
        <w:rPr>
          <w:rFonts w:eastAsia="Times New Roman"/>
          <w:szCs w:val="20"/>
        </w:rPr>
      </w:pPr>
      <w:r>
        <w:rPr>
          <w:rStyle w:val="Rimandonotaapidipagina"/>
          <w:szCs w:val="20"/>
          <w:lang w:val="en-GB"/>
        </w:rPr>
        <w:footnoteRef/>
      </w:r>
      <w:r>
        <w:rPr>
          <w:szCs w:val="20"/>
          <w:lang w:val="en-GB"/>
        </w:rPr>
        <w:t xml:space="preserve"> Suffice to see S. Adorni Braccesi, </w:t>
      </w:r>
      <w:r>
        <w:rPr>
          <w:i/>
          <w:iCs/>
          <w:color w:val="000000"/>
          <w:szCs w:val="20"/>
          <w:shd w:val="clear" w:color="auto" w:fill="FFFFFF"/>
          <w:lang w:val="en-GB"/>
        </w:rPr>
        <w:t>Una città infetta.</w:t>
      </w:r>
      <w:r>
        <w:rPr>
          <w:color w:val="000000"/>
          <w:szCs w:val="20"/>
          <w:shd w:val="clear" w:color="auto" w:fill="FFFFFF"/>
          <w:lang w:val="en-GB"/>
        </w:rPr>
        <w:t xml:space="preserve"> </w:t>
      </w:r>
      <w:r>
        <w:rPr>
          <w:i/>
          <w:iCs/>
          <w:color w:val="000000"/>
          <w:szCs w:val="20"/>
          <w:shd w:val="clear" w:color="auto" w:fill="FFFFFF"/>
          <w:lang w:val="en-GB"/>
        </w:rPr>
        <w:t>La Repubblica di Lucca nella crisi religiosa del Cinquecento</w:t>
      </w:r>
      <w:r>
        <w:rPr>
          <w:color w:val="000000"/>
          <w:szCs w:val="20"/>
          <w:shd w:val="clear" w:color="auto" w:fill="FFFFFF"/>
          <w:lang w:val="en-GB"/>
        </w:rPr>
        <w:t>, Florence, Olschki, 1994.</w:t>
      </w:r>
    </w:p>
  </w:footnote>
  <w:footnote w:id="13">
    <w:p w14:paraId="7FCF008D" w14:textId="77777777" w:rsidR="00DF7785" w:rsidRPr="00223207" w:rsidRDefault="00DF7785" w:rsidP="00B973A2">
      <w:pPr>
        <w:jc w:val="both"/>
        <w:rPr>
          <w:rFonts w:eastAsia="Times New Roman"/>
          <w:szCs w:val="20"/>
        </w:rPr>
      </w:pPr>
      <w:r>
        <w:rPr>
          <w:rStyle w:val="Rimandonotaapidipagina"/>
          <w:szCs w:val="20"/>
          <w:lang w:val="en-GB"/>
        </w:rPr>
        <w:footnoteRef/>
      </w:r>
      <w:r>
        <w:rPr>
          <w:szCs w:val="20"/>
          <w:lang w:val="en-GB"/>
        </w:rPr>
        <w:t xml:space="preserve"> Landini’s long report on the heretics of Lunigiana, dated 1548, is published in LQ, pp. 133-135, and mentioned also by S. Caponetto, </w:t>
      </w:r>
      <w:r>
        <w:rPr>
          <w:i/>
          <w:iCs/>
          <w:color w:val="000000"/>
          <w:szCs w:val="20"/>
          <w:shd w:val="clear" w:color="auto" w:fill="FFFFFF"/>
          <w:lang w:val="en-GB"/>
        </w:rPr>
        <w:t>The Protestant Reformation in sixteenth-century Italy</w:t>
      </w:r>
      <w:r>
        <w:rPr>
          <w:color w:val="000000"/>
          <w:szCs w:val="20"/>
          <w:shd w:val="clear" w:color="auto" w:fill="FFFFFF"/>
          <w:lang w:val="en-GB"/>
        </w:rPr>
        <w:t>,</w:t>
      </w:r>
      <w:r>
        <w:rPr>
          <w:b/>
          <w:bCs/>
          <w:color w:val="000000"/>
          <w:szCs w:val="20"/>
          <w:shd w:val="clear" w:color="auto" w:fill="FFFFFF"/>
          <w:lang w:val="en-GB"/>
        </w:rPr>
        <w:t xml:space="preserve"> </w:t>
      </w:r>
      <w:r>
        <w:rPr>
          <w:color w:val="000000"/>
          <w:szCs w:val="20"/>
          <w:shd w:val="clear" w:color="auto" w:fill="FFFFFF"/>
          <w:lang w:val="en-GB"/>
        </w:rPr>
        <w:t xml:space="preserve">Kirksville, Mo, Thomas Jefferson University Press, 1999, </w:t>
      </w:r>
      <w:r>
        <w:rPr>
          <w:szCs w:val="20"/>
          <w:lang w:val="en-GB"/>
        </w:rPr>
        <w:t xml:space="preserve">pp. </w:t>
      </w:r>
      <w:r>
        <w:rPr>
          <w:szCs w:val="20"/>
          <w:highlight w:val="green"/>
          <w:lang w:val="en-GB"/>
        </w:rPr>
        <w:t>339-340</w:t>
      </w:r>
      <w:r>
        <w:rPr>
          <w:szCs w:val="20"/>
          <w:lang w:val="en-GB"/>
        </w:rPr>
        <w:t>. Confirmation of the gravity of the situation and the influence brought to bear by heterodox groups from Lucca on Lunigiana, can also be found in a letter to Ignatius of Loyola, penned by Raffaello Augustini of Fivizzano on 15</w:t>
      </w:r>
      <w:r>
        <w:rPr>
          <w:szCs w:val="20"/>
          <w:vertAlign w:val="superscript"/>
          <w:lang w:val="en-GB"/>
        </w:rPr>
        <w:t>th</w:t>
      </w:r>
      <w:r>
        <w:rPr>
          <w:szCs w:val="20"/>
          <w:lang w:val="en-GB"/>
        </w:rPr>
        <w:t xml:space="preserve"> May 1548: see EM, I, pp. 497-499. </w:t>
      </w:r>
    </w:p>
  </w:footnote>
  <w:footnote w:id="14">
    <w:p w14:paraId="43552F49" w14:textId="77777777" w:rsidR="00DF7785" w:rsidRPr="00223207" w:rsidRDefault="00DF7785" w:rsidP="00445106">
      <w:pPr>
        <w:jc w:val="both"/>
        <w:rPr>
          <w:rFonts w:eastAsia="Times New Roman"/>
          <w:szCs w:val="20"/>
        </w:rPr>
      </w:pPr>
      <w:r>
        <w:rPr>
          <w:rStyle w:val="Rimandonotaapidipagina"/>
          <w:szCs w:val="20"/>
          <w:lang w:val="en-GB"/>
        </w:rPr>
        <w:footnoteRef/>
      </w:r>
      <w:r>
        <w:rPr>
          <w:szCs w:val="20"/>
          <w:lang w:val="en-GB"/>
        </w:rPr>
        <w:t xml:space="preserve"> “In response to an appeal from Landini, Captain Giovanni Corso [one of the faction leaders] suddenly replied: Father, what do you bid me to do? You must seek and give pardon for offenses given and received, instructed Landini. Upon these words spoken by the priest, almost as if God himself had uttered them, he suddenly threw down his weapon, fell to his knees and cried: peace, peace. On hearing this, the supporters of both factions began crying: peace, peace” (Archivum Romanum Societatis Jesu, </w:t>
      </w:r>
      <w:r>
        <w:rPr>
          <w:i/>
          <w:iCs/>
          <w:szCs w:val="20"/>
          <w:lang w:val="en-GB"/>
        </w:rPr>
        <w:t>Med.</w:t>
      </w:r>
      <w:r>
        <w:rPr>
          <w:szCs w:val="20"/>
          <w:lang w:val="en-GB"/>
        </w:rPr>
        <w:t xml:space="preserve">, 98, </w:t>
      </w:r>
      <w:r>
        <w:rPr>
          <w:i/>
          <w:iCs/>
          <w:szCs w:val="20"/>
          <w:lang w:val="en-GB"/>
        </w:rPr>
        <w:t>De Societate in Corsica (1552-1638</w:t>
      </w:r>
      <w:r>
        <w:rPr>
          <w:szCs w:val="20"/>
          <w:lang w:val="en-GB"/>
        </w:rPr>
        <w:t xml:space="preserve">), quoted in C. Luongo, </w:t>
      </w:r>
      <w:r>
        <w:rPr>
          <w:i/>
          <w:iCs/>
          <w:szCs w:val="20"/>
          <w:lang w:val="en-GB"/>
        </w:rPr>
        <w:t xml:space="preserve">Silvestro Landini </w:t>
      </w:r>
      <w:r>
        <w:rPr>
          <w:szCs w:val="20"/>
          <w:lang w:val="en-GB"/>
        </w:rPr>
        <w:t xml:space="preserve">quote pp. 193-194, n. 465). On peacemaking rituals in the early modern period, see P. Broggio, M.P. Paoli (ed.), </w:t>
      </w:r>
      <w:r>
        <w:rPr>
          <w:i/>
          <w:iCs/>
          <w:szCs w:val="20"/>
          <w:lang w:val="en-GB"/>
        </w:rPr>
        <w:t>Stringere la pace: teorie e pratiche della conciliazione nell’Europa moderna (secoli XV-XVIII)</w:t>
      </w:r>
      <w:r>
        <w:rPr>
          <w:szCs w:val="20"/>
          <w:lang w:val="en-GB"/>
        </w:rPr>
        <w:t>, Rome, Viella, 2011</w:t>
      </w:r>
      <w:r>
        <w:rPr>
          <w:szCs w:val="20"/>
          <w:shd w:val="clear" w:color="auto" w:fill="FFFFFF"/>
          <w:lang w:val="en-GB"/>
        </w:rPr>
        <w:t>.</w:t>
      </w:r>
    </w:p>
  </w:footnote>
  <w:footnote w:id="15">
    <w:p w14:paraId="3603EC58" w14:textId="77777777" w:rsidR="00DF7785" w:rsidRPr="00223207" w:rsidRDefault="00DF7785" w:rsidP="00FD6E1A">
      <w:pPr>
        <w:pStyle w:val="Testonotaapidipagina"/>
        <w:jc w:val="both"/>
        <w:rPr>
          <w:sz w:val="20"/>
          <w:szCs w:val="20"/>
        </w:rPr>
      </w:pPr>
      <w:r>
        <w:rPr>
          <w:rStyle w:val="Rimandonotaapidipagina"/>
          <w:sz w:val="20"/>
          <w:szCs w:val="20"/>
          <w:lang w:val="en-GB"/>
        </w:rPr>
        <w:footnoteRef/>
      </w:r>
      <w:r>
        <w:rPr>
          <w:sz w:val="20"/>
          <w:szCs w:val="20"/>
          <w:lang w:val="en-GB"/>
        </w:rPr>
        <w:t xml:space="preserve"> Letter of father Sebastiano Lombardelli, penned in Casola on 15</w:t>
      </w:r>
      <w:r>
        <w:rPr>
          <w:sz w:val="20"/>
          <w:szCs w:val="20"/>
          <w:vertAlign w:val="superscript"/>
          <w:lang w:val="en-GB"/>
        </w:rPr>
        <w:t>th</w:t>
      </w:r>
      <w:r>
        <w:rPr>
          <w:sz w:val="20"/>
          <w:szCs w:val="20"/>
          <w:lang w:val="en-GB"/>
        </w:rPr>
        <w:t xml:space="preserve"> July 1549, published in EM, II, pp. 252-253.</w:t>
      </w:r>
    </w:p>
  </w:footnote>
  <w:footnote w:id="16">
    <w:p w14:paraId="4F8ECA3A" w14:textId="77777777" w:rsidR="00DF7785" w:rsidRPr="00223207" w:rsidRDefault="00DF7785" w:rsidP="00FD6E1A">
      <w:pPr>
        <w:jc w:val="both"/>
        <w:rPr>
          <w:rFonts w:eastAsia="Times New Roman"/>
          <w:b/>
          <w:szCs w:val="20"/>
        </w:rPr>
      </w:pPr>
      <w:r>
        <w:rPr>
          <w:rStyle w:val="Rimandonotaapidipagina"/>
          <w:szCs w:val="20"/>
          <w:lang w:val="en-GB"/>
        </w:rPr>
        <w:footnoteRef/>
      </w:r>
      <w:r>
        <w:rPr>
          <w:szCs w:val="20"/>
          <w:lang w:val="en-GB"/>
        </w:rPr>
        <w:t xml:space="preserve"> For an overview of the situation and its protagonists, see C. Baja Guarienti, </w:t>
      </w:r>
      <w:r>
        <w:rPr>
          <w:i/>
          <w:iCs/>
          <w:szCs w:val="20"/>
          <w:shd w:val="clear" w:color="auto" w:fill="FFFFFF"/>
          <w:lang w:val="en-GB"/>
        </w:rPr>
        <w:t>Il bandito e il governatore. Domenico d’Amorotto e Francesco Guicciardini nell’età delle guerre d’Italia</w:t>
      </w:r>
      <w:r>
        <w:rPr>
          <w:szCs w:val="20"/>
          <w:shd w:val="clear" w:color="auto" w:fill="FFFFFF"/>
          <w:lang w:val="en-GB"/>
        </w:rPr>
        <w:t>, Rome, Viella, 2014</w:t>
      </w:r>
      <w:r>
        <w:rPr>
          <w:szCs w:val="20"/>
          <w:lang w:val="en-GB"/>
        </w:rPr>
        <w:t>.</w:t>
      </w:r>
    </w:p>
  </w:footnote>
  <w:footnote w:id="17">
    <w:p w14:paraId="33F1003E" w14:textId="77777777" w:rsidR="00DF7785" w:rsidRPr="00223207" w:rsidRDefault="00DF7785" w:rsidP="00FD6E1A">
      <w:pPr>
        <w:pStyle w:val="Testonotaapidipagina"/>
        <w:jc w:val="both"/>
        <w:rPr>
          <w:sz w:val="20"/>
          <w:szCs w:val="20"/>
        </w:rPr>
      </w:pPr>
      <w:r>
        <w:rPr>
          <w:rStyle w:val="Rimandonotaapidipagina"/>
          <w:sz w:val="20"/>
          <w:szCs w:val="20"/>
          <w:lang w:val="en-GB"/>
        </w:rPr>
        <w:footnoteRef/>
      </w:r>
      <w:r>
        <w:rPr>
          <w:sz w:val="20"/>
          <w:szCs w:val="20"/>
          <w:lang w:val="en-GB"/>
        </w:rPr>
        <w:t xml:space="preserve"> EM, II, pp. 556-557. </w:t>
      </w:r>
    </w:p>
  </w:footnote>
  <w:footnote w:id="18">
    <w:p w14:paraId="3FA316F3" w14:textId="77777777" w:rsidR="00DF7785" w:rsidRPr="00223207" w:rsidRDefault="00DF7785" w:rsidP="00FD6E1A">
      <w:pPr>
        <w:pStyle w:val="Testonotaapidipagina"/>
        <w:jc w:val="both"/>
        <w:rPr>
          <w:sz w:val="20"/>
          <w:szCs w:val="20"/>
        </w:rPr>
      </w:pPr>
      <w:r>
        <w:rPr>
          <w:rStyle w:val="Rimandonotaapidipagina"/>
          <w:sz w:val="20"/>
          <w:szCs w:val="20"/>
          <w:lang w:val="en-GB"/>
        </w:rPr>
        <w:footnoteRef/>
      </w:r>
      <w:r>
        <w:rPr>
          <w:sz w:val="20"/>
          <w:szCs w:val="20"/>
          <w:lang w:val="en-GB"/>
        </w:rPr>
        <w:t xml:space="preserve"> Letter to Ignatius of Loyola, from Roccapelago, 6</w:t>
      </w:r>
      <w:r>
        <w:rPr>
          <w:sz w:val="20"/>
          <w:szCs w:val="20"/>
          <w:vertAlign w:val="superscript"/>
          <w:lang w:val="en-GB"/>
        </w:rPr>
        <w:t>th</w:t>
      </w:r>
      <w:r>
        <w:rPr>
          <w:sz w:val="20"/>
          <w:szCs w:val="20"/>
          <w:lang w:val="en-GB"/>
        </w:rPr>
        <w:t xml:space="preserve"> June 1551, in EM, II, p. 558.</w:t>
      </w:r>
    </w:p>
  </w:footnote>
  <w:footnote w:id="19">
    <w:p w14:paraId="6EB44C9B" w14:textId="77777777" w:rsidR="00DF7785" w:rsidRPr="00223207" w:rsidRDefault="00DF7785" w:rsidP="00FD6E1A">
      <w:pPr>
        <w:pStyle w:val="Testonotaapidipagina"/>
        <w:jc w:val="both"/>
        <w:rPr>
          <w:sz w:val="20"/>
          <w:szCs w:val="20"/>
        </w:rPr>
      </w:pPr>
      <w:r>
        <w:rPr>
          <w:rStyle w:val="Rimandonotaapidipagina"/>
          <w:sz w:val="20"/>
          <w:szCs w:val="20"/>
          <w:lang w:val="en-GB"/>
        </w:rPr>
        <w:footnoteRef/>
      </w:r>
      <w:r>
        <w:rPr>
          <w:sz w:val="20"/>
          <w:szCs w:val="20"/>
          <w:lang w:val="en-GB"/>
        </w:rPr>
        <w:t xml:space="preserve"> Making periodical reports of large-scale heresy, Landini travelled between Lucca and Modena, two of the most religiously “corrupt” cities of the sixteenth century, and during the months he spent in Umbria, before his mission in the Modena area, he worked alongside the irenic bishop, Isidoro Cucchi. Sources indicate links with cardinal Juan Álvarez de Toledo, an authoritative member of the Holy Office, who is believed to have instructed him to carry out close observation of areas visited (see J.A. de Polanco, </w:t>
      </w:r>
      <w:r>
        <w:rPr>
          <w:i/>
          <w:iCs/>
          <w:sz w:val="20"/>
          <w:szCs w:val="20"/>
          <w:lang w:val="en-GB"/>
        </w:rPr>
        <w:t>Vita Ignatii Loiolae et rerum Societatis Jesu historica</w:t>
      </w:r>
      <w:r>
        <w:rPr>
          <w:sz w:val="20"/>
          <w:szCs w:val="20"/>
          <w:lang w:val="en-GB"/>
        </w:rPr>
        <w:t>, Madri</w:t>
      </w:r>
      <w:r w:rsidR="004A4256">
        <w:rPr>
          <w:sz w:val="20"/>
          <w:szCs w:val="20"/>
          <w:lang w:val="en-GB"/>
        </w:rPr>
        <w:t>d, Avrial, 1894, II, p. 23).</w:t>
      </w:r>
    </w:p>
  </w:footnote>
  <w:footnote w:id="20">
    <w:p w14:paraId="15EBB878" w14:textId="77777777" w:rsidR="00DF7785" w:rsidRPr="00223207" w:rsidRDefault="00DF7785" w:rsidP="00FD6E1A">
      <w:pPr>
        <w:pStyle w:val="Testonotaapidipagina"/>
        <w:jc w:val="both"/>
        <w:rPr>
          <w:sz w:val="20"/>
          <w:szCs w:val="20"/>
        </w:rPr>
      </w:pPr>
      <w:r>
        <w:rPr>
          <w:rStyle w:val="Rimandonotaapidipagina"/>
          <w:sz w:val="20"/>
          <w:szCs w:val="20"/>
          <w:lang w:val="en-GB"/>
        </w:rPr>
        <w:footnoteRef/>
      </w:r>
      <w:r>
        <w:rPr>
          <w:sz w:val="20"/>
          <w:szCs w:val="20"/>
          <w:lang w:val="en-GB"/>
        </w:rPr>
        <w:t xml:space="preserve"> On this codification of the figure and work of Landini, see B. Majorana, </w:t>
      </w:r>
      <w:r>
        <w:rPr>
          <w:i/>
          <w:iCs/>
          <w:sz w:val="20"/>
          <w:szCs w:val="20"/>
          <w:lang w:val="en-GB"/>
        </w:rPr>
        <w:t>«Siendo y mostrándose».</w:t>
      </w:r>
      <w:r>
        <w:rPr>
          <w:sz w:val="20"/>
          <w:szCs w:val="20"/>
          <w:lang w:val="en-GB"/>
        </w:rPr>
        <w:t xml:space="preserve"> </w:t>
      </w:r>
      <w:r>
        <w:rPr>
          <w:i/>
          <w:iCs/>
          <w:sz w:val="20"/>
          <w:szCs w:val="20"/>
          <w:lang w:val="en-GB"/>
        </w:rPr>
        <w:t>Silvestro Landini missionario gesuita: fondamenti spirituali di un modello di apostolato (1540-1554)</w:t>
      </w:r>
      <w:r>
        <w:rPr>
          <w:sz w:val="20"/>
          <w:szCs w:val="20"/>
          <w:lang w:val="en-GB"/>
        </w:rPr>
        <w:t>, in G. Dall’Olio, A. Malena, P. Scaramella (ed.),</w:t>
      </w:r>
      <w:r>
        <w:rPr>
          <w:i/>
          <w:iCs/>
          <w:sz w:val="20"/>
          <w:szCs w:val="20"/>
          <w:lang w:val="en-GB"/>
        </w:rPr>
        <w:t xml:space="preserve"> La fede degli italiani. Per Adriano Prosperi</w:t>
      </w:r>
      <w:r>
        <w:rPr>
          <w:sz w:val="20"/>
          <w:szCs w:val="20"/>
          <w:lang w:val="en-GB"/>
        </w:rPr>
        <w:t>, Pisa, Edizioni della Normale, 2011, I, pp. 333-345.</w:t>
      </w:r>
    </w:p>
  </w:footnote>
  <w:footnote w:id="21">
    <w:p w14:paraId="0F108546" w14:textId="77777777" w:rsidR="00DF7785" w:rsidRPr="00223207" w:rsidRDefault="00DF7785" w:rsidP="004A29D5">
      <w:pPr>
        <w:jc w:val="both"/>
        <w:rPr>
          <w:rFonts w:eastAsia="Times New Roman"/>
          <w:szCs w:val="20"/>
        </w:rPr>
      </w:pPr>
      <w:r>
        <w:rPr>
          <w:rStyle w:val="Rimandonotaapidipagina"/>
          <w:szCs w:val="20"/>
          <w:lang w:val="en-GB"/>
        </w:rPr>
        <w:footnoteRef/>
      </w:r>
      <w:r>
        <w:rPr>
          <w:szCs w:val="20"/>
          <w:lang w:val="en-GB"/>
        </w:rPr>
        <w:t xml:space="preserve"> See A. Prosperi, </w:t>
      </w:r>
      <w:r>
        <w:rPr>
          <w:i/>
          <w:iCs/>
          <w:szCs w:val="20"/>
          <w:lang w:val="en-GB"/>
        </w:rPr>
        <w:t>“Otras Indias”: missionari della Controriforma tra contadini e selvaggi</w:t>
      </w:r>
      <w:r>
        <w:rPr>
          <w:szCs w:val="20"/>
          <w:lang w:val="en-GB"/>
        </w:rPr>
        <w:t xml:space="preserve">, in: Id., </w:t>
      </w:r>
      <w:r>
        <w:rPr>
          <w:i/>
          <w:iCs/>
          <w:szCs w:val="20"/>
          <w:lang w:val="en-GB"/>
        </w:rPr>
        <w:t>America e Apocalisse e altri saggi</w:t>
      </w:r>
      <w:r>
        <w:rPr>
          <w:szCs w:val="20"/>
          <w:lang w:val="en-GB"/>
        </w:rPr>
        <w:t xml:space="preserve">, Pisa, </w:t>
      </w:r>
      <w:r>
        <w:rPr>
          <w:szCs w:val="20"/>
          <w:shd w:val="clear" w:color="auto" w:fill="FFFFFF"/>
          <w:lang w:val="en-GB"/>
        </w:rPr>
        <w:t>Istituti editoriali e poligrafici internazionali</w:t>
      </w:r>
      <w:r>
        <w:rPr>
          <w:szCs w:val="20"/>
          <w:lang w:val="en-GB"/>
        </w:rPr>
        <w:t>, 1999, pp. 65-87.</w:t>
      </w:r>
    </w:p>
  </w:footnote>
  <w:footnote w:id="22">
    <w:p w14:paraId="07D59252" w14:textId="77777777" w:rsidR="00DF7785" w:rsidRPr="00223207" w:rsidRDefault="00DF7785" w:rsidP="004A29D5">
      <w:pPr>
        <w:pStyle w:val="Testonotaapidipagina"/>
        <w:jc w:val="both"/>
        <w:rPr>
          <w:sz w:val="20"/>
          <w:szCs w:val="20"/>
        </w:rPr>
      </w:pPr>
      <w:r>
        <w:rPr>
          <w:rStyle w:val="Rimandonotaapidipagina"/>
          <w:sz w:val="20"/>
          <w:szCs w:val="20"/>
          <w:lang w:val="en-GB"/>
        </w:rPr>
        <w:footnoteRef/>
      </w:r>
      <w:r>
        <w:rPr>
          <w:sz w:val="20"/>
          <w:szCs w:val="20"/>
          <w:lang w:val="en-GB"/>
        </w:rPr>
        <w:t xml:space="preserve"> Letter dated Modena, 16</w:t>
      </w:r>
      <w:r>
        <w:rPr>
          <w:sz w:val="20"/>
          <w:szCs w:val="20"/>
          <w:vertAlign w:val="superscript"/>
          <w:lang w:val="en-GB"/>
        </w:rPr>
        <w:t>th</w:t>
      </w:r>
      <w:r>
        <w:rPr>
          <w:sz w:val="20"/>
          <w:szCs w:val="20"/>
          <w:lang w:val="en-GB"/>
        </w:rPr>
        <w:t xml:space="preserve"> May 1550 in EM, V, pp. 698-700.</w:t>
      </w:r>
    </w:p>
  </w:footnote>
  <w:footnote w:id="23">
    <w:p w14:paraId="275AF6A2" w14:textId="77777777" w:rsidR="00DF7785" w:rsidRPr="00223207" w:rsidRDefault="00DF7785" w:rsidP="004A29D5">
      <w:pPr>
        <w:pStyle w:val="Titolo3"/>
        <w:shd w:val="clear" w:color="auto" w:fill="FFFFFF"/>
        <w:spacing w:before="0" w:beforeAutospacing="0" w:after="0" w:afterAutospacing="0"/>
        <w:jc w:val="both"/>
        <w:rPr>
          <w:rFonts w:ascii="Book Antiqua" w:eastAsia="Arial Unicode MS" w:hAnsi="Book Antiqua" w:cs="Arial Unicode MS"/>
          <w:b w:val="0"/>
          <w:bCs w:val="0"/>
          <w:color w:val="32322F"/>
          <w:sz w:val="20"/>
          <w:szCs w:val="20"/>
        </w:rPr>
      </w:pPr>
      <w:r>
        <w:rPr>
          <w:rStyle w:val="Rimandonotaapidipagina"/>
          <w:rFonts w:ascii="Book Antiqua" w:hAnsi="Book Antiqua"/>
          <w:b w:val="0"/>
          <w:bCs w:val="0"/>
          <w:sz w:val="20"/>
          <w:szCs w:val="20"/>
          <w:lang w:val="en-GB"/>
        </w:rPr>
        <w:footnoteRef/>
      </w:r>
      <w:r>
        <w:rPr>
          <w:rFonts w:ascii="Book Antiqua" w:hAnsi="Book Antiqua"/>
          <w:sz w:val="20"/>
          <w:szCs w:val="20"/>
          <w:lang w:val="en-GB"/>
        </w:rPr>
        <w:t xml:space="preserve"> </w:t>
      </w:r>
      <w:r w:rsidRPr="00C52393">
        <w:rPr>
          <w:rFonts w:ascii="Book Antiqua" w:hAnsi="Book Antiqua"/>
          <w:b w:val="0"/>
          <w:sz w:val="20"/>
          <w:szCs w:val="20"/>
          <w:lang w:val="en-GB"/>
        </w:rPr>
        <w:t xml:space="preserve">On the connection between the establishment of holy spaces and the shaping of behaviour in Catholic circles, see the case studies proposed in J.M. DeSilva (ed.), </w:t>
      </w:r>
      <w:r w:rsidRPr="00C52393">
        <w:rPr>
          <w:rFonts w:ascii="Book Antiqua" w:hAnsi="Book Antiqua"/>
          <w:b w:val="0"/>
          <w:i/>
          <w:iCs/>
          <w:sz w:val="20"/>
          <w:szCs w:val="20"/>
          <w:lang w:val="en-GB"/>
        </w:rPr>
        <w:t xml:space="preserve">The </w:t>
      </w:r>
      <w:proofErr w:type="spellStart"/>
      <w:r w:rsidRPr="00C52393">
        <w:rPr>
          <w:rFonts w:ascii="Book Antiqua" w:hAnsi="Book Antiqua"/>
          <w:b w:val="0"/>
          <w:i/>
          <w:iCs/>
          <w:sz w:val="20"/>
          <w:szCs w:val="20"/>
          <w:lang w:val="en-GB"/>
        </w:rPr>
        <w:t>Sacralization</w:t>
      </w:r>
      <w:proofErr w:type="spellEnd"/>
      <w:r w:rsidRPr="00C52393">
        <w:rPr>
          <w:rFonts w:ascii="Book Antiqua" w:hAnsi="Book Antiqua"/>
          <w:b w:val="0"/>
          <w:i/>
          <w:iCs/>
          <w:sz w:val="20"/>
          <w:szCs w:val="20"/>
          <w:lang w:val="en-GB"/>
        </w:rPr>
        <w:t xml:space="preserve"> of Space and </w:t>
      </w:r>
      <w:proofErr w:type="spellStart"/>
      <w:r w:rsidRPr="00C52393">
        <w:rPr>
          <w:rFonts w:ascii="Book Antiqua" w:hAnsi="Book Antiqua"/>
          <w:b w:val="0"/>
          <w:i/>
          <w:iCs/>
          <w:sz w:val="20"/>
          <w:szCs w:val="20"/>
          <w:lang w:val="en-GB"/>
        </w:rPr>
        <w:t>Behavior</w:t>
      </w:r>
      <w:proofErr w:type="spellEnd"/>
      <w:r w:rsidRPr="00C52393">
        <w:rPr>
          <w:rFonts w:ascii="Book Antiqua" w:hAnsi="Book Antiqua"/>
          <w:b w:val="0"/>
          <w:i/>
          <w:iCs/>
          <w:sz w:val="20"/>
          <w:szCs w:val="20"/>
          <w:lang w:val="en-GB"/>
        </w:rPr>
        <w:t xml:space="preserve"> in the Early Modern World</w:t>
      </w:r>
      <w:r w:rsidRPr="00C52393">
        <w:rPr>
          <w:rFonts w:ascii="Book Antiqua" w:hAnsi="Book Antiqua"/>
          <w:b w:val="0"/>
          <w:sz w:val="20"/>
          <w:szCs w:val="20"/>
          <w:lang w:val="en-GB"/>
        </w:rPr>
        <w:t xml:space="preserve">, </w:t>
      </w:r>
      <w:proofErr w:type="spellStart"/>
      <w:r w:rsidRPr="00C52393">
        <w:rPr>
          <w:rFonts w:ascii="Book Antiqua" w:hAnsi="Book Antiqua"/>
          <w:b w:val="0"/>
          <w:sz w:val="20"/>
          <w:szCs w:val="20"/>
          <w:lang w:val="en-GB"/>
        </w:rPr>
        <w:t>Ashgate</w:t>
      </w:r>
      <w:proofErr w:type="spellEnd"/>
      <w:r w:rsidRPr="00C52393">
        <w:rPr>
          <w:rFonts w:ascii="Book Antiqua" w:hAnsi="Book Antiqua"/>
          <w:b w:val="0"/>
          <w:sz w:val="20"/>
          <w:szCs w:val="20"/>
          <w:lang w:val="en-GB"/>
        </w:rPr>
        <w:t xml:space="preserve">, </w:t>
      </w:r>
      <w:r w:rsidRPr="00C52393">
        <w:rPr>
          <w:rFonts w:ascii="Book Antiqua" w:hAnsi="Book Antiqua"/>
          <w:b w:val="0"/>
          <w:color w:val="32322F"/>
          <w:sz w:val="20"/>
          <w:szCs w:val="20"/>
          <w:lang w:val="en-GB"/>
        </w:rPr>
        <w:t>Burlington,</w:t>
      </w:r>
      <w:r w:rsidRPr="00C52393">
        <w:rPr>
          <w:rFonts w:ascii="Book Antiqua" w:hAnsi="Book Antiqua"/>
          <w:b w:val="0"/>
          <w:sz w:val="20"/>
          <w:szCs w:val="20"/>
          <w:lang w:val="en-GB"/>
        </w:rPr>
        <w:t xml:space="preserve"> 2015.</w:t>
      </w:r>
      <w:r>
        <w:rPr>
          <w:rFonts w:ascii="Book Antiqua" w:hAnsi="Book Antiqua"/>
          <w:b w:val="0"/>
          <w:bCs w:val="0"/>
          <w:color w:val="32322F"/>
          <w:sz w:val="20"/>
          <w:szCs w:val="20"/>
          <w:lang w:val="en-GB"/>
        </w:rPr>
        <w:t xml:space="preserve"> </w:t>
      </w:r>
    </w:p>
  </w:footnote>
  <w:footnote w:id="24">
    <w:p w14:paraId="67B46A15" w14:textId="77777777" w:rsidR="00DF7785" w:rsidRPr="00223207" w:rsidRDefault="00DF7785" w:rsidP="004A29D5">
      <w:pPr>
        <w:pStyle w:val="Testonotaapidipagina"/>
        <w:jc w:val="both"/>
        <w:rPr>
          <w:sz w:val="20"/>
          <w:szCs w:val="20"/>
        </w:rPr>
      </w:pPr>
      <w:r>
        <w:rPr>
          <w:rStyle w:val="Rimandonotaapidipagina"/>
          <w:sz w:val="20"/>
          <w:szCs w:val="20"/>
          <w:lang w:val="en-GB"/>
        </w:rPr>
        <w:footnoteRef/>
      </w:r>
      <w:r>
        <w:rPr>
          <w:sz w:val="20"/>
          <w:szCs w:val="20"/>
          <w:lang w:val="en-GB"/>
        </w:rPr>
        <w:t xml:space="preserve"> The report mentioned and a corresponding analysis in M. Al Kalak, </w:t>
      </w:r>
      <w:r>
        <w:rPr>
          <w:i/>
          <w:iCs/>
          <w:sz w:val="20"/>
          <w:szCs w:val="20"/>
          <w:lang w:val="en-GB"/>
        </w:rPr>
        <w:t>“La chiesa sta malissimo”.</w:t>
      </w:r>
      <w:r>
        <w:rPr>
          <w:sz w:val="20"/>
          <w:szCs w:val="20"/>
          <w:lang w:val="en-GB"/>
        </w:rPr>
        <w:t xml:space="preserve"> </w:t>
      </w:r>
      <w:r>
        <w:rPr>
          <w:i/>
          <w:iCs/>
          <w:sz w:val="20"/>
          <w:szCs w:val="20"/>
          <w:lang w:val="en-GB"/>
        </w:rPr>
        <w:t>Giovanni Morone e le cure di una diocesi post-tridentina</w:t>
      </w:r>
      <w:r>
        <w:rPr>
          <w:sz w:val="20"/>
          <w:szCs w:val="20"/>
          <w:lang w:val="en-GB"/>
        </w:rPr>
        <w:t>, in: “Rivista di storia della Chiesa in Italia”, 2013, pp. 131-164.</w:t>
      </w:r>
    </w:p>
  </w:footnote>
  <w:footnote w:id="25">
    <w:p w14:paraId="0F56A18A" w14:textId="77777777" w:rsidR="00DF7785" w:rsidRPr="00A774B1" w:rsidRDefault="00DF7785" w:rsidP="00A774B1">
      <w:pPr>
        <w:pStyle w:val="Testonotaapidipagina"/>
        <w:jc w:val="both"/>
        <w:rPr>
          <w:sz w:val="20"/>
          <w:szCs w:val="20"/>
        </w:rPr>
      </w:pPr>
      <w:r>
        <w:rPr>
          <w:rStyle w:val="Rimandonotaapidipagina"/>
          <w:sz w:val="20"/>
          <w:szCs w:val="20"/>
          <w:lang w:val="en-GB"/>
        </w:rPr>
        <w:footnoteRef/>
      </w:r>
      <w:r>
        <w:rPr>
          <w:sz w:val="20"/>
          <w:szCs w:val="20"/>
          <w:lang w:val="en-GB"/>
        </w:rPr>
        <w:t xml:space="preserve"> On Visdomini, whose special fondness for the mountains is noted in several biographies, see G. Silingardi, </w:t>
      </w:r>
      <w:r>
        <w:rPr>
          <w:i/>
          <w:iCs/>
          <w:color w:val="000000"/>
          <w:sz w:val="20"/>
          <w:szCs w:val="20"/>
          <w:shd w:val="clear" w:color="auto" w:fill="FFFFFF"/>
          <w:lang w:val="en-GB"/>
        </w:rPr>
        <w:t>Catalogus omnium episcoporum Mutinensium</w:t>
      </w:r>
      <w:r>
        <w:rPr>
          <w:sz w:val="20"/>
          <w:szCs w:val="20"/>
          <w:lang w:val="en-GB"/>
        </w:rPr>
        <w:t xml:space="preserve">, Modena, de Verdis, 1606, p. 143; G. Tiraboschi, </w:t>
      </w:r>
      <w:r>
        <w:rPr>
          <w:i/>
          <w:iCs/>
          <w:sz w:val="20"/>
          <w:szCs w:val="20"/>
          <w:lang w:val="en-GB"/>
        </w:rPr>
        <w:t>Memorie storiche modenesi</w:t>
      </w:r>
      <w:r>
        <w:rPr>
          <w:sz w:val="20"/>
          <w:szCs w:val="20"/>
          <w:lang w:val="en-GB"/>
        </w:rPr>
        <w:t xml:space="preserve">, Modena, </w:t>
      </w:r>
      <w:r>
        <w:rPr>
          <w:color w:val="000000"/>
          <w:sz w:val="20"/>
          <w:szCs w:val="20"/>
          <w:shd w:val="clear" w:color="auto" w:fill="FFFFFF"/>
          <w:lang w:val="en-GB"/>
        </w:rPr>
        <w:t>Società tipografica</w:t>
      </w:r>
      <w:r>
        <w:rPr>
          <w:sz w:val="20"/>
          <w:szCs w:val="20"/>
          <w:lang w:val="en-GB"/>
        </w:rPr>
        <w:t>, 1794, IV, p. 77.</w:t>
      </w:r>
    </w:p>
  </w:footnote>
  <w:footnote w:id="26">
    <w:p w14:paraId="097FF2EB" w14:textId="77777777" w:rsidR="00DF7785" w:rsidRPr="00223207" w:rsidRDefault="00DF7785" w:rsidP="00A774B1">
      <w:pPr>
        <w:pStyle w:val="Testonotaapidipagina"/>
        <w:jc w:val="both"/>
        <w:rPr>
          <w:sz w:val="20"/>
          <w:szCs w:val="20"/>
        </w:rPr>
      </w:pPr>
      <w:r>
        <w:rPr>
          <w:rStyle w:val="Rimandonotaapidipagina"/>
          <w:sz w:val="20"/>
          <w:szCs w:val="20"/>
          <w:lang w:val="en-GB"/>
        </w:rPr>
        <w:footnoteRef/>
      </w:r>
      <w:r>
        <w:rPr>
          <w:sz w:val="20"/>
          <w:szCs w:val="20"/>
          <w:lang w:val="en-GB"/>
        </w:rPr>
        <w:t xml:space="preserve"> Using, for the purpose of comparison, population surveys conducted mid-19</w:t>
      </w:r>
      <w:r>
        <w:rPr>
          <w:sz w:val="20"/>
          <w:szCs w:val="20"/>
          <w:vertAlign w:val="superscript"/>
          <w:lang w:val="en-GB"/>
        </w:rPr>
        <w:t>th</w:t>
      </w:r>
      <w:r>
        <w:rPr>
          <w:sz w:val="20"/>
          <w:szCs w:val="20"/>
          <w:lang w:val="en-GB"/>
        </w:rPr>
        <w:t xml:space="preserve"> century, the countryside had 132,000 inhabitants; the Apennine area of Frignano 56,000, Garfagnana 36,000, Este-ruled Lunigiana 17,000, while the main town, Modena, had a population of 65,000. See C. Roncaglia, </w:t>
      </w:r>
      <w:r>
        <w:rPr>
          <w:i/>
          <w:iCs/>
          <w:sz w:val="20"/>
          <w:szCs w:val="20"/>
          <w:lang w:val="en-GB"/>
        </w:rPr>
        <w:t>Statistica generale degli Stati estensi</w:t>
      </w:r>
      <w:r>
        <w:rPr>
          <w:sz w:val="20"/>
          <w:szCs w:val="20"/>
          <w:lang w:val="en-GB"/>
        </w:rPr>
        <w:t>, Modena, Vincenzi, 1849, I, pp. 245-248.</w:t>
      </w:r>
    </w:p>
  </w:footnote>
  <w:footnote w:id="27">
    <w:p w14:paraId="0C96D54D" w14:textId="77777777" w:rsidR="00DF7785" w:rsidRPr="00223207" w:rsidRDefault="00DF7785" w:rsidP="00FD6E1A">
      <w:pPr>
        <w:pStyle w:val="Testonotaapidipagina"/>
        <w:jc w:val="both"/>
        <w:rPr>
          <w:sz w:val="20"/>
          <w:szCs w:val="20"/>
        </w:rPr>
      </w:pPr>
      <w:r>
        <w:rPr>
          <w:rStyle w:val="Rimandonotaapidipagina"/>
          <w:sz w:val="20"/>
          <w:szCs w:val="20"/>
          <w:lang w:val="en-GB"/>
        </w:rPr>
        <w:footnoteRef/>
      </w:r>
      <w:r>
        <w:rPr>
          <w:sz w:val="20"/>
          <w:szCs w:val="20"/>
          <w:lang w:val="en-GB"/>
        </w:rPr>
        <w:t xml:space="preserve"> The data is taken from an analysis of the registers of pastoral visits held in ACMo, O.I.33 (</w:t>
      </w:r>
      <w:r>
        <w:rPr>
          <w:i/>
          <w:iCs/>
          <w:sz w:val="20"/>
          <w:szCs w:val="20"/>
          <w:lang w:val="en-GB"/>
        </w:rPr>
        <w:t>Liber visitationum</w:t>
      </w:r>
      <w:r>
        <w:rPr>
          <w:sz w:val="20"/>
          <w:szCs w:val="20"/>
          <w:lang w:val="en-GB"/>
        </w:rPr>
        <w:t>) and O.VI.1-3 (</w:t>
      </w:r>
      <w:r>
        <w:rPr>
          <w:i/>
          <w:iCs/>
          <w:sz w:val="20"/>
          <w:szCs w:val="20"/>
          <w:lang w:val="en-GB"/>
        </w:rPr>
        <w:t>Visite pastorali di mons. Sisto Visdomini</w:t>
      </w:r>
      <w:r>
        <w:rPr>
          <w:sz w:val="20"/>
          <w:szCs w:val="20"/>
          <w:lang w:val="en-GB"/>
        </w:rPr>
        <w:t xml:space="preserve">, 3 voll.). On the use of pastoral visits as a source see C. Nubola, A. Turchini (ed.), </w:t>
      </w:r>
      <w:r>
        <w:rPr>
          <w:i/>
          <w:iCs/>
          <w:sz w:val="20"/>
          <w:szCs w:val="20"/>
          <w:lang w:val="en-GB"/>
        </w:rPr>
        <w:t>Fonti ecclesiastiche per la storia sociale e religiosa d’Europa (XV-XVIII secolo)</w:t>
      </w:r>
      <w:r>
        <w:rPr>
          <w:sz w:val="20"/>
          <w:szCs w:val="20"/>
          <w:lang w:val="en-GB"/>
        </w:rPr>
        <w:t>, Bologna, il Mulino, 1999.</w:t>
      </w:r>
    </w:p>
  </w:footnote>
  <w:footnote w:id="28">
    <w:p w14:paraId="118199BB" w14:textId="1DFE9851" w:rsidR="00DF7785" w:rsidRPr="00223207" w:rsidRDefault="00DF7785" w:rsidP="00717D45">
      <w:pPr>
        <w:ind w:right="-6"/>
        <w:jc w:val="both"/>
        <w:rPr>
          <w:szCs w:val="20"/>
        </w:rPr>
      </w:pPr>
      <w:r>
        <w:rPr>
          <w:rStyle w:val="Rimandonotaapidipagina"/>
          <w:szCs w:val="20"/>
          <w:lang w:val="en-GB"/>
        </w:rPr>
        <w:footnoteRef/>
      </w:r>
      <w:r>
        <w:rPr>
          <w:szCs w:val="20"/>
          <w:lang w:val="en-GB"/>
        </w:rPr>
        <w:t xml:space="preserve"> Below, the parishes censused and number of visits received. </w:t>
      </w:r>
      <w:r w:rsidR="009D0F4F">
        <w:rPr>
          <w:szCs w:val="20"/>
        </w:rPr>
        <w:t xml:space="preserve">1 </w:t>
      </w:r>
      <w:proofErr w:type="spellStart"/>
      <w:r w:rsidR="009D0F4F">
        <w:rPr>
          <w:szCs w:val="20"/>
        </w:rPr>
        <w:t>visit</w:t>
      </w:r>
      <w:proofErr w:type="spellEnd"/>
      <w:r w:rsidR="009D0F4F" w:rsidRPr="00223207">
        <w:rPr>
          <w:szCs w:val="20"/>
        </w:rPr>
        <w:t xml:space="preserve">: Cargedolo, Cerredolo, Montefiorino, Monteforte, </w:t>
      </w:r>
      <w:proofErr w:type="spellStart"/>
      <w:r w:rsidR="009D0F4F" w:rsidRPr="00223207">
        <w:rPr>
          <w:szCs w:val="20"/>
        </w:rPr>
        <w:t>Riccovolto</w:t>
      </w:r>
      <w:proofErr w:type="spellEnd"/>
      <w:r w:rsidR="009D0F4F" w:rsidRPr="00223207">
        <w:rPr>
          <w:szCs w:val="20"/>
        </w:rPr>
        <w:t xml:space="preserve">, </w:t>
      </w:r>
      <w:r w:rsidR="009D0F4F">
        <w:rPr>
          <w:szCs w:val="20"/>
        </w:rPr>
        <w:t xml:space="preserve">Serpiano, Villa </w:t>
      </w:r>
      <w:proofErr w:type="spellStart"/>
      <w:r w:rsidR="009D0F4F">
        <w:rPr>
          <w:szCs w:val="20"/>
        </w:rPr>
        <w:t>Bibone</w:t>
      </w:r>
      <w:proofErr w:type="spellEnd"/>
      <w:r w:rsidR="009D0F4F">
        <w:rPr>
          <w:szCs w:val="20"/>
        </w:rPr>
        <w:t xml:space="preserve">; </w:t>
      </w:r>
      <w:proofErr w:type="gramStart"/>
      <w:r w:rsidR="009D0F4F">
        <w:rPr>
          <w:szCs w:val="20"/>
        </w:rPr>
        <w:t>2</w:t>
      </w:r>
      <w:proofErr w:type="gramEnd"/>
      <w:r w:rsidR="009D0F4F">
        <w:rPr>
          <w:szCs w:val="20"/>
        </w:rPr>
        <w:t xml:space="preserve"> </w:t>
      </w:r>
      <w:proofErr w:type="spellStart"/>
      <w:r w:rsidR="009D0F4F">
        <w:rPr>
          <w:szCs w:val="20"/>
        </w:rPr>
        <w:t>visits</w:t>
      </w:r>
      <w:proofErr w:type="spellEnd"/>
      <w:r w:rsidR="009D0F4F" w:rsidRPr="00223207">
        <w:rPr>
          <w:szCs w:val="20"/>
        </w:rPr>
        <w:t>: Fogliano, Frassinoro, Massa Toano, Montecorone, Rocchetta di Guiglia, Rubbiano, S. Vincenzo del Monte (</w:t>
      </w:r>
      <w:proofErr w:type="spellStart"/>
      <w:r w:rsidR="009D0F4F" w:rsidRPr="00223207">
        <w:rPr>
          <w:szCs w:val="20"/>
        </w:rPr>
        <w:t>Mon</w:t>
      </w:r>
      <w:r w:rsidR="009D0F4F">
        <w:rPr>
          <w:szCs w:val="20"/>
        </w:rPr>
        <w:t>tobizzo</w:t>
      </w:r>
      <w:proofErr w:type="spellEnd"/>
      <w:r w:rsidR="009D0F4F">
        <w:rPr>
          <w:szCs w:val="20"/>
        </w:rPr>
        <w:t xml:space="preserve">), Sassomorello; 3 </w:t>
      </w:r>
      <w:proofErr w:type="spellStart"/>
      <w:r w:rsidR="009D0F4F">
        <w:rPr>
          <w:szCs w:val="20"/>
        </w:rPr>
        <w:t>visits</w:t>
      </w:r>
      <w:proofErr w:type="spellEnd"/>
      <w:r w:rsidR="009D0F4F" w:rsidRPr="00223207">
        <w:rPr>
          <w:szCs w:val="20"/>
        </w:rPr>
        <w:t xml:space="preserve">: Casola, Cassano, Castellino, Coscogno, Festà, Frassineti, Gusciola, </w:t>
      </w:r>
      <w:proofErr w:type="spellStart"/>
      <w:r w:rsidR="009D0F4F" w:rsidRPr="00223207">
        <w:rPr>
          <w:szCs w:val="20"/>
        </w:rPr>
        <w:t>Medola</w:t>
      </w:r>
      <w:proofErr w:type="spellEnd"/>
      <w:r w:rsidR="009D0F4F" w:rsidRPr="00223207">
        <w:rPr>
          <w:szCs w:val="20"/>
        </w:rPr>
        <w:t>, Monchio, Montagnana, Monte, Montecorone, Morano, Ospitaletto, Palagano, Selva, Susano, Va</w:t>
      </w:r>
      <w:r w:rsidR="009D0F4F">
        <w:rPr>
          <w:szCs w:val="20"/>
        </w:rPr>
        <w:t xml:space="preserve">lle, </w:t>
      </w:r>
      <w:proofErr w:type="spellStart"/>
      <w:r w:rsidR="009D0F4F">
        <w:rPr>
          <w:szCs w:val="20"/>
        </w:rPr>
        <w:t>Varana</w:t>
      </w:r>
      <w:proofErr w:type="spellEnd"/>
      <w:r w:rsidR="009D0F4F">
        <w:rPr>
          <w:szCs w:val="20"/>
        </w:rPr>
        <w:t xml:space="preserve">, Verucchia; 4 </w:t>
      </w:r>
      <w:proofErr w:type="spellStart"/>
      <w:r w:rsidR="009D0F4F">
        <w:rPr>
          <w:szCs w:val="20"/>
        </w:rPr>
        <w:t>visits</w:t>
      </w:r>
      <w:proofErr w:type="spellEnd"/>
      <w:r w:rsidR="009D0F4F" w:rsidRPr="00223207">
        <w:rPr>
          <w:szCs w:val="20"/>
        </w:rPr>
        <w:t>: Barigazzo, Boccassuolo, Cadignano, Castello, Costrignano, Farneta, Iddiano, Monfestino, Monte Rastello, Montebaranzone, Montecuccolo, Pavullo,</w:t>
      </w:r>
      <w:r w:rsidR="009D0F4F" w:rsidRPr="00223207">
        <w:rPr>
          <w:b/>
          <w:szCs w:val="20"/>
        </w:rPr>
        <w:t xml:space="preserve"> </w:t>
      </w:r>
      <w:r w:rsidR="009D0F4F" w:rsidRPr="00223207">
        <w:rPr>
          <w:szCs w:val="20"/>
        </w:rPr>
        <w:t xml:space="preserve">Pazzano, Polinago, Pompeano, Riccò, Roccapelago, Sassostorno, Savoniero, Vesale, Vitriola; 5 </w:t>
      </w:r>
      <w:proofErr w:type="spellStart"/>
      <w:r w:rsidR="009D0F4F" w:rsidRPr="00223207">
        <w:rPr>
          <w:szCs w:val="20"/>
        </w:rPr>
        <w:t>visit</w:t>
      </w:r>
      <w:r w:rsidR="009D0F4F">
        <w:rPr>
          <w:szCs w:val="20"/>
        </w:rPr>
        <w:t>s</w:t>
      </w:r>
      <w:proofErr w:type="spellEnd"/>
      <w:r w:rsidR="009D0F4F" w:rsidRPr="00223207">
        <w:rPr>
          <w:szCs w:val="20"/>
        </w:rPr>
        <w:t xml:space="preserve">: Benedello, Brandola, Castel d’Aiano, Fiumalbo, Gombola, Granarolo, Groppo, </w:t>
      </w:r>
      <w:proofErr w:type="spellStart"/>
      <w:r w:rsidR="009D0F4F" w:rsidRPr="00223207">
        <w:rPr>
          <w:szCs w:val="20"/>
        </w:rPr>
        <w:t>Lavacchio</w:t>
      </w:r>
      <w:proofErr w:type="spellEnd"/>
      <w:r w:rsidR="009D0F4F" w:rsidRPr="00223207">
        <w:rPr>
          <w:szCs w:val="20"/>
        </w:rPr>
        <w:t xml:space="preserve">, Magrignana, Mocogno, Montalto, Montebonello, Pianorso, Pievepelago, Rocchetta, </w:t>
      </w:r>
      <w:proofErr w:type="spellStart"/>
      <w:r w:rsidR="009D0F4F" w:rsidRPr="00223207">
        <w:rPr>
          <w:szCs w:val="20"/>
        </w:rPr>
        <w:t>Rocchicciola</w:t>
      </w:r>
      <w:proofErr w:type="spellEnd"/>
      <w:r w:rsidR="009D0F4F" w:rsidRPr="00223207">
        <w:rPr>
          <w:szCs w:val="20"/>
        </w:rPr>
        <w:t xml:space="preserve">, S. Andrea Pelago, Sassoguidano, Vallata; 6 </w:t>
      </w:r>
      <w:proofErr w:type="spellStart"/>
      <w:r w:rsidR="009D0F4F" w:rsidRPr="00223207">
        <w:rPr>
          <w:szCs w:val="20"/>
        </w:rPr>
        <w:t>visit</w:t>
      </w:r>
      <w:r w:rsidR="009D0F4F">
        <w:rPr>
          <w:szCs w:val="20"/>
        </w:rPr>
        <w:t>s</w:t>
      </w:r>
      <w:proofErr w:type="spellEnd"/>
      <w:r w:rsidR="009D0F4F" w:rsidRPr="00223207">
        <w:rPr>
          <w:szCs w:val="20"/>
        </w:rPr>
        <w:t xml:space="preserve">: Camatta, Castagneto, Castellaro, Castellino delle Formiche, Ciano, Gaiato, Guiglia, Maserno, Montecreto, Monteombraro, Montese, Montespecchio, Montetortore, Montorso, Monzone, Ranocchio, Riolunato, Ripa, Rocca Malatina, Rocca S. Maria, Roncoscaglia, Samone, Vaglio; 7 </w:t>
      </w:r>
      <w:proofErr w:type="spellStart"/>
      <w:r w:rsidR="009D0F4F" w:rsidRPr="00223207">
        <w:rPr>
          <w:szCs w:val="20"/>
        </w:rPr>
        <w:t>visit</w:t>
      </w:r>
      <w:r w:rsidR="009D0F4F">
        <w:rPr>
          <w:szCs w:val="20"/>
        </w:rPr>
        <w:t>s</w:t>
      </w:r>
      <w:proofErr w:type="spellEnd"/>
      <w:r w:rsidR="009D0F4F" w:rsidRPr="00223207">
        <w:rPr>
          <w:szCs w:val="20"/>
        </w:rPr>
        <w:t xml:space="preserve">: Acquaria, Gainazzo, Gallina Morta, Miceno, Missano, Montalbano, Montecenere, Monteorsello, Rosola, Salto, Sassomolare, Semelano, Verica, Villa d’Aiano; 8 </w:t>
      </w:r>
      <w:proofErr w:type="spellStart"/>
      <w:r w:rsidR="009D0F4F" w:rsidRPr="00223207">
        <w:rPr>
          <w:szCs w:val="20"/>
        </w:rPr>
        <w:t>visit</w:t>
      </w:r>
      <w:r w:rsidR="009D0F4F">
        <w:rPr>
          <w:szCs w:val="20"/>
        </w:rPr>
        <w:t>s</w:t>
      </w:r>
      <w:proofErr w:type="spellEnd"/>
      <w:r w:rsidR="009D0F4F" w:rsidRPr="00223207">
        <w:rPr>
          <w:szCs w:val="20"/>
        </w:rPr>
        <w:t>: Olina, Renno.</w:t>
      </w:r>
    </w:p>
  </w:footnote>
  <w:footnote w:id="29">
    <w:p w14:paraId="33F35B99" w14:textId="61AF5EFC" w:rsidR="00DF7785" w:rsidRPr="00223207" w:rsidRDefault="00DF7785" w:rsidP="006C2E7F">
      <w:pPr>
        <w:ind w:right="-6"/>
        <w:jc w:val="both"/>
        <w:rPr>
          <w:szCs w:val="20"/>
        </w:rPr>
      </w:pPr>
      <w:r>
        <w:rPr>
          <w:rStyle w:val="Rimandonotaapidipagina"/>
          <w:szCs w:val="20"/>
          <w:lang w:val="en-GB"/>
        </w:rPr>
        <w:footnoteRef/>
      </w:r>
      <w:r>
        <w:rPr>
          <w:szCs w:val="20"/>
          <w:lang w:val="en-GB"/>
        </w:rPr>
        <w:t xml:space="preserve"> Parishes in rural area (in standard type) and foothills (in italics)</w:t>
      </w:r>
      <w:r w:rsidR="004A4256">
        <w:rPr>
          <w:szCs w:val="20"/>
          <w:lang w:val="en-GB"/>
        </w:rPr>
        <w:t xml:space="preserve"> and number of visits received.</w:t>
      </w:r>
      <w:r w:rsidR="009D0F4F" w:rsidRPr="009D0F4F">
        <w:rPr>
          <w:szCs w:val="20"/>
          <w:lang w:val="en-GB"/>
        </w:rPr>
        <w:t xml:space="preserve"> </w:t>
      </w:r>
      <w:r w:rsidR="009D0F4F" w:rsidRPr="00223207">
        <w:rPr>
          <w:szCs w:val="20"/>
        </w:rPr>
        <w:t xml:space="preserve">1 </w:t>
      </w:r>
      <w:proofErr w:type="spellStart"/>
      <w:r w:rsidR="009D0F4F" w:rsidRPr="00223207">
        <w:rPr>
          <w:szCs w:val="20"/>
        </w:rPr>
        <w:t>vi</w:t>
      </w:r>
      <w:r w:rsidR="009D0F4F">
        <w:rPr>
          <w:szCs w:val="20"/>
        </w:rPr>
        <w:t>sit</w:t>
      </w:r>
      <w:proofErr w:type="spellEnd"/>
      <w:r w:rsidR="009D0F4F" w:rsidRPr="00223207">
        <w:rPr>
          <w:szCs w:val="20"/>
        </w:rPr>
        <w:t xml:space="preserve">: Casinalbo, </w:t>
      </w:r>
      <w:r w:rsidR="009D0F4F" w:rsidRPr="00223207">
        <w:rPr>
          <w:i/>
          <w:szCs w:val="20"/>
        </w:rPr>
        <w:t>Castelvetro, Gorzano</w:t>
      </w:r>
      <w:r w:rsidR="009D0F4F" w:rsidRPr="00223207">
        <w:rPr>
          <w:szCs w:val="20"/>
        </w:rPr>
        <w:t xml:space="preserve">, S. Faustino di Magreta, S. Maria di Mugnano, S. Pancrazio, </w:t>
      </w:r>
      <w:proofErr w:type="spellStart"/>
      <w:r w:rsidR="009D0F4F" w:rsidRPr="00223207">
        <w:rPr>
          <w:szCs w:val="20"/>
        </w:rPr>
        <w:t>Saliceta</w:t>
      </w:r>
      <w:proofErr w:type="spellEnd"/>
      <w:r w:rsidR="009D0F4F" w:rsidRPr="00223207">
        <w:rPr>
          <w:szCs w:val="20"/>
        </w:rPr>
        <w:t xml:space="preserve"> S.</w:t>
      </w:r>
      <w:r w:rsidR="009D0F4F">
        <w:rPr>
          <w:szCs w:val="20"/>
        </w:rPr>
        <w:t xml:space="preserve"> Giuliano, Spilamberto; </w:t>
      </w:r>
      <w:proofErr w:type="gramStart"/>
      <w:r w:rsidR="009D0F4F">
        <w:rPr>
          <w:szCs w:val="20"/>
        </w:rPr>
        <w:t>2</w:t>
      </w:r>
      <w:proofErr w:type="gramEnd"/>
      <w:r w:rsidR="009D0F4F">
        <w:rPr>
          <w:szCs w:val="20"/>
        </w:rPr>
        <w:t xml:space="preserve"> </w:t>
      </w:r>
      <w:proofErr w:type="spellStart"/>
      <w:r w:rsidR="009D0F4F">
        <w:rPr>
          <w:szCs w:val="20"/>
        </w:rPr>
        <w:t>visits</w:t>
      </w:r>
      <w:proofErr w:type="spellEnd"/>
      <w:r w:rsidR="009D0F4F" w:rsidRPr="00223207">
        <w:rPr>
          <w:szCs w:val="20"/>
        </w:rPr>
        <w:t xml:space="preserve">: Albareto, Baggiovara, Bastiglia, </w:t>
      </w:r>
      <w:proofErr w:type="spellStart"/>
      <w:r w:rsidR="009D0F4F" w:rsidRPr="00223207">
        <w:rPr>
          <w:szCs w:val="20"/>
        </w:rPr>
        <w:t>Cadecoppi</w:t>
      </w:r>
      <w:proofErr w:type="spellEnd"/>
      <w:r w:rsidR="009D0F4F" w:rsidRPr="00223207">
        <w:rPr>
          <w:szCs w:val="20"/>
        </w:rPr>
        <w:t xml:space="preserve">, Casumaro, Cavidole, Cognento, Collegara, Colombaro, Corlo, </w:t>
      </w:r>
      <w:r w:rsidR="009D0F4F" w:rsidRPr="00223207">
        <w:rPr>
          <w:i/>
          <w:szCs w:val="20"/>
        </w:rPr>
        <w:t>Fogliano</w:t>
      </w:r>
      <w:r w:rsidR="009D0F4F" w:rsidRPr="00223207">
        <w:rPr>
          <w:szCs w:val="20"/>
        </w:rPr>
        <w:t xml:space="preserve">, Freto, Lesignana, Massa Finalese, Portile, Reno Finalese, S. Martino di Mugnano, S. Matteo sul Secchia, Saliceto </w:t>
      </w:r>
      <w:proofErr w:type="spellStart"/>
      <w:r w:rsidR="009D0F4F" w:rsidRPr="00223207">
        <w:rPr>
          <w:szCs w:val="20"/>
        </w:rPr>
        <w:t>Buzzalino</w:t>
      </w:r>
      <w:proofErr w:type="spellEnd"/>
      <w:r w:rsidR="009D0F4F" w:rsidRPr="00223207">
        <w:rPr>
          <w:szCs w:val="20"/>
        </w:rPr>
        <w:t xml:space="preserve">, S. Pietro in Isola, Solignano, </w:t>
      </w:r>
      <w:r w:rsidR="009D0F4F" w:rsidRPr="00223207">
        <w:rPr>
          <w:i/>
          <w:szCs w:val="20"/>
        </w:rPr>
        <w:t>Torre Maina</w:t>
      </w:r>
      <w:r w:rsidR="009D0F4F">
        <w:rPr>
          <w:szCs w:val="20"/>
        </w:rPr>
        <w:t xml:space="preserve">, Villanova; 3 </w:t>
      </w:r>
      <w:proofErr w:type="spellStart"/>
      <w:r w:rsidR="009D0F4F">
        <w:rPr>
          <w:szCs w:val="20"/>
        </w:rPr>
        <w:t>visits</w:t>
      </w:r>
      <w:proofErr w:type="spellEnd"/>
      <w:r w:rsidR="009D0F4F" w:rsidRPr="00223207">
        <w:rPr>
          <w:szCs w:val="20"/>
        </w:rPr>
        <w:t xml:space="preserve">: Finale Emilia, Fiorano, S. Vito, </w:t>
      </w:r>
      <w:r w:rsidR="009D0F4F" w:rsidRPr="00223207">
        <w:rPr>
          <w:i/>
          <w:szCs w:val="20"/>
        </w:rPr>
        <w:t>Levizzano</w:t>
      </w:r>
      <w:r w:rsidR="009D0F4F" w:rsidRPr="00223207">
        <w:rPr>
          <w:szCs w:val="20"/>
        </w:rPr>
        <w:t xml:space="preserve">, Magreta, Montale, </w:t>
      </w:r>
      <w:r w:rsidR="009D0F4F" w:rsidRPr="00223207">
        <w:rPr>
          <w:i/>
          <w:szCs w:val="20"/>
        </w:rPr>
        <w:t>Nirano</w:t>
      </w:r>
      <w:r w:rsidR="009D0F4F" w:rsidRPr="00223207">
        <w:rPr>
          <w:szCs w:val="20"/>
        </w:rPr>
        <w:t>, Rivara, S. Biagio in Padule, S. Donnino della Nizzola, S. Felice, Saliceto Panaro, Soli</w:t>
      </w:r>
      <w:r w:rsidR="009D0F4F">
        <w:rPr>
          <w:szCs w:val="20"/>
        </w:rPr>
        <w:t xml:space="preserve">era, Sorbara, Spezzano; 4 </w:t>
      </w:r>
      <w:proofErr w:type="spellStart"/>
      <w:r w:rsidR="009D0F4F">
        <w:rPr>
          <w:szCs w:val="20"/>
        </w:rPr>
        <w:t>visits</w:t>
      </w:r>
      <w:proofErr w:type="spellEnd"/>
      <w:r w:rsidR="009D0F4F" w:rsidRPr="00223207">
        <w:rPr>
          <w:szCs w:val="20"/>
        </w:rPr>
        <w:t>: Campogalliano, Formigine, Marzagli</w:t>
      </w:r>
      <w:r w:rsidR="009D0F4F">
        <w:rPr>
          <w:szCs w:val="20"/>
        </w:rPr>
        <w:t xml:space="preserve">a, S. Cesario, Vignola; 5 </w:t>
      </w:r>
      <w:proofErr w:type="spellStart"/>
      <w:r w:rsidR="009D0F4F">
        <w:rPr>
          <w:szCs w:val="20"/>
        </w:rPr>
        <w:t>visits</w:t>
      </w:r>
      <w:proofErr w:type="spellEnd"/>
      <w:r w:rsidR="009D0F4F" w:rsidRPr="00223207">
        <w:rPr>
          <w:szCs w:val="20"/>
        </w:rPr>
        <w:t xml:space="preserve">: Castelnuovo, Ganaceto, </w:t>
      </w:r>
      <w:r w:rsidR="009D0F4F" w:rsidRPr="00223207">
        <w:rPr>
          <w:i/>
          <w:szCs w:val="20"/>
        </w:rPr>
        <w:t>Ligorzano</w:t>
      </w:r>
      <w:r w:rsidR="009D0F4F" w:rsidRPr="00223207">
        <w:rPr>
          <w:szCs w:val="20"/>
        </w:rPr>
        <w:t xml:space="preserve">, Maranello, </w:t>
      </w:r>
      <w:r w:rsidR="009D0F4F" w:rsidRPr="00223207">
        <w:rPr>
          <w:i/>
          <w:szCs w:val="20"/>
        </w:rPr>
        <w:t>Montegibbio</w:t>
      </w:r>
      <w:r w:rsidR="009D0F4F" w:rsidRPr="00223207">
        <w:rPr>
          <w:szCs w:val="20"/>
        </w:rPr>
        <w:t xml:space="preserve">, S. Venanzio, </w:t>
      </w:r>
      <w:r w:rsidR="009D0F4F" w:rsidRPr="00223207">
        <w:rPr>
          <w:i/>
          <w:szCs w:val="20"/>
        </w:rPr>
        <w:t>Savignano</w:t>
      </w:r>
      <w:r w:rsidR="009D0F4F">
        <w:rPr>
          <w:szCs w:val="20"/>
        </w:rPr>
        <w:t xml:space="preserve">; 6 </w:t>
      </w:r>
      <w:proofErr w:type="spellStart"/>
      <w:r w:rsidR="009D0F4F">
        <w:rPr>
          <w:szCs w:val="20"/>
        </w:rPr>
        <w:t>visits</w:t>
      </w:r>
      <w:proofErr w:type="spellEnd"/>
      <w:r w:rsidR="009D0F4F" w:rsidRPr="00223207">
        <w:rPr>
          <w:szCs w:val="20"/>
        </w:rPr>
        <w:t xml:space="preserve">: </w:t>
      </w:r>
      <w:r w:rsidR="009D0F4F" w:rsidRPr="00223207">
        <w:rPr>
          <w:i/>
          <w:szCs w:val="20"/>
        </w:rPr>
        <w:t>Campiglio</w:t>
      </w:r>
      <w:r w:rsidR="009D0F4F" w:rsidRPr="00223207">
        <w:rPr>
          <w:szCs w:val="20"/>
        </w:rPr>
        <w:t xml:space="preserve">, Cittanova, </w:t>
      </w:r>
      <w:r w:rsidR="009D0F4F" w:rsidRPr="00223207">
        <w:rPr>
          <w:i/>
          <w:szCs w:val="20"/>
        </w:rPr>
        <w:t>Marano</w:t>
      </w:r>
      <w:r w:rsidR="009D0F4F" w:rsidRPr="00223207">
        <w:rPr>
          <w:szCs w:val="20"/>
        </w:rPr>
        <w:t>.</w:t>
      </w:r>
    </w:p>
  </w:footnote>
  <w:footnote w:id="30">
    <w:p w14:paraId="1A0DCD0F" w14:textId="4B3172DE" w:rsidR="00DF7785" w:rsidRPr="00223207" w:rsidRDefault="00DF7785" w:rsidP="006C2E7F">
      <w:pPr>
        <w:pStyle w:val="Testonotaapidipagina"/>
        <w:jc w:val="both"/>
        <w:rPr>
          <w:sz w:val="20"/>
          <w:szCs w:val="20"/>
        </w:rPr>
      </w:pPr>
      <w:r>
        <w:rPr>
          <w:rStyle w:val="Rimandonotaapidipagina"/>
          <w:sz w:val="20"/>
          <w:szCs w:val="20"/>
          <w:lang w:val="en-GB"/>
        </w:rPr>
        <w:footnoteRef/>
      </w:r>
      <w:r>
        <w:rPr>
          <w:sz w:val="20"/>
          <w:szCs w:val="20"/>
          <w:lang w:val="en-GB"/>
        </w:rPr>
        <w:t xml:space="preserve"> The town parishes and the number of visits received: </w:t>
      </w:r>
      <w:r w:rsidR="009D0F4F">
        <w:rPr>
          <w:sz w:val="20"/>
          <w:szCs w:val="20"/>
        </w:rPr>
        <w:t xml:space="preserve">1 </w:t>
      </w:r>
      <w:proofErr w:type="spellStart"/>
      <w:r w:rsidR="009D0F4F">
        <w:rPr>
          <w:sz w:val="20"/>
          <w:szCs w:val="20"/>
        </w:rPr>
        <w:t>visit</w:t>
      </w:r>
      <w:proofErr w:type="spellEnd"/>
      <w:r w:rsidR="009D0F4F" w:rsidRPr="00223207">
        <w:rPr>
          <w:sz w:val="20"/>
          <w:szCs w:val="20"/>
        </w:rPr>
        <w:t xml:space="preserve">: S. Eufemia, S. Silvestro; 2 </w:t>
      </w:r>
      <w:proofErr w:type="spellStart"/>
      <w:r w:rsidR="009D0F4F" w:rsidRPr="00223207">
        <w:rPr>
          <w:sz w:val="20"/>
          <w:szCs w:val="20"/>
        </w:rPr>
        <w:t>visit</w:t>
      </w:r>
      <w:r w:rsidR="009D0F4F">
        <w:rPr>
          <w:sz w:val="20"/>
          <w:szCs w:val="20"/>
        </w:rPr>
        <w:t>s</w:t>
      </w:r>
      <w:proofErr w:type="spellEnd"/>
      <w:r w:rsidR="009D0F4F" w:rsidRPr="00223207">
        <w:rPr>
          <w:sz w:val="20"/>
          <w:szCs w:val="20"/>
        </w:rPr>
        <w:t xml:space="preserve">: Cattedrale, S. Agata, S. Giorgio, S. Giovanni Battista, S. Giovanni </w:t>
      </w:r>
      <w:proofErr w:type="spellStart"/>
      <w:r w:rsidR="009D0F4F" w:rsidRPr="00223207">
        <w:rPr>
          <w:sz w:val="20"/>
          <w:szCs w:val="20"/>
        </w:rPr>
        <w:t>Ev</w:t>
      </w:r>
      <w:proofErr w:type="spellEnd"/>
      <w:proofErr w:type="gramStart"/>
      <w:r w:rsidR="009D0F4F" w:rsidRPr="00223207">
        <w:rPr>
          <w:sz w:val="20"/>
          <w:szCs w:val="20"/>
        </w:rPr>
        <w:t>.,</w:t>
      </w:r>
      <w:proofErr w:type="gramEnd"/>
      <w:r w:rsidR="009D0F4F" w:rsidRPr="00223207">
        <w:rPr>
          <w:sz w:val="20"/>
          <w:szCs w:val="20"/>
        </w:rPr>
        <w:t xml:space="preserve"> S. Lorenzo, S. Margherita, S. Pietro, SS. Trinità; 3 </w:t>
      </w:r>
      <w:proofErr w:type="spellStart"/>
      <w:r w:rsidR="009D0F4F" w:rsidRPr="00223207">
        <w:rPr>
          <w:sz w:val="20"/>
          <w:szCs w:val="20"/>
        </w:rPr>
        <w:t>visit</w:t>
      </w:r>
      <w:r w:rsidR="009D0F4F">
        <w:rPr>
          <w:sz w:val="20"/>
          <w:szCs w:val="20"/>
        </w:rPr>
        <w:t>s</w:t>
      </w:r>
      <w:proofErr w:type="spellEnd"/>
      <w:r w:rsidR="009D0F4F" w:rsidRPr="00223207">
        <w:rPr>
          <w:sz w:val="20"/>
          <w:szCs w:val="20"/>
        </w:rPr>
        <w:t>: S. Barnaba, S. Bartolomeo, S. Giacomo, S. Marco, S. Maria di Pomposa, S. Michele,</w:t>
      </w:r>
      <w:r w:rsidR="009D0F4F">
        <w:rPr>
          <w:sz w:val="20"/>
          <w:szCs w:val="20"/>
        </w:rPr>
        <w:t xml:space="preserve"> S. Paolo, S. Vincenzo; 4 </w:t>
      </w:r>
      <w:proofErr w:type="spellStart"/>
      <w:r w:rsidR="009D0F4F">
        <w:rPr>
          <w:sz w:val="20"/>
          <w:szCs w:val="20"/>
        </w:rPr>
        <w:t>visits</w:t>
      </w:r>
      <w:proofErr w:type="spellEnd"/>
      <w:r w:rsidR="009D0F4F" w:rsidRPr="00223207">
        <w:rPr>
          <w:sz w:val="20"/>
          <w:szCs w:val="20"/>
        </w:rPr>
        <w:t>: S. Biagio.</w:t>
      </w:r>
    </w:p>
  </w:footnote>
  <w:footnote w:id="31">
    <w:p w14:paraId="1E806F13" w14:textId="77777777" w:rsidR="00DF7785" w:rsidRPr="00223207" w:rsidRDefault="00DF7785" w:rsidP="00FD6E1A">
      <w:pPr>
        <w:pStyle w:val="Testonotaapidipagina"/>
        <w:jc w:val="both"/>
        <w:rPr>
          <w:sz w:val="20"/>
          <w:szCs w:val="20"/>
        </w:rPr>
      </w:pPr>
      <w:r>
        <w:rPr>
          <w:rStyle w:val="Rimandonotaapidipagina"/>
          <w:sz w:val="20"/>
          <w:szCs w:val="20"/>
          <w:lang w:val="en-GB"/>
        </w:rPr>
        <w:footnoteRef/>
      </w:r>
      <w:r>
        <w:rPr>
          <w:sz w:val="20"/>
          <w:szCs w:val="20"/>
          <w:lang w:val="en-GB"/>
        </w:rPr>
        <w:t xml:space="preserve"> On this see the words of G. Brunelli, in DBI, 51 (1998), pp. 685-690.</w:t>
      </w:r>
      <w:r>
        <w:rPr>
          <w:i/>
          <w:iCs/>
          <w:sz w:val="20"/>
          <w:szCs w:val="20"/>
          <w:lang w:val="en-GB"/>
        </w:rPr>
        <w:t xml:space="preserve"> </w:t>
      </w:r>
    </w:p>
  </w:footnote>
  <w:footnote w:id="32">
    <w:p w14:paraId="4031EF57" w14:textId="77777777" w:rsidR="00DF7785" w:rsidRPr="00223207" w:rsidRDefault="00DF7785" w:rsidP="00FD6E1A">
      <w:pPr>
        <w:jc w:val="both"/>
        <w:rPr>
          <w:rFonts w:eastAsia="Times New Roman"/>
          <w:szCs w:val="20"/>
        </w:rPr>
      </w:pPr>
      <w:r>
        <w:rPr>
          <w:rStyle w:val="Rimandonotaapidipagina"/>
          <w:szCs w:val="20"/>
          <w:lang w:val="en-GB"/>
        </w:rPr>
        <w:footnoteRef/>
      </w:r>
      <w:r>
        <w:rPr>
          <w:szCs w:val="20"/>
          <w:lang w:val="en-GB"/>
        </w:rPr>
        <w:t xml:space="preserve"> On the two visitors see G. van Gulik, C. Eubel (a cura di), </w:t>
      </w:r>
      <w:r>
        <w:rPr>
          <w:i/>
          <w:iCs/>
          <w:szCs w:val="20"/>
          <w:lang w:val="en-GB"/>
        </w:rPr>
        <w:t>Hierarchia catholica medii et recentioris aevi</w:t>
      </w:r>
      <w:r>
        <w:rPr>
          <w:szCs w:val="20"/>
          <w:lang w:val="en-GB"/>
        </w:rPr>
        <w:t xml:space="preserve">, </w:t>
      </w:r>
      <w:r>
        <w:rPr>
          <w:color w:val="000000"/>
          <w:szCs w:val="20"/>
          <w:shd w:val="clear" w:color="auto" w:fill="FFFFFF"/>
          <w:lang w:val="en-GB"/>
        </w:rPr>
        <w:t xml:space="preserve">Monasterii, sumptibus et typis librariae Regensbergianae, 1923, </w:t>
      </w:r>
      <w:r>
        <w:rPr>
          <w:szCs w:val="20"/>
          <w:lang w:val="en-GB"/>
        </w:rPr>
        <w:t xml:space="preserve">III, pp. 169, 324. </w:t>
      </w:r>
    </w:p>
  </w:footnote>
  <w:footnote w:id="33">
    <w:p w14:paraId="56B7A25D" w14:textId="77777777" w:rsidR="00DF7785" w:rsidRPr="00223207" w:rsidRDefault="00DF7785" w:rsidP="00EA3639">
      <w:pPr>
        <w:pStyle w:val="Testonotaapidipagina"/>
        <w:jc w:val="both"/>
        <w:rPr>
          <w:sz w:val="20"/>
          <w:szCs w:val="20"/>
        </w:rPr>
      </w:pPr>
      <w:r>
        <w:rPr>
          <w:rStyle w:val="Rimandonotaapidipagina"/>
          <w:sz w:val="20"/>
          <w:szCs w:val="20"/>
          <w:lang w:val="en-GB"/>
        </w:rPr>
        <w:footnoteRef/>
      </w:r>
      <w:r>
        <w:rPr>
          <w:sz w:val="20"/>
          <w:szCs w:val="20"/>
          <w:lang w:val="en-GB"/>
        </w:rPr>
        <w:t xml:space="preserve"> The letter is published in M. Al Kalak, </w:t>
      </w:r>
      <w:r>
        <w:rPr>
          <w:i/>
          <w:iCs/>
          <w:sz w:val="20"/>
          <w:szCs w:val="20"/>
          <w:lang w:val="en-GB"/>
        </w:rPr>
        <w:t>Gli eretici di Modena. Fede e potere alla metà del Cinquecento</w:t>
      </w:r>
      <w:r>
        <w:rPr>
          <w:sz w:val="20"/>
          <w:szCs w:val="20"/>
          <w:lang w:val="en-GB"/>
        </w:rPr>
        <w:t>, Milan, Mursia, 2008, pp. 206-207.</w:t>
      </w:r>
    </w:p>
  </w:footnote>
  <w:footnote w:id="34">
    <w:p w14:paraId="5DDCA7BE" w14:textId="77777777" w:rsidR="00DF7785" w:rsidRPr="00223207" w:rsidRDefault="00DF7785" w:rsidP="00FD6E1A">
      <w:pPr>
        <w:pStyle w:val="Testonotaapidipagina"/>
        <w:jc w:val="both"/>
        <w:rPr>
          <w:sz w:val="20"/>
          <w:szCs w:val="20"/>
        </w:rPr>
      </w:pPr>
      <w:r>
        <w:rPr>
          <w:rStyle w:val="Rimandonotaapidipagina"/>
          <w:sz w:val="20"/>
          <w:szCs w:val="20"/>
          <w:lang w:val="en-GB"/>
        </w:rPr>
        <w:footnoteRef/>
      </w:r>
      <w:r>
        <w:rPr>
          <w:sz w:val="20"/>
          <w:szCs w:val="20"/>
          <w:lang w:val="en-GB"/>
        </w:rPr>
        <w:t xml:space="preserve"> ACMo, O.I.33, cc. 106v-108v.</w:t>
      </w:r>
    </w:p>
  </w:footnote>
  <w:footnote w:id="35">
    <w:p w14:paraId="751C1BAE" w14:textId="77777777" w:rsidR="00DF7785" w:rsidRPr="00223207" w:rsidRDefault="00DF7785" w:rsidP="00FD6E1A">
      <w:pPr>
        <w:pStyle w:val="Testonotaapidipagina"/>
        <w:jc w:val="both"/>
        <w:rPr>
          <w:sz w:val="20"/>
          <w:szCs w:val="20"/>
        </w:rPr>
      </w:pPr>
      <w:r>
        <w:rPr>
          <w:rStyle w:val="Rimandonotaapidipagina"/>
          <w:sz w:val="20"/>
          <w:szCs w:val="20"/>
          <w:lang w:val="en-GB"/>
        </w:rPr>
        <w:footnoteRef/>
      </w:r>
      <w:r>
        <w:rPr>
          <w:sz w:val="20"/>
          <w:szCs w:val="20"/>
          <w:lang w:val="en-GB"/>
        </w:rPr>
        <w:t xml:space="preserve"> ACMo, O.VI.3, c. 28v.</w:t>
      </w:r>
    </w:p>
  </w:footnote>
  <w:footnote w:id="36">
    <w:p w14:paraId="525EE57C" w14:textId="77777777" w:rsidR="00DF7785" w:rsidRPr="00223207" w:rsidRDefault="00DF7785" w:rsidP="00FD6E1A">
      <w:pPr>
        <w:pStyle w:val="Testonotaapidipagina"/>
        <w:jc w:val="both"/>
        <w:rPr>
          <w:sz w:val="20"/>
          <w:szCs w:val="20"/>
        </w:rPr>
      </w:pPr>
      <w:r>
        <w:rPr>
          <w:rStyle w:val="Rimandonotaapidipagina"/>
          <w:sz w:val="20"/>
          <w:szCs w:val="20"/>
          <w:lang w:val="en-GB"/>
        </w:rPr>
        <w:footnoteRef/>
      </w:r>
      <w:r>
        <w:rPr>
          <w:sz w:val="20"/>
          <w:szCs w:val="20"/>
          <w:lang w:val="en-GB"/>
        </w:rPr>
        <w:t xml:space="preserve"> ACMo, O.VI.3, cc. 23r-v.</w:t>
      </w:r>
    </w:p>
  </w:footnote>
  <w:footnote w:id="37">
    <w:p w14:paraId="1D96A8E1" w14:textId="77777777" w:rsidR="00DF7785" w:rsidRPr="00223207" w:rsidRDefault="00DF7785" w:rsidP="00FD6E1A">
      <w:pPr>
        <w:pStyle w:val="Testonotaapidipagina"/>
        <w:jc w:val="both"/>
        <w:rPr>
          <w:sz w:val="20"/>
          <w:szCs w:val="20"/>
        </w:rPr>
      </w:pPr>
      <w:r>
        <w:rPr>
          <w:rStyle w:val="Rimandonotaapidipagina"/>
          <w:sz w:val="20"/>
          <w:szCs w:val="20"/>
          <w:lang w:val="en-GB"/>
        </w:rPr>
        <w:footnoteRef/>
      </w:r>
      <w:r>
        <w:rPr>
          <w:sz w:val="20"/>
          <w:szCs w:val="20"/>
          <w:lang w:val="en-GB"/>
        </w:rPr>
        <w:t xml:space="preserve"> On the characteristics and effectiveness of the counter-reformation in the Council of Trent era, see the discussion of M. Firpo, </w:t>
      </w:r>
      <w:r>
        <w:rPr>
          <w:i/>
          <w:iCs/>
          <w:sz w:val="20"/>
          <w:szCs w:val="20"/>
          <w:lang w:val="en-GB"/>
        </w:rPr>
        <w:t>La presa di potere dell’Inquisizione romana, 1550-1553</w:t>
      </w:r>
      <w:r>
        <w:rPr>
          <w:sz w:val="20"/>
          <w:szCs w:val="20"/>
          <w:lang w:val="en-GB"/>
        </w:rPr>
        <w:t xml:space="preserve">, Rome-Bari, Laterza, 2014, pp. V-XVIII, in contrast with the resurgence of neo-Jedinian tendencies in some sectors of Anglo-Saxon historiography, attributable to the proposal set out by the Jesuit John O’Malley in </w:t>
      </w:r>
      <w:r>
        <w:rPr>
          <w:i/>
          <w:iCs/>
          <w:sz w:val="20"/>
          <w:szCs w:val="20"/>
          <w:lang w:val="en-GB"/>
        </w:rPr>
        <w:t>Trent and all that.</w:t>
      </w:r>
      <w:r>
        <w:rPr>
          <w:sz w:val="20"/>
          <w:szCs w:val="20"/>
          <w:lang w:val="en-GB"/>
        </w:rPr>
        <w:t xml:space="preserve"> </w:t>
      </w:r>
      <w:r>
        <w:rPr>
          <w:i/>
          <w:iCs/>
          <w:sz w:val="20"/>
          <w:szCs w:val="20"/>
          <w:lang w:val="en-GB"/>
        </w:rPr>
        <w:t>Renaming Catholicism in Early Modern Era</w:t>
      </w:r>
      <w:r>
        <w:rPr>
          <w:sz w:val="20"/>
          <w:szCs w:val="20"/>
          <w:lang w:val="en-GB"/>
        </w:rPr>
        <w:t xml:space="preserve">, Cambridge MA, Harvard University Press, 2000. </w:t>
      </w:r>
    </w:p>
  </w:footnote>
  <w:footnote w:id="38">
    <w:p w14:paraId="37D9899E" w14:textId="77777777" w:rsidR="00DF7785" w:rsidRPr="00223207" w:rsidRDefault="00DF7785" w:rsidP="00FD6E1A">
      <w:pPr>
        <w:jc w:val="both"/>
        <w:rPr>
          <w:rFonts w:eastAsia="Times New Roman"/>
          <w:szCs w:val="20"/>
        </w:rPr>
      </w:pPr>
      <w:r>
        <w:rPr>
          <w:rStyle w:val="Rimandonotaapidipagina"/>
          <w:szCs w:val="20"/>
          <w:lang w:val="en-GB"/>
        </w:rPr>
        <w:footnoteRef/>
      </w:r>
      <w:r>
        <w:rPr>
          <w:szCs w:val="20"/>
          <w:lang w:val="en-GB"/>
        </w:rPr>
        <w:t xml:space="preserve"> See W. De Boer, </w:t>
      </w:r>
      <w:r>
        <w:rPr>
          <w:i/>
          <w:iCs/>
          <w:color w:val="000000"/>
          <w:szCs w:val="20"/>
          <w:shd w:val="clear" w:color="auto" w:fill="FFFFFF"/>
          <w:lang w:val="en-GB"/>
        </w:rPr>
        <w:t>The Conquest of the Soul. Confession, Discipline, and Public Order in Counter-Reformation Milan</w:t>
      </w:r>
      <w:r>
        <w:rPr>
          <w:color w:val="000000"/>
          <w:szCs w:val="20"/>
          <w:shd w:val="clear" w:color="auto" w:fill="FFFFFF"/>
          <w:lang w:val="en-GB"/>
        </w:rPr>
        <w:t>, Leiden, Brill, 2001.</w:t>
      </w:r>
      <w:r>
        <w:rPr>
          <w:szCs w:val="20"/>
          <w:lang w:val="en-GB"/>
        </w:rPr>
        <w:t xml:space="preserve"> </w:t>
      </w:r>
    </w:p>
  </w:footnote>
  <w:footnote w:id="39">
    <w:p w14:paraId="2F814FFC" w14:textId="77777777" w:rsidR="00DF7785" w:rsidRPr="00223207" w:rsidRDefault="00DF7785" w:rsidP="00FD6E1A">
      <w:pPr>
        <w:pStyle w:val="Testonotaapidipagina"/>
        <w:jc w:val="both"/>
        <w:rPr>
          <w:sz w:val="20"/>
          <w:szCs w:val="20"/>
        </w:rPr>
      </w:pPr>
      <w:r>
        <w:rPr>
          <w:rStyle w:val="Rimandonotaapidipagina"/>
          <w:sz w:val="20"/>
          <w:szCs w:val="20"/>
          <w:lang w:val="en-GB"/>
        </w:rPr>
        <w:footnoteRef/>
      </w:r>
      <w:r>
        <w:rPr>
          <w:sz w:val="20"/>
          <w:szCs w:val="20"/>
          <w:lang w:val="en-GB"/>
        </w:rPr>
        <w:t xml:space="preserve"> ASDMN, </w:t>
      </w:r>
      <w:r>
        <w:rPr>
          <w:i/>
          <w:iCs/>
          <w:sz w:val="20"/>
          <w:szCs w:val="20"/>
          <w:lang w:val="en-GB"/>
        </w:rPr>
        <w:t>Visite pastorali</w:t>
      </w:r>
      <w:r>
        <w:rPr>
          <w:sz w:val="20"/>
          <w:szCs w:val="20"/>
          <w:lang w:val="en-GB"/>
        </w:rPr>
        <w:t>, 6, doc. 5, c. 99v-100v.</w:t>
      </w:r>
    </w:p>
  </w:footnote>
  <w:footnote w:id="40">
    <w:p w14:paraId="0EE64B5E" w14:textId="77777777" w:rsidR="00DF7785" w:rsidRPr="00223207" w:rsidRDefault="00DF7785" w:rsidP="00DA0D00">
      <w:pPr>
        <w:pStyle w:val="Testonotaapidipagina"/>
        <w:jc w:val="both"/>
        <w:rPr>
          <w:sz w:val="20"/>
          <w:szCs w:val="20"/>
        </w:rPr>
      </w:pPr>
      <w:r>
        <w:rPr>
          <w:rStyle w:val="Rimandonotaapidipagina"/>
          <w:sz w:val="20"/>
          <w:szCs w:val="20"/>
          <w:lang w:val="en-GB"/>
        </w:rPr>
        <w:footnoteRef/>
      </w:r>
      <w:r>
        <w:rPr>
          <w:sz w:val="20"/>
          <w:szCs w:val="20"/>
          <w:lang w:val="en-GB"/>
        </w:rPr>
        <w:t xml:space="preserve"> On this matter, see the observations on the conduct of the Italian clergy in the early modern age by</w:t>
      </w:r>
      <w:r>
        <w:rPr>
          <w:sz w:val="20"/>
          <w:lang w:val="en-GB"/>
        </w:rPr>
        <w:t xml:space="preserve">M. Mancino, G. Romeo, </w:t>
      </w:r>
      <w:r>
        <w:rPr>
          <w:i/>
          <w:iCs/>
          <w:sz w:val="20"/>
          <w:szCs w:val="26"/>
          <w:lang w:val="en-GB"/>
        </w:rPr>
        <w:t>Clero criminale. L’onore della Chiesa e i delitti degli ecclesiastici nell’Italia della controriforma</w:t>
      </w:r>
      <w:r>
        <w:rPr>
          <w:sz w:val="20"/>
          <w:szCs w:val="26"/>
          <w:lang w:val="en-GB"/>
        </w:rPr>
        <w:t>, Rome-Bari 2013.</w:t>
      </w:r>
    </w:p>
  </w:footnote>
  <w:footnote w:id="41">
    <w:p w14:paraId="33E6204D" w14:textId="77777777" w:rsidR="00DF7785" w:rsidRPr="00223207" w:rsidRDefault="00DF7785" w:rsidP="00DA0D00">
      <w:pPr>
        <w:pStyle w:val="Testonotaapidipagina"/>
        <w:jc w:val="both"/>
        <w:rPr>
          <w:sz w:val="20"/>
          <w:szCs w:val="20"/>
        </w:rPr>
      </w:pPr>
      <w:r>
        <w:rPr>
          <w:rStyle w:val="Rimandonotaapidipagina"/>
          <w:sz w:val="20"/>
          <w:szCs w:val="20"/>
          <w:lang w:val="en-GB"/>
        </w:rPr>
        <w:footnoteRef/>
      </w:r>
      <w:r>
        <w:rPr>
          <w:sz w:val="20"/>
          <w:szCs w:val="20"/>
          <w:lang w:val="en-GB"/>
        </w:rPr>
        <w:t xml:space="preserve"> A summary of the preaching of Segneri senior can be found in [L. Bartolini], </w:t>
      </w:r>
      <w:r>
        <w:rPr>
          <w:i/>
          <w:iCs/>
          <w:sz w:val="20"/>
          <w:szCs w:val="20"/>
          <w:lang w:val="en-GB"/>
        </w:rPr>
        <w:t xml:space="preserve">Relatione delle missioni fatte su le montagne di Modona dalli rr. pp. Paolo Segneri e Gio. Pietro Pinamonti della Compagnia di Giesù l’anno </w:t>
      </w:r>
      <w:r>
        <w:rPr>
          <w:sz w:val="20"/>
          <w:szCs w:val="20"/>
          <w:lang w:val="en-GB"/>
        </w:rPr>
        <w:t xml:space="preserve">1672, Modena, Cassiani, 1673; see also A. Prosperi, </w:t>
      </w:r>
      <w:r>
        <w:rPr>
          <w:i/>
          <w:iCs/>
          <w:sz w:val="20"/>
          <w:szCs w:val="20"/>
          <w:lang w:val="en-GB"/>
        </w:rPr>
        <w:t xml:space="preserve">La religione della Controriforma e le feste del maggio nell’Appennino tosco-emiliano </w:t>
      </w:r>
      <w:r>
        <w:rPr>
          <w:sz w:val="20"/>
          <w:szCs w:val="20"/>
          <w:lang w:val="en-GB"/>
        </w:rPr>
        <w:t xml:space="preserve">[1981], in Id., </w:t>
      </w:r>
      <w:r>
        <w:rPr>
          <w:i/>
          <w:iCs/>
          <w:sz w:val="20"/>
          <w:szCs w:val="20"/>
          <w:lang w:val="en-GB"/>
        </w:rPr>
        <w:t>Eresie e devozioni. La religione italiana in età moderna</w:t>
      </w:r>
      <w:r>
        <w:rPr>
          <w:sz w:val="20"/>
          <w:szCs w:val="20"/>
          <w:lang w:val="en-GB"/>
        </w:rPr>
        <w:t xml:space="preserve">, Rome, Edizioni di Storia e Letteratura, 2010, III, pp. 7-27. For the missions of Segneri junior see G. Orlandi, </w:t>
      </w:r>
      <w:r>
        <w:rPr>
          <w:i/>
          <w:iCs/>
          <w:sz w:val="20"/>
          <w:szCs w:val="20"/>
          <w:lang w:val="en-GB"/>
        </w:rPr>
        <w:t>L.A. Muratori e le missioni di p. Segneri jr.</w:t>
      </w:r>
      <w:r>
        <w:rPr>
          <w:sz w:val="20"/>
          <w:szCs w:val="20"/>
          <w:lang w:val="en-GB"/>
        </w:rPr>
        <w:t xml:space="preserve">, in: “Spicilegium historicum congregationis SSmi Redemptoris” </w:t>
      </w:r>
      <w:r>
        <w:rPr>
          <w:smallCaps/>
          <w:sz w:val="20"/>
          <w:szCs w:val="20"/>
          <w:lang w:val="en-GB"/>
        </w:rPr>
        <w:t>xx</w:t>
      </w:r>
      <w:r w:rsidR="004A4256">
        <w:rPr>
          <w:sz w:val="20"/>
          <w:szCs w:val="20"/>
          <w:lang w:val="en-GB"/>
        </w:rPr>
        <w:t>, 1 (1972), pp. 158-294.</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48F5DF6"/>
    <w:multiLevelType w:val="hybridMultilevel"/>
    <w:tmpl w:val="0278F404"/>
    <w:lvl w:ilvl="0" w:tplc="508C96D6">
      <w:start w:val="6"/>
      <w:numFmt w:val="bullet"/>
      <w:lvlText w:val="-"/>
      <w:lvlJc w:val="left"/>
      <w:pPr>
        <w:ind w:left="720" w:hanging="360"/>
      </w:pPr>
      <w:rPr>
        <w:rFonts w:ascii="Book Antiqua" w:eastAsiaTheme="minorEastAsia" w:hAnsi="Book Antiqua" w:cs="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proofState w:spelling="clean" w:grammar="clean"/>
  <w:defaultTabStop w:val="709"/>
  <w:hyphenationZone w:val="283"/>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6ADA"/>
    <w:rsid w:val="00004E04"/>
    <w:rsid w:val="00006ADA"/>
    <w:rsid w:val="00007A76"/>
    <w:rsid w:val="00011BB3"/>
    <w:rsid w:val="00042085"/>
    <w:rsid w:val="0004308C"/>
    <w:rsid w:val="00043A66"/>
    <w:rsid w:val="00047A3D"/>
    <w:rsid w:val="000510D6"/>
    <w:rsid w:val="00053BB8"/>
    <w:rsid w:val="0006229A"/>
    <w:rsid w:val="00091EB7"/>
    <w:rsid w:val="000A0282"/>
    <w:rsid w:val="000A1FFC"/>
    <w:rsid w:val="000B4DE5"/>
    <w:rsid w:val="000C282A"/>
    <w:rsid w:val="000C7A73"/>
    <w:rsid w:val="000D4D12"/>
    <w:rsid w:val="000D6FD5"/>
    <w:rsid w:val="000F0F06"/>
    <w:rsid w:val="00105560"/>
    <w:rsid w:val="001179F0"/>
    <w:rsid w:val="00117F32"/>
    <w:rsid w:val="00123039"/>
    <w:rsid w:val="00132F7F"/>
    <w:rsid w:val="001446CE"/>
    <w:rsid w:val="00155EC8"/>
    <w:rsid w:val="001600A8"/>
    <w:rsid w:val="00166061"/>
    <w:rsid w:val="001750FF"/>
    <w:rsid w:val="001778A4"/>
    <w:rsid w:val="001A0E45"/>
    <w:rsid w:val="001B5CC6"/>
    <w:rsid w:val="001B69AD"/>
    <w:rsid w:val="001C1F5C"/>
    <w:rsid w:val="001C681F"/>
    <w:rsid w:val="001C7F95"/>
    <w:rsid w:val="001F1F02"/>
    <w:rsid w:val="001F3E21"/>
    <w:rsid w:val="001F4828"/>
    <w:rsid w:val="00203355"/>
    <w:rsid w:val="00204E19"/>
    <w:rsid w:val="00223207"/>
    <w:rsid w:val="00231C5F"/>
    <w:rsid w:val="00242998"/>
    <w:rsid w:val="0024575C"/>
    <w:rsid w:val="002508D2"/>
    <w:rsid w:val="00252F3D"/>
    <w:rsid w:val="002603B2"/>
    <w:rsid w:val="00261803"/>
    <w:rsid w:val="00262167"/>
    <w:rsid w:val="002638D8"/>
    <w:rsid w:val="002731C1"/>
    <w:rsid w:val="00281B3D"/>
    <w:rsid w:val="00287D87"/>
    <w:rsid w:val="002932E2"/>
    <w:rsid w:val="002935E8"/>
    <w:rsid w:val="0029517C"/>
    <w:rsid w:val="002A11B3"/>
    <w:rsid w:val="002A1BD9"/>
    <w:rsid w:val="002B2BC1"/>
    <w:rsid w:val="002B5517"/>
    <w:rsid w:val="002D2ECD"/>
    <w:rsid w:val="002E10DF"/>
    <w:rsid w:val="002E61D6"/>
    <w:rsid w:val="002F0F78"/>
    <w:rsid w:val="002F4B18"/>
    <w:rsid w:val="002F6943"/>
    <w:rsid w:val="003279B8"/>
    <w:rsid w:val="0033359E"/>
    <w:rsid w:val="003460CB"/>
    <w:rsid w:val="0035461B"/>
    <w:rsid w:val="0036012A"/>
    <w:rsid w:val="0036350B"/>
    <w:rsid w:val="00370B94"/>
    <w:rsid w:val="003748EF"/>
    <w:rsid w:val="0037660F"/>
    <w:rsid w:val="00385DF5"/>
    <w:rsid w:val="003924C6"/>
    <w:rsid w:val="00393A53"/>
    <w:rsid w:val="00395D74"/>
    <w:rsid w:val="00396373"/>
    <w:rsid w:val="003D5B61"/>
    <w:rsid w:val="003E77EF"/>
    <w:rsid w:val="003F6BC9"/>
    <w:rsid w:val="003F7C9B"/>
    <w:rsid w:val="00423CCC"/>
    <w:rsid w:val="0042523D"/>
    <w:rsid w:val="00444F62"/>
    <w:rsid w:val="00445106"/>
    <w:rsid w:val="0045314C"/>
    <w:rsid w:val="004722BD"/>
    <w:rsid w:val="00477FD8"/>
    <w:rsid w:val="00480833"/>
    <w:rsid w:val="00481012"/>
    <w:rsid w:val="004938F5"/>
    <w:rsid w:val="004A0D45"/>
    <w:rsid w:val="004A29D5"/>
    <w:rsid w:val="004A4256"/>
    <w:rsid w:val="004A4C0A"/>
    <w:rsid w:val="004B3EAC"/>
    <w:rsid w:val="004D6B69"/>
    <w:rsid w:val="004D7F06"/>
    <w:rsid w:val="004F143A"/>
    <w:rsid w:val="004F35CE"/>
    <w:rsid w:val="00514700"/>
    <w:rsid w:val="00515DAB"/>
    <w:rsid w:val="00517074"/>
    <w:rsid w:val="00523337"/>
    <w:rsid w:val="005252C5"/>
    <w:rsid w:val="005302AC"/>
    <w:rsid w:val="005379ED"/>
    <w:rsid w:val="00540EC4"/>
    <w:rsid w:val="005428CF"/>
    <w:rsid w:val="00543B3C"/>
    <w:rsid w:val="005465A1"/>
    <w:rsid w:val="00551331"/>
    <w:rsid w:val="0055236E"/>
    <w:rsid w:val="00552F7F"/>
    <w:rsid w:val="00556A61"/>
    <w:rsid w:val="005648E9"/>
    <w:rsid w:val="00573AFA"/>
    <w:rsid w:val="00592BAD"/>
    <w:rsid w:val="00594929"/>
    <w:rsid w:val="005964A0"/>
    <w:rsid w:val="005A1097"/>
    <w:rsid w:val="005A37E9"/>
    <w:rsid w:val="005B2591"/>
    <w:rsid w:val="005D093D"/>
    <w:rsid w:val="005D63C5"/>
    <w:rsid w:val="005E0A25"/>
    <w:rsid w:val="00606F02"/>
    <w:rsid w:val="0061471B"/>
    <w:rsid w:val="006237D7"/>
    <w:rsid w:val="00650964"/>
    <w:rsid w:val="00651ABF"/>
    <w:rsid w:val="0065493E"/>
    <w:rsid w:val="00663CF6"/>
    <w:rsid w:val="00664B35"/>
    <w:rsid w:val="00665E5D"/>
    <w:rsid w:val="0067306D"/>
    <w:rsid w:val="00673F6F"/>
    <w:rsid w:val="00676C88"/>
    <w:rsid w:val="006906DC"/>
    <w:rsid w:val="00690A58"/>
    <w:rsid w:val="006946D4"/>
    <w:rsid w:val="006A3BBA"/>
    <w:rsid w:val="006B433A"/>
    <w:rsid w:val="006C2E7F"/>
    <w:rsid w:val="006D4EB4"/>
    <w:rsid w:val="006D6CA0"/>
    <w:rsid w:val="006E07F6"/>
    <w:rsid w:val="006F2B51"/>
    <w:rsid w:val="007023AC"/>
    <w:rsid w:val="00710716"/>
    <w:rsid w:val="0071139E"/>
    <w:rsid w:val="007116C9"/>
    <w:rsid w:val="007126E7"/>
    <w:rsid w:val="00717D45"/>
    <w:rsid w:val="007255AC"/>
    <w:rsid w:val="00732BFF"/>
    <w:rsid w:val="007405D0"/>
    <w:rsid w:val="007515E4"/>
    <w:rsid w:val="007666F0"/>
    <w:rsid w:val="00767AE2"/>
    <w:rsid w:val="00775EF7"/>
    <w:rsid w:val="00776B33"/>
    <w:rsid w:val="007860CC"/>
    <w:rsid w:val="0079095E"/>
    <w:rsid w:val="0079150F"/>
    <w:rsid w:val="007A1E91"/>
    <w:rsid w:val="007A34A4"/>
    <w:rsid w:val="007A620D"/>
    <w:rsid w:val="007B7296"/>
    <w:rsid w:val="007C442C"/>
    <w:rsid w:val="007C56D8"/>
    <w:rsid w:val="007D08D4"/>
    <w:rsid w:val="007D2488"/>
    <w:rsid w:val="007D7765"/>
    <w:rsid w:val="007E40E6"/>
    <w:rsid w:val="007F4EC2"/>
    <w:rsid w:val="00801440"/>
    <w:rsid w:val="00802CE1"/>
    <w:rsid w:val="00807ECC"/>
    <w:rsid w:val="0081025E"/>
    <w:rsid w:val="00810BD0"/>
    <w:rsid w:val="008136C6"/>
    <w:rsid w:val="00814A8B"/>
    <w:rsid w:val="0082191C"/>
    <w:rsid w:val="008374A9"/>
    <w:rsid w:val="008408FB"/>
    <w:rsid w:val="00852350"/>
    <w:rsid w:val="0085275A"/>
    <w:rsid w:val="00855D8C"/>
    <w:rsid w:val="00856A81"/>
    <w:rsid w:val="0086393E"/>
    <w:rsid w:val="00891471"/>
    <w:rsid w:val="008A09FD"/>
    <w:rsid w:val="008A1020"/>
    <w:rsid w:val="008B005C"/>
    <w:rsid w:val="008B2777"/>
    <w:rsid w:val="008C4893"/>
    <w:rsid w:val="008C670A"/>
    <w:rsid w:val="008E25FE"/>
    <w:rsid w:val="008E5054"/>
    <w:rsid w:val="008E6650"/>
    <w:rsid w:val="008F6374"/>
    <w:rsid w:val="008F7174"/>
    <w:rsid w:val="00900079"/>
    <w:rsid w:val="009005CF"/>
    <w:rsid w:val="00902FA7"/>
    <w:rsid w:val="00904E18"/>
    <w:rsid w:val="0091241D"/>
    <w:rsid w:val="0092001B"/>
    <w:rsid w:val="009320AC"/>
    <w:rsid w:val="00934B5C"/>
    <w:rsid w:val="00945331"/>
    <w:rsid w:val="009541D0"/>
    <w:rsid w:val="00961976"/>
    <w:rsid w:val="00972702"/>
    <w:rsid w:val="00974DC9"/>
    <w:rsid w:val="00986AD2"/>
    <w:rsid w:val="009A00E4"/>
    <w:rsid w:val="009A436B"/>
    <w:rsid w:val="009A54BE"/>
    <w:rsid w:val="009A624F"/>
    <w:rsid w:val="009C3024"/>
    <w:rsid w:val="009C61D8"/>
    <w:rsid w:val="009D0F4F"/>
    <w:rsid w:val="009D6CA8"/>
    <w:rsid w:val="009F1C0B"/>
    <w:rsid w:val="009F368D"/>
    <w:rsid w:val="009F3EA2"/>
    <w:rsid w:val="009F45BC"/>
    <w:rsid w:val="00A0056D"/>
    <w:rsid w:val="00A02CF0"/>
    <w:rsid w:val="00A031DE"/>
    <w:rsid w:val="00A161BB"/>
    <w:rsid w:val="00A171BF"/>
    <w:rsid w:val="00A40598"/>
    <w:rsid w:val="00A54B23"/>
    <w:rsid w:val="00A66486"/>
    <w:rsid w:val="00A745CB"/>
    <w:rsid w:val="00A74B52"/>
    <w:rsid w:val="00A774B1"/>
    <w:rsid w:val="00A918F6"/>
    <w:rsid w:val="00A91C70"/>
    <w:rsid w:val="00A926FA"/>
    <w:rsid w:val="00A958C3"/>
    <w:rsid w:val="00A9737F"/>
    <w:rsid w:val="00AD1E20"/>
    <w:rsid w:val="00AD5F34"/>
    <w:rsid w:val="00AD6354"/>
    <w:rsid w:val="00AE331E"/>
    <w:rsid w:val="00B162DD"/>
    <w:rsid w:val="00B33E87"/>
    <w:rsid w:val="00B36671"/>
    <w:rsid w:val="00B46A9A"/>
    <w:rsid w:val="00B56A8A"/>
    <w:rsid w:val="00B6139E"/>
    <w:rsid w:val="00B6669D"/>
    <w:rsid w:val="00B752D1"/>
    <w:rsid w:val="00B85E78"/>
    <w:rsid w:val="00B973A2"/>
    <w:rsid w:val="00BA12C8"/>
    <w:rsid w:val="00BA3C9B"/>
    <w:rsid w:val="00BC2AEC"/>
    <w:rsid w:val="00BD0819"/>
    <w:rsid w:val="00BD4C3B"/>
    <w:rsid w:val="00BD715E"/>
    <w:rsid w:val="00C012EF"/>
    <w:rsid w:val="00C024A1"/>
    <w:rsid w:val="00C343CC"/>
    <w:rsid w:val="00C45780"/>
    <w:rsid w:val="00C4643C"/>
    <w:rsid w:val="00C52393"/>
    <w:rsid w:val="00C55B8A"/>
    <w:rsid w:val="00C5655D"/>
    <w:rsid w:val="00C61109"/>
    <w:rsid w:val="00C8440A"/>
    <w:rsid w:val="00C86B86"/>
    <w:rsid w:val="00C87910"/>
    <w:rsid w:val="00C90A9B"/>
    <w:rsid w:val="00C9491C"/>
    <w:rsid w:val="00C95EB9"/>
    <w:rsid w:val="00CA293B"/>
    <w:rsid w:val="00CA5C6F"/>
    <w:rsid w:val="00CA6011"/>
    <w:rsid w:val="00CD0D71"/>
    <w:rsid w:val="00CD1B8F"/>
    <w:rsid w:val="00CE173E"/>
    <w:rsid w:val="00CE37A6"/>
    <w:rsid w:val="00CF5851"/>
    <w:rsid w:val="00CF6785"/>
    <w:rsid w:val="00D131A3"/>
    <w:rsid w:val="00D1559E"/>
    <w:rsid w:val="00D15EEF"/>
    <w:rsid w:val="00D236CB"/>
    <w:rsid w:val="00D262A7"/>
    <w:rsid w:val="00D276DC"/>
    <w:rsid w:val="00D34455"/>
    <w:rsid w:val="00D47C86"/>
    <w:rsid w:val="00D50544"/>
    <w:rsid w:val="00D66670"/>
    <w:rsid w:val="00D66A4A"/>
    <w:rsid w:val="00D675DE"/>
    <w:rsid w:val="00D7179F"/>
    <w:rsid w:val="00D77764"/>
    <w:rsid w:val="00D824F4"/>
    <w:rsid w:val="00D918AD"/>
    <w:rsid w:val="00D92DB7"/>
    <w:rsid w:val="00DA0D00"/>
    <w:rsid w:val="00DA124B"/>
    <w:rsid w:val="00DA2AAC"/>
    <w:rsid w:val="00DB62CE"/>
    <w:rsid w:val="00DB62DF"/>
    <w:rsid w:val="00DB6B82"/>
    <w:rsid w:val="00DC7062"/>
    <w:rsid w:val="00DF7009"/>
    <w:rsid w:val="00DF71FA"/>
    <w:rsid w:val="00DF73C3"/>
    <w:rsid w:val="00DF7785"/>
    <w:rsid w:val="00E03F41"/>
    <w:rsid w:val="00E07E90"/>
    <w:rsid w:val="00E15FD2"/>
    <w:rsid w:val="00E249CF"/>
    <w:rsid w:val="00E338F2"/>
    <w:rsid w:val="00E36980"/>
    <w:rsid w:val="00E44711"/>
    <w:rsid w:val="00E56AA2"/>
    <w:rsid w:val="00E57B29"/>
    <w:rsid w:val="00E613D4"/>
    <w:rsid w:val="00E65DE4"/>
    <w:rsid w:val="00E668FD"/>
    <w:rsid w:val="00E67196"/>
    <w:rsid w:val="00E90A1A"/>
    <w:rsid w:val="00E92E59"/>
    <w:rsid w:val="00E95226"/>
    <w:rsid w:val="00EA3639"/>
    <w:rsid w:val="00EA4BCB"/>
    <w:rsid w:val="00EB4E73"/>
    <w:rsid w:val="00EB6A27"/>
    <w:rsid w:val="00EC1E90"/>
    <w:rsid w:val="00EC2E9B"/>
    <w:rsid w:val="00ED167C"/>
    <w:rsid w:val="00ED2933"/>
    <w:rsid w:val="00ED3AAA"/>
    <w:rsid w:val="00ED4CE0"/>
    <w:rsid w:val="00ED7118"/>
    <w:rsid w:val="00EE238D"/>
    <w:rsid w:val="00EE5857"/>
    <w:rsid w:val="00EE59D5"/>
    <w:rsid w:val="00EF3B60"/>
    <w:rsid w:val="00EF513A"/>
    <w:rsid w:val="00EF707E"/>
    <w:rsid w:val="00F00D99"/>
    <w:rsid w:val="00F132BB"/>
    <w:rsid w:val="00F3531A"/>
    <w:rsid w:val="00F370B0"/>
    <w:rsid w:val="00F45CCB"/>
    <w:rsid w:val="00F51B80"/>
    <w:rsid w:val="00F52014"/>
    <w:rsid w:val="00F70646"/>
    <w:rsid w:val="00F84C33"/>
    <w:rsid w:val="00F8642A"/>
    <w:rsid w:val="00F96246"/>
    <w:rsid w:val="00FB08B4"/>
    <w:rsid w:val="00FB7DB9"/>
    <w:rsid w:val="00FC562B"/>
    <w:rsid w:val="00FD0403"/>
    <w:rsid w:val="00FD225F"/>
    <w:rsid w:val="00FD6E1A"/>
    <w:rsid w:val="00FF3889"/>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oNotEmbedSmartTags/>
  <w:decimalSymbol w:val=","/>
  <w:listSeparator w:val=";"/>
  <w14:docId w14:val="3E7B66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it-IT"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rFonts w:ascii="Book Antiqua" w:hAnsi="Book Antiqua"/>
      <w:szCs w:val="24"/>
      <w:lang w:eastAsia="it-IT"/>
    </w:rPr>
  </w:style>
  <w:style w:type="paragraph" w:styleId="Titolo3">
    <w:name w:val="heading 3"/>
    <w:basedOn w:val="Normale"/>
    <w:link w:val="Titolo3Carattere"/>
    <w:uiPriority w:val="9"/>
    <w:qFormat/>
    <w:rsid w:val="004A29D5"/>
    <w:pPr>
      <w:spacing w:before="100" w:beforeAutospacing="1" w:after="100" w:afterAutospacing="1"/>
      <w:outlineLvl w:val="2"/>
    </w:pPr>
    <w:rPr>
      <w:rFonts w:ascii="Times" w:hAnsi="Times"/>
      <w:b/>
      <w:bCs/>
      <w:sz w:val="27"/>
      <w:szCs w:val="27"/>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nhideWhenUsed/>
    <w:rsid w:val="00852350"/>
    <w:rPr>
      <w:sz w:val="24"/>
    </w:rPr>
  </w:style>
  <w:style w:type="character" w:customStyle="1" w:styleId="TestonotaapidipaginaCarattere">
    <w:name w:val="Testo nota a piè di pagina Carattere"/>
    <w:basedOn w:val="Caratterepredefinitoparagrafo"/>
    <w:link w:val="Testonotaapidipagina"/>
    <w:uiPriority w:val="99"/>
    <w:rsid w:val="00852350"/>
    <w:rPr>
      <w:rFonts w:ascii="Book Antiqua" w:hAnsi="Book Antiqua"/>
      <w:sz w:val="24"/>
      <w:szCs w:val="24"/>
      <w:lang w:eastAsia="it-IT"/>
    </w:rPr>
  </w:style>
  <w:style w:type="character" w:styleId="Rimandonotaapidipagina">
    <w:name w:val="footnote reference"/>
    <w:basedOn w:val="Caratterepredefinitoparagrafo"/>
    <w:unhideWhenUsed/>
    <w:rsid w:val="00852350"/>
    <w:rPr>
      <w:vertAlign w:val="superscript"/>
    </w:rPr>
  </w:style>
  <w:style w:type="character" w:styleId="Enfasigrassetto">
    <w:name w:val="Strong"/>
    <w:basedOn w:val="Caratterepredefinitoparagrafo"/>
    <w:uiPriority w:val="22"/>
    <w:qFormat/>
    <w:rsid w:val="002935E8"/>
    <w:rPr>
      <w:b/>
      <w:bCs/>
    </w:rPr>
  </w:style>
  <w:style w:type="paragraph" w:styleId="Corpodeltesto">
    <w:name w:val="Body Text"/>
    <w:basedOn w:val="Normale"/>
    <w:link w:val="CorpodeltestoCarattere"/>
    <w:rsid w:val="004722BD"/>
    <w:rPr>
      <w:rFonts w:ascii="Times New Roman" w:eastAsia="Times New Roman" w:hAnsi="Times New Roman"/>
      <w:b/>
      <w:bCs/>
      <w:sz w:val="24"/>
      <w:lang w:bidi="he-IL"/>
    </w:rPr>
  </w:style>
  <w:style w:type="character" w:customStyle="1" w:styleId="CorpodeltestoCarattere">
    <w:name w:val="Corpo del testo Carattere"/>
    <w:basedOn w:val="Caratterepredefinitoparagrafo"/>
    <w:link w:val="Corpodeltesto"/>
    <w:rsid w:val="004722BD"/>
    <w:rPr>
      <w:rFonts w:eastAsia="Times New Roman"/>
      <w:b/>
      <w:bCs/>
      <w:sz w:val="24"/>
      <w:szCs w:val="24"/>
      <w:lang w:eastAsia="it-IT" w:bidi="he-IL"/>
    </w:rPr>
  </w:style>
  <w:style w:type="paragraph" w:styleId="Intestazione">
    <w:name w:val="header"/>
    <w:basedOn w:val="Normale"/>
    <w:link w:val="IntestazioneCarattere"/>
    <w:uiPriority w:val="99"/>
    <w:unhideWhenUsed/>
    <w:rsid w:val="00E668FD"/>
    <w:pPr>
      <w:tabs>
        <w:tab w:val="center" w:pos="4819"/>
        <w:tab w:val="right" w:pos="9638"/>
      </w:tabs>
    </w:pPr>
  </w:style>
  <w:style w:type="character" w:customStyle="1" w:styleId="IntestazioneCarattere">
    <w:name w:val="Intestazione Carattere"/>
    <w:basedOn w:val="Caratterepredefinitoparagrafo"/>
    <w:link w:val="Intestazione"/>
    <w:uiPriority w:val="99"/>
    <w:rsid w:val="00E668FD"/>
    <w:rPr>
      <w:rFonts w:ascii="Book Antiqua" w:hAnsi="Book Antiqua"/>
      <w:szCs w:val="24"/>
      <w:lang w:eastAsia="it-IT"/>
    </w:rPr>
  </w:style>
  <w:style w:type="paragraph" w:styleId="Pidipagina">
    <w:name w:val="footer"/>
    <w:basedOn w:val="Normale"/>
    <w:link w:val="PidipaginaCarattere"/>
    <w:uiPriority w:val="99"/>
    <w:unhideWhenUsed/>
    <w:rsid w:val="00E668FD"/>
    <w:pPr>
      <w:tabs>
        <w:tab w:val="center" w:pos="4819"/>
        <w:tab w:val="right" w:pos="9638"/>
      </w:tabs>
    </w:pPr>
  </w:style>
  <w:style w:type="character" w:customStyle="1" w:styleId="PidipaginaCarattere">
    <w:name w:val="Piè di pagina Carattere"/>
    <w:basedOn w:val="Caratterepredefinitoparagrafo"/>
    <w:link w:val="Pidipagina"/>
    <w:uiPriority w:val="99"/>
    <w:rsid w:val="00E668FD"/>
    <w:rPr>
      <w:rFonts w:ascii="Book Antiqua" w:hAnsi="Book Antiqua"/>
      <w:szCs w:val="24"/>
      <w:lang w:eastAsia="it-IT"/>
    </w:rPr>
  </w:style>
  <w:style w:type="table" w:styleId="Grigliatabella">
    <w:name w:val="Table Grid"/>
    <w:basedOn w:val="Tabellanormale"/>
    <w:uiPriority w:val="59"/>
    <w:rsid w:val="00C4578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fondochiaro">
    <w:name w:val="Light Shading"/>
    <w:basedOn w:val="Tabellanormale"/>
    <w:uiPriority w:val="60"/>
    <w:rsid w:val="00C45780"/>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aragrafoelenco">
    <w:name w:val="List Paragraph"/>
    <w:basedOn w:val="Normale"/>
    <w:uiPriority w:val="34"/>
    <w:qFormat/>
    <w:rsid w:val="006D4EB4"/>
    <w:pPr>
      <w:ind w:left="720"/>
      <w:contextualSpacing/>
    </w:pPr>
  </w:style>
  <w:style w:type="paragraph" w:styleId="NormaleWeb">
    <w:name w:val="Normal (Web)"/>
    <w:basedOn w:val="Normale"/>
    <w:uiPriority w:val="99"/>
    <w:semiHidden/>
    <w:unhideWhenUsed/>
    <w:rsid w:val="00F96246"/>
    <w:pPr>
      <w:spacing w:before="100" w:beforeAutospacing="1" w:after="100" w:afterAutospacing="1"/>
    </w:pPr>
    <w:rPr>
      <w:rFonts w:ascii="Times" w:hAnsi="Times"/>
      <w:szCs w:val="20"/>
    </w:rPr>
  </w:style>
  <w:style w:type="character" w:customStyle="1" w:styleId="apple-converted-space">
    <w:name w:val="apple-converted-space"/>
    <w:basedOn w:val="Caratterepredefinitoparagrafo"/>
    <w:rsid w:val="00BA12C8"/>
  </w:style>
  <w:style w:type="character" w:customStyle="1" w:styleId="Titolo3Carattere">
    <w:name w:val="Titolo 3 Carattere"/>
    <w:basedOn w:val="Caratterepredefinitoparagrafo"/>
    <w:link w:val="Titolo3"/>
    <w:uiPriority w:val="9"/>
    <w:rsid w:val="004A29D5"/>
    <w:rPr>
      <w:rFonts w:ascii="Times" w:hAnsi="Times"/>
      <w:b/>
      <w:bCs/>
      <w:sz w:val="27"/>
      <w:szCs w:val="27"/>
      <w:lang w:eastAsia="it-I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it-IT"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rFonts w:ascii="Book Antiqua" w:hAnsi="Book Antiqua"/>
      <w:szCs w:val="24"/>
      <w:lang w:eastAsia="it-IT"/>
    </w:rPr>
  </w:style>
  <w:style w:type="paragraph" w:styleId="Titolo3">
    <w:name w:val="heading 3"/>
    <w:basedOn w:val="Normale"/>
    <w:link w:val="Titolo3Carattere"/>
    <w:uiPriority w:val="9"/>
    <w:qFormat/>
    <w:rsid w:val="004A29D5"/>
    <w:pPr>
      <w:spacing w:before="100" w:beforeAutospacing="1" w:after="100" w:afterAutospacing="1"/>
      <w:outlineLvl w:val="2"/>
    </w:pPr>
    <w:rPr>
      <w:rFonts w:ascii="Times" w:hAnsi="Times"/>
      <w:b/>
      <w:bCs/>
      <w:sz w:val="27"/>
      <w:szCs w:val="27"/>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nhideWhenUsed/>
    <w:rsid w:val="00852350"/>
    <w:rPr>
      <w:sz w:val="24"/>
    </w:rPr>
  </w:style>
  <w:style w:type="character" w:customStyle="1" w:styleId="TestonotaapidipaginaCarattere">
    <w:name w:val="Testo nota a piè di pagina Carattere"/>
    <w:basedOn w:val="Caratterepredefinitoparagrafo"/>
    <w:link w:val="Testonotaapidipagina"/>
    <w:uiPriority w:val="99"/>
    <w:rsid w:val="00852350"/>
    <w:rPr>
      <w:rFonts w:ascii="Book Antiqua" w:hAnsi="Book Antiqua"/>
      <w:sz w:val="24"/>
      <w:szCs w:val="24"/>
      <w:lang w:eastAsia="it-IT"/>
    </w:rPr>
  </w:style>
  <w:style w:type="character" w:styleId="Rimandonotaapidipagina">
    <w:name w:val="footnote reference"/>
    <w:basedOn w:val="Caratterepredefinitoparagrafo"/>
    <w:unhideWhenUsed/>
    <w:rsid w:val="00852350"/>
    <w:rPr>
      <w:vertAlign w:val="superscript"/>
    </w:rPr>
  </w:style>
  <w:style w:type="character" w:styleId="Enfasigrassetto">
    <w:name w:val="Strong"/>
    <w:basedOn w:val="Caratterepredefinitoparagrafo"/>
    <w:uiPriority w:val="22"/>
    <w:qFormat/>
    <w:rsid w:val="002935E8"/>
    <w:rPr>
      <w:b/>
      <w:bCs/>
    </w:rPr>
  </w:style>
  <w:style w:type="paragraph" w:styleId="Corpodeltesto">
    <w:name w:val="Body Text"/>
    <w:basedOn w:val="Normale"/>
    <w:link w:val="CorpodeltestoCarattere"/>
    <w:rsid w:val="004722BD"/>
    <w:rPr>
      <w:rFonts w:ascii="Times New Roman" w:eastAsia="Times New Roman" w:hAnsi="Times New Roman"/>
      <w:b/>
      <w:bCs/>
      <w:sz w:val="24"/>
      <w:lang w:bidi="he-IL"/>
    </w:rPr>
  </w:style>
  <w:style w:type="character" w:customStyle="1" w:styleId="CorpodeltestoCarattere">
    <w:name w:val="Corpo del testo Carattere"/>
    <w:basedOn w:val="Caratterepredefinitoparagrafo"/>
    <w:link w:val="Corpodeltesto"/>
    <w:rsid w:val="004722BD"/>
    <w:rPr>
      <w:rFonts w:eastAsia="Times New Roman"/>
      <w:b/>
      <w:bCs/>
      <w:sz w:val="24"/>
      <w:szCs w:val="24"/>
      <w:lang w:eastAsia="it-IT" w:bidi="he-IL"/>
    </w:rPr>
  </w:style>
  <w:style w:type="paragraph" w:styleId="Intestazione">
    <w:name w:val="header"/>
    <w:basedOn w:val="Normale"/>
    <w:link w:val="IntestazioneCarattere"/>
    <w:uiPriority w:val="99"/>
    <w:unhideWhenUsed/>
    <w:rsid w:val="00E668FD"/>
    <w:pPr>
      <w:tabs>
        <w:tab w:val="center" w:pos="4819"/>
        <w:tab w:val="right" w:pos="9638"/>
      </w:tabs>
    </w:pPr>
  </w:style>
  <w:style w:type="character" w:customStyle="1" w:styleId="IntestazioneCarattere">
    <w:name w:val="Intestazione Carattere"/>
    <w:basedOn w:val="Caratterepredefinitoparagrafo"/>
    <w:link w:val="Intestazione"/>
    <w:uiPriority w:val="99"/>
    <w:rsid w:val="00E668FD"/>
    <w:rPr>
      <w:rFonts w:ascii="Book Antiqua" w:hAnsi="Book Antiqua"/>
      <w:szCs w:val="24"/>
      <w:lang w:eastAsia="it-IT"/>
    </w:rPr>
  </w:style>
  <w:style w:type="paragraph" w:styleId="Pidipagina">
    <w:name w:val="footer"/>
    <w:basedOn w:val="Normale"/>
    <w:link w:val="PidipaginaCarattere"/>
    <w:uiPriority w:val="99"/>
    <w:unhideWhenUsed/>
    <w:rsid w:val="00E668FD"/>
    <w:pPr>
      <w:tabs>
        <w:tab w:val="center" w:pos="4819"/>
        <w:tab w:val="right" w:pos="9638"/>
      </w:tabs>
    </w:pPr>
  </w:style>
  <w:style w:type="character" w:customStyle="1" w:styleId="PidipaginaCarattere">
    <w:name w:val="Piè di pagina Carattere"/>
    <w:basedOn w:val="Caratterepredefinitoparagrafo"/>
    <w:link w:val="Pidipagina"/>
    <w:uiPriority w:val="99"/>
    <w:rsid w:val="00E668FD"/>
    <w:rPr>
      <w:rFonts w:ascii="Book Antiqua" w:hAnsi="Book Antiqua"/>
      <w:szCs w:val="24"/>
      <w:lang w:eastAsia="it-IT"/>
    </w:rPr>
  </w:style>
  <w:style w:type="table" w:styleId="Grigliatabella">
    <w:name w:val="Table Grid"/>
    <w:basedOn w:val="Tabellanormale"/>
    <w:uiPriority w:val="59"/>
    <w:rsid w:val="00C4578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fondochiaro">
    <w:name w:val="Light Shading"/>
    <w:basedOn w:val="Tabellanormale"/>
    <w:uiPriority w:val="60"/>
    <w:rsid w:val="00C45780"/>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aragrafoelenco">
    <w:name w:val="List Paragraph"/>
    <w:basedOn w:val="Normale"/>
    <w:uiPriority w:val="34"/>
    <w:qFormat/>
    <w:rsid w:val="006D4EB4"/>
    <w:pPr>
      <w:ind w:left="720"/>
      <w:contextualSpacing/>
    </w:pPr>
  </w:style>
  <w:style w:type="paragraph" w:styleId="NormaleWeb">
    <w:name w:val="Normal (Web)"/>
    <w:basedOn w:val="Normale"/>
    <w:uiPriority w:val="99"/>
    <w:semiHidden/>
    <w:unhideWhenUsed/>
    <w:rsid w:val="00F96246"/>
    <w:pPr>
      <w:spacing w:before="100" w:beforeAutospacing="1" w:after="100" w:afterAutospacing="1"/>
    </w:pPr>
    <w:rPr>
      <w:rFonts w:ascii="Times" w:hAnsi="Times"/>
      <w:szCs w:val="20"/>
    </w:rPr>
  </w:style>
  <w:style w:type="character" w:customStyle="1" w:styleId="apple-converted-space">
    <w:name w:val="apple-converted-space"/>
    <w:basedOn w:val="Caratterepredefinitoparagrafo"/>
    <w:rsid w:val="00BA12C8"/>
  </w:style>
  <w:style w:type="character" w:customStyle="1" w:styleId="Titolo3Carattere">
    <w:name w:val="Titolo 3 Carattere"/>
    <w:basedOn w:val="Caratterepredefinitoparagrafo"/>
    <w:link w:val="Titolo3"/>
    <w:uiPriority w:val="9"/>
    <w:rsid w:val="004A29D5"/>
    <w:rPr>
      <w:rFonts w:ascii="Times" w:hAnsi="Times"/>
      <w:b/>
      <w:bCs/>
      <w:sz w:val="27"/>
      <w:szCs w:val="27"/>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153271">
      <w:bodyDiv w:val="1"/>
      <w:marLeft w:val="0"/>
      <w:marRight w:val="0"/>
      <w:marTop w:val="0"/>
      <w:marBottom w:val="0"/>
      <w:divBdr>
        <w:top w:val="none" w:sz="0" w:space="0" w:color="auto"/>
        <w:left w:val="none" w:sz="0" w:space="0" w:color="auto"/>
        <w:bottom w:val="none" w:sz="0" w:space="0" w:color="auto"/>
        <w:right w:val="none" w:sz="0" w:space="0" w:color="auto"/>
      </w:divBdr>
    </w:div>
    <w:div w:id="109327378">
      <w:bodyDiv w:val="1"/>
      <w:marLeft w:val="0"/>
      <w:marRight w:val="0"/>
      <w:marTop w:val="0"/>
      <w:marBottom w:val="0"/>
      <w:divBdr>
        <w:top w:val="none" w:sz="0" w:space="0" w:color="auto"/>
        <w:left w:val="none" w:sz="0" w:space="0" w:color="auto"/>
        <w:bottom w:val="none" w:sz="0" w:space="0" w:color="auto"/>
        <w:right w:val="none" w:sz="0" w:space="0" w:color="auto"/>
      </w:divBdr>
    </w:div>
    <w:div w:id="232474123">
      <w:bodyDiv w:val="1"/>
      <w:marLeft w:val="0"/>
      <w:marRight w:val="0"/>
      <w:marTop w:val="0"/>
      <w:marBottom w:val="0"/>
      <w:divBdr>
        <w:top w:val="none" w:sz="0" w:space="0" w:color="auto"/>
        <w:left w:val="none" w:sz="0" w:space="0" w:color="auto"/>
        <w:bottom w:val="none" w:sz="0" w:space="0" w:color="auto"/>
        <w:right w:val="none" w:sz="0" w:space="0" w:color="auto"/>
      </w:divBdr>
    </w:div>
    <w:div w:id="240993707">
      <w:bodyDiv w:val="1"/>
      <w:marLeft w:val="0"/>
      <w:marRight w:val="0"/>
      <w:marTop w:val="0"/>
      <w:marBottom w:val="0"/>
      <w:divBdr>
        <w:top w:val="none" w:sz="0" w:space="0" w:color="auto"/>
        <w:left w:val="none" w:sz="0" w:space="0" w:color="auto"/>
        <w:bottom w:val="none" w:sz="0" w:space="0" w:color="auto"/>
        <w:right w:val="none" w:sz="0" w:space="0" w:color="auto"/>
      </w:divBdr>
    </w:div>
    <w:div w:id="323358925">
      <w:bodyDiv w:val="1"/>
      <w:marLeft w:val="0"/>
      <w:marRight w:val="0"/>
      <w:marTop w:val="0"/>
      <w:marBottom w:val="0"/>
      <w:divBdr>
        <w:top w:val="none" w:sz="0" w:space="0" w:color="auto"/>
        <w:left w:val="none" w:sz="0" w:space="0" w:color="auto"/>
        <w:bottom w:val="none" w:sz="0" w:space="0" w:color="auto"/>
        <w:right w:val="none" w:sz="0" w:space="0" w:color="auto"/>
      </w:divBdr>
    </w:div>
    <w:div w:id="703674882">
      <w:bodyDiv w:val="1"/>
      <w:marLeft w:val="0"/>
      <w:marRight w:val="0"/>
      <w:marTop w:val="0"/>
      <w:marBottom w:val="0"/>
      <w:divBdr>
        <w:top w:val="none" w:sz="0" w:space="0" w:color="auto"/>
        <w:left w:val="none" w:sz="0" w:space="0" w:color="auto"/>
        <w:bottom w:val="none" w:sz="0" w:space="0" w:color="auto"/>
        <w:right w:val="none" w:sz="0" w:space="0" w:color="auto"/>
      </w:divBdr>
    </w:div>
    <w:div w:id="704985148">
      <w:bodyDiv w:val="1"/>
      <w:marLeft w:val="0"/>
      <w:marRight w:val="0"/>
      <w:marTop w:val="0"/>
      <w:marBottom w:val="0"/>
      <w:divBdr>
        <w:top w:val="none" w:sz="0" w:space="0" w:color="auto"/>
        <w:left w:val="none" w:sz="0" w:space="0" w:color="auto"/>
        <w:bottom w:val="none" w:sz="0" w:space="0" w:color="auto"/>
        <w:right w:val="none" w:sz="0" w:space="0" w:color="auto"/>
      </w:divBdr>
    </w:div>
    <w:div w:id="710306270">
      <w:bodyDiv w:val="1"/>
      <w:marLeft w:val="0"/>
      <w:marRight w:val="0"/>
      <w:marTop w:val="0"/>
      <w:marBottom w:val="0"/>
      <w:divBdr>
        <w:top w:val="none" w:sz="0" w:space="0" w:color="auto"/>
        <w:left w:val="none" w:sz="0" w:space="0" w:color="auto"/>
        <w:bottom w:val="none" w:sz="0" w:space="0" w:color="auto"/>
        <w:right w:val="none" w:sz="0" w:space="0" w:color="auto"/>
      </w:divBdr>
    </w:div>
    <w:div w:id="737821176">
      <w:bodyDiv w:val="1"/>
      <w:marLeft w:val="0"/>
      <w:marRight w:val="0"/>
      <w:marTop w:val="0"/>
      <w:marBottom w:val="0"/>
      <w:divBdr>
        <w:top w:val="none" w:sz="0" w:space="0" w:color="auto"/>
        <w:left w:val="none" w:sz="0" w:space="0" w:color="auto"/>
        <w:bottom w:val="none" w:sz="0" w:space="0" w:color="auto"/>
        <w:right w:val="none" w:sz="0" w:space="0" w:color="auto"/>
      </w:divBdr>
    </w:div>
    <w:div w:id="749039588">
      <w:bodyDiv w:val="1"/>
      <w:marLeft w:val="0"/>
      <w:marRight w:val="0"/>
      <w:marTop w:val="0"/>
      <w:marBottom w:val="0"/>
      <w:divBdr>
        <w:top w:val="none" w:sz="0" w:space="0" w:color="auto"/>
        <w:left w:val="none" w:sz="0" w:space="0" w:color="auto"/>
        <w:bottom w:val="none" w:sz="0" w:space="0" w:color="auto"/>
        <w:right w:val="none" w:sz="0" w:space="0" w:color="auto"/>
      </w:divBdr>
    </w:div>
    <w:div w:id="874728876">
      <w:bodyDiv w:val="1"/>
      <w:marLeft w:val="0"/>
      <w:marRight w:val="0"/>
      <w:marTop w:val="0"/>
      <w:marBottom w:val="0"/>
      <w:divBdr>
        <w:top w:val="none" w:sz="0" w:space="0" w:color="auto"/>
        <w:left w:val="none" w:sz="0" w:space="0" w:color="auto"/>
        <w:bottom w:val="none" w:sz="0" w:space="0" w:color="auto"/>
        <w:right w:val="none" w:sz="0" w:space="0" w:color="auto"/>
      </w:divBdr>
    </w:div>
    <w:div w:id="913513815">
      <w:bodyDiv w:val="1"/>
      <w:marLeft w:val="0"/>
      <w:marRight w:val="0"/>
      <w:marTop w:val="0"/>
      <w:marBottom w:val="0"/>
      <w:divBdr>
        <w:top w:val="none" w:sz="0" w:space="0" w:color="auto"/>
        <w:left w:val="none" w:sz="0" w:space="0" w:color="auto"/>
        <w:bottom w:val="none" w:sz="0" w:space="0" w:color="auto"/>
        <w:right w:val="none" w:sz="0" w:space="0" w:color="auto"/>
      </w:divBdr>
    </w:div>
    <w:div w:id="966856546">
      <w:bodyDiv w:val="1"/>
      <w:marLeft w:val="0"/>
      <w:marRight w:val="0"/>
      <w:marTop w:val="0"/>
      <w:marBottom w:val="0"/>
      <w:divBdr>
        <w:top w:val="none" w:sz="0" w:space="0" w:color="auto"/>
        <w:left w:val="none" w:sz="0" w:space="0" w:color="auto"/>
        <w:bottom w:val="none" w:sz="0" w:space="0" w:color="auto"/>
        <w:right w:val="none" w:sz="0" w:space="0" w:color="auto"/>
      </w:divBdr>
    </w:div>
    <w:div w:id="981664067">
      <w:bodyDiv w:val="1"/>
      <w:marLeft w:val="0"/>
      <w:marRight w:val="0"/>
      <w:marTop w:val="0"/>
      <w:marBottom w:val="0"/>
      <w:divBdr>
        <w:top w:val="none" w:sz="0" w:space="0" w:color="auto"/>
        <w:left w:val="none" w:sz="0" w:space="0" w:color="auto"/>
        <w:bottom w:val="none" w:sz="0" w:space="0" w:color="auto"/>
        <w:right w:val="none" w:sz="0" w:space="0" w:color="auto"/>
      </w:divBdr>
    </w:div>
    <w:div w:id="1211192609">
      <w:bodyDiv w:val="1"/>
      <w:marLeft w:val="0"/>
      <w:marRight w:val="0"/>
      <w:marTop w:val="0"/>
      <w:marBottom w:val="0"/>
      <w:divBdr>
        <w:top w:val="none" w:sz="0" w:space="0" w:color="auto"/>
        <w:left w:val="none" w:sz="0" w:space="0" w:color="auto"/>
        <w:bottom w:val="none" w:sz="0" w:space="0" w:color="auto"/>
        <w:right w:val="none" w:sz="0" w:space="0" w:color="auto"/>
      </w:divBdr>
    </w:div>
    <w:div w:id="1224175876">
      <w:bodyDiv w:val="1"/>
      <w:marLeft w:val="0"/>
      <w:marRight w:val="0"/>
      <w:marTop w:val="0"/>
      <w:marBottom w:val="0"/>
      <w:divBdr>
        <w:top w:val="none" w:sz="0" w:space="0" w:color="auto"/>
        <w:left w:val="none" w:sz="0" w:space="0" w:color="auto"/>
        <w:bottom w:val="none" w:sz="0" w:space="0" w:color="auto"/>
        <w:right w:val="none" w:sz="0" w:space="0" w:color="auto"/>
      </w:divBdr>
    </w:div>
    <w:div w:id="1297026210">
      <w:bodyDiv w:val="1"/>
      <w:marLeft w:val="0"/>
      <w:marRight w:val="0"/>
      <w:marTop w:val="0"/>
      <w:marBottom w:val="0"/>
      <w:divBdr>
        <w:top w:val="none" w:sz="0" w:space="0" w:color="auto"/>
        <w:left w:val="none" w:sz="0" w:space="0" w:color="auto"/>
        <w:bottom w:val="none" w:sz="0" w:space="0" w:color="auto"/>
        <w:right w:val="none" w:sz="0" w:space="0" w:color="auto"/>
      </w:divBdr>
    </w:div>
    <w:div w:id="1415930016">
      <w:bodyDiv w:val="1"/>
      <w:marLeft w:val="0"/>
      <w:marRight w:val="0"/>
      <w:marTop w:val="0"/>
      <w:marBottom w:val="0"/>
      <w:divBdr>
        <w:top w:val="none" w:sz="0" w:space="0" w:color="auto"/>
        <w:left w:val="none" w:sz="0" w:space="0" w:color="auto"/>
        <w:bottom w:val="none" w:sz="0" w:space="0" w:color="auto"/>
        <w:right w:val="none" w:sz="0" w:space="0" w:color="auto"/>
      </w:divBdr>
    </w:div>
    <w:div w:id="1707749409">
      <w:bodyDiv w:val="1"/>
      <w:marLeft w:val="0"/>
      <w:marRight w:val="0"/>
      <w:marTop w:val="0"/>
      <w:marBottom w:val="0"/>
      <w:divBdr>
        <w:top w:val="none" w:sz="0" w:space="0" w:color="auto"/>
        <w:left w:val="none" w:sz="0" w:space="0" w:color="auto"/>
        <w:bottom w:val="none" w:sz="0" w:space="0" w:color="auto"/>
        <w:right w:val="none" w:sz="0" w:space="0" w:color="auto"/>
      </w:divBdr>
    </w:div>
    <w:div w:id="1789934249">
      <w:bodyDiv w:val="1"/>
      <w:marLeft w:val="0"/>
      <w:marRight w:val="0"/>
      <w:marTop w:val="0"/>
      <w:marBottom w:val="0"/>
      <w:divBdr>
        <w:top w:val="none" w:sz="0" w:space="0" w:color="auto"/>
        <w:left w:val="none" w:sz="0" w:space="0" w:color="auto"/>
        <w:bottom w:val="none" w:sz="0" w:space="0" w:color="auto"/>
        <w:right w:val="none" w:sz="0" w:space="0" w:color="auto"/>
      </w:divBdr>
    </w:div>
    <w:div w:id="1865290845">
      <w:bodyDiv w:val="1"/>
      <w:marLeft w:val="0"/>
      <w:marRight w:val="0"/>
      <w:marTop w:val="0"/>
      <w:marBottom w:val="0"/>
      <w:divBdr>
        <w:top w:val="none" w:sz="0" w:space="0" w:color="auto"/>
        <w:left w:val="none" w:sz="0" w:space="0" w:color="auto"/>
        <w:bottom w:val="none" w:sz="0" w:space="0" w:color="auto"/>
        <w:right w:val="none" w:sz="0" w:space="0" w:color="auto"/>
      </w:divBdr>
    </w:div>
    <w:div w:id="196387851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1030</TotalTime>
  <Pages>10</Pages>
  <Words>4134</Words>
  <Characters>23281</Characters>
  <Application>Microsoft Macintosh Word</Application>
  <DocSecurity>0</DocSecurity>
  <Lines>352</Lines>
  <Paragraphs>62</Paragraphs>
  <ScaleCrop>false</ScaleCrop>
  <Company/>
  <LinksUpToDate>false</LinksUpToDate>
  <CharactersWithSpaces>27353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matteo</dc:creator>
  <cp:keywords/>
  <dc:description/>
  <cp:lastModifiedBy>matteo</cp:lastModifiedBy>
  <cp:revision>129</cp:revision>
  <cp:lastPrinted>2016-04-11T12:55:00Z</cp:lastPrinted>
  <dcterms:created xsi:type="dcterms:W3CDTF">2016-02-28T19:34:00Z</dcterms:created>
  <dcterms:modified xsi:type="dcterms:W3CDTF">2016-04-21T05:52:00Z</dcterms:modified>
</cp:coreProperties>
</file>