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styles.xml" ContentType="application/vnd.openxmlformats-officedocument.wordprocessingml.styles+xml"/>
  <Override PartName="/word/footnotes.xml" ContentType="application/vnd.openxmlformats-officedocument.wordprocessingml.footnotes+xml"/>
  <Override PartName="/word/document.xml" ContentType="application/vnd.openxmlformats-officedocument.wordprocessingml.document.main+xml"/>
  <Override PartName="/word/numbering.xml" ContentType="application/vnd.openxmlformats-officedocument.wordprocessingml.numbering+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i w:val="false"/>
          <w:i w:val="false"/>
          <w:iCs w:val="false"/>
        </w:rPr>
      </w:pPr>
      <w:bookmarkStart w:id="0" w:name="__DdeLink__1404_1939307745"/>
      <w:r>
        <w:rPr>
          <w:i w:val="false"/>
          <w:iCs w:val="false"/>
        </w:rPr>
        <w:t xml:space="preserve">Apparirà in M. Vedovelli (a cura di) </w:t>
      </w:r>
      <w:r>
        <w:rPr>
          <w:b w:val="false"/>
          <w:bCs w:val="false"/>
          <w:i/>
          <w:iCs/>
          <w:color w:val="000000"/>
        </w:rPr>
        <w:t>L’italiano dei nuovi italiani. Atti del XIX Convegno Nazionale GISCEL</w:t>
      </w:r>
      <w:bookmarkEnd w:id="0"/>
      <w:r>
        <w:rPr>
          <w:b w:val="false"/>
          <w:bCs w:val="false"/>
          <w:i w:val="false"/>
          <w:iCs w:val="false"/>
          <w:color w:val="000000"/>
        </w:rPr>
        <w:t>. Roma: Aracne.</w:t>
      </w:r>
    </w:p>
    <w:p>
      <w:pPr>
        <w:pStyle w:val="Normal"/>
        <w:jc w:val="center"/>
        <w:rPr>
          <w:i/>
          <w:i/>
        </w:rPr>
      </w:pPr>
      <w:r>
        <w:rPr/>
      </w:r>
    </w:p>
    <w:p>
      <w:pPr>
        <w:pStyle w:val="Normal"/>
        <w:jc w:val="center"/>
        <w:rPr>
          <w:i/>
          <w:i/>
        </w:rPr>
      </w:pPr>
      <w:r>
        <w:rPr/>
      </w:r>
    </w:p>
    <w:p>
      <w:pPr>
        <w:pStyle w:val="Normal"/>
        <w:jc w:val="center"/>
        <w:rPr>
          <w:i/>
          <w:i/>
        </w:rPr>
      </w:pPr>
      <w:r>
        <w:rPr>
          <w:i/>
        </w:rPr>
        <w:t>Più competenze, meno disuguaglianze: risultati di una sperimentazione</w:t>
      </w:r>
    </w:p>
    <w:p>
      <w:pPr>
        <w:pStyle w:val="Normal"/>
        <w:jc w:val="center"/>
        <w:rPr>
          <w:i/>
          <w:i/>
        </w:rPr>
      </w:pPr>
      <w:r>
        <w:rPr>
          <w:i/>
        </w:rPr>
        <w:t>di educazione linguistica inclusiva nella scuola secondaria di primo grado</w:t>
      </w:r>
    </w:p>
    <w:p>
      <w:pPr>
        <w:pStyle w:val="Normal"/>
        <w:jc w:val="center"/>
        <w:rPr/>
      </w:pPr>
      <w:r>
        <w:rPr/>
        <w:t>Gabriele Pallotti – Fabiana Rosi</w:t>
      </w:r>
    </w:p>
    <w:p>
      <w:pPr>
        <w:pStyle w:val="Normal"/>
        <w:jc w:val="center"/>
        <w:rPr/>
      </w:pPr>
      <w:r>
        <w:rPr/>
        <w:t>Università di Modena e Reggio Emilia – Università di Salerno</w:t>
      </w:r>
      <w:r>
        <w:rPr>
          <w:rStyle w:val="Richiamoallanotaapidipagina"/>
        </w:rPr>
        <w:footnoteReference w:id="2"/>
      </w:r>
    </w:p>
    <w:p>
      <w:pPr>
        <w:pStyle w:val="Normal"/>
        <w:rPr/>
      </w:pPr>
      <w:r>
        <w:rPr/>
      </w:r>
    </w:p>
    <w:p>
      <w:pPr>
        <w:pStyle w:val="Normal"/>
        <w:rPr/>
      </w:pPr>
      <w:r>
        <w:rPr/>
      </w:r>
    </w:p>
    <w:p>
      <w:pPr>
        <w:pStyle w:val="ListParagraph"/>
        <w:numPr>
          <w:ilvl w:val="0"/>
          <w:numId w:val="1"/>
        </w:numPr>
        <w:rPr/>
      </w:pPr>
      <w:r>
        <w:rPr/>
        <w:t xml:space="preserve">Esclusioni, svantaggi e disuguaglianze </w:t>
      </w:r>
    </w:p>
    <w:p>
      <w:pPr>
        <w:pStyle w:val="ListParagraph"/>
        <w:rPr/>
      </w:pPr>
      <w:r>
        <w:rPr/>
      </w:r>
    </w:p>
    <w:p>
      <w:pPr>
        <w:pStyle w:val="Normal"/>
        <w:rPr/>
      </w:pPr>
      <w:r>
        <w:rPr/>
        <w:t>Numerose indagini (tra le più recenti, si veda lo studio OCSE-PIAAC, Isfol 2014) hanno dimostrato che le competenze di lettura e scrittura di adolescenti e adulti dello stesso Paese variano ampiamente. Ma anche competenze orali che a prima vista parrebbero più basilari, come raccontare storie per immagini, descrivere illustrazioni, ricordare liste di parole, e giudicare la grammaticalità di alcune frasi, risultano essere sistematicamente influenzate dal livello di istruzione nei parlanti nativi di una lingua (per una rassegna, cfr. Hulstijn 2015).</w:t>
      </w:r>
    </w:p>
    <w:p>
      <w:pPr>
        <w:pStyle w:val="Normal"/>
        <w:rPr/>
      </w:pPr>
      <w:r>
        <w:rPr/>
        <w:t xml:space="preserve">Una scuola democratica ha il compito di garantire a tutti la piena conoscenza della varietà standard e dei suoi usi più complessi, sia nell’orale che nello scritto. Tuttavia, per quanto riguarda il raggiungimento di tali obiettivi, non si può dire che gli alunni siano tutti uguali, almeno in partenza, ed è dunque legittimo parlare di svantaggio per chi intraprende il percorso educativo con una maggiore distanza da percorrere. Seguendo la classificazione proposta da De Mauro (1996), gli svantaggi possono riguardare il linguaggio come facoltà cognitiva («distanze di linguaggio»: deficit psico-fisici che compromettono le funzioni linguistiche, di cui non ci occuperemo in questa sede), oppure distanze tra la lingua materna e la lingua da apprendere («distanze di lingua-sistema», ad esempio per chi deve apprendere l’italiano partendo da un’altra lingua), o tra certe norme e usi in vigore nella comunità di origine e quelli richiesti dalla scuola e da certi ambiti della società («distanze di lingua-norma» e di  «lingua-uso», ad esempio tra diverse varietà di italiano o tra certi modi di usarlo, come i codici ristretto ed elaborato di cui parla  Bernstein 1971). </w:t>
      </w:r>
    </w:p>
    <w:p>
      <w:pPr>
        <w:pStyle w:val="Normal"/>
        <w:rPr/>
      </w:pPr>
      <w:r>
        <w:rPr/>
        <w:t xml:space="preserve">Questi svantaggi, che si presentano già fin dal primo giorno di scuola, invece di ridursi col tempo, spesso vengono moltiplicati. Non è una novità, purtroppo: già la </w:t>
      </w:r>
      <w:r>
        <w:rPr>
          <w:i/>
          <w:iCs/>
        </w:rPr>
        <w:t>Lettera a una professoressa</w:t>
      </w:r>
      <w:r>
        <w:rPr/>
        <w:t xml:space="preserve"> (Scuola di Barbiana, 1967) denunciava una scuola che, invece che colmare le distanze tra gli alunni, le accentuava. L’indagine IEA-SAL del 1992 mostrava che un quinto degli alunni di terza media aveva competenze di lettura pari a quelle degli alunni di quarta elementare (Ferreri e Lucisano 1996); per quanto riguarda la scrittura, l’indagine IEA-IPS dello stesso periodo rivelava che il 24% degli alunni di scuola elementare non raggiungeva un livello soddisfacente, una percentuale che saliva al 33% e 32% alle scuole medie e superiori (Benvenuto 1995). </w:t>
      </w:r>
    </w:p>
    <w:p>
      <w:pPr>
        <w:pStyle w:val="Normal"/>
        <w:rPr/>
      </w:pPr>
      <w:r>
        <w:rPr/>
        <w:t>Il problema degli svantaggi linguistici e delle distanze da colmare non è dunque una conseguenza dei flussi migratori dall’estero, ma è sempre stato presente nella scuola italiana. Le indagini più recenti sulle competenze degli alunni con retroterra migratorio aggiornano ma sostanzialmente confermano questo quadro di disuguaglianze. I dati delle prove Invalsi mostrano ad esempio che gli alunni arrivati in Italia dopo la nascita ottengono sistematicamente punteggi inferiori rispetto ai nativi italiani; i figli di immigrati nati in Italia, cioè la seconda generazione, vanno un po’ meglio, ma risultano comunque in condizione di svantaggio in tutti gli ordini di scuola. Un buon livello socio-economico e culturale dei genitori contribuisce ad attenuare le differenze, ma non ad annullarle: a parità di livello di istruzione dei genitori, ad esempio, gli alunni figli di immigrati conseguono risultati mediamente più bassi dei loro compagni figli di italiani (Barabanti 2015). Anche le indagini condotte in altri Paesi confermano sostanzialmente questo quadro: i figli di immigrati conseguono risultati scolastici mediamente inferiori rispetto ai nativi, anche a parità di livello socio-culturale dei genitori (Colombo 2014).</w:t>
      </w:r>
    </w:p>
    <w:p>
      <w:pPr>
        <w:pStyle w:val="Normal"/>
        <w:rPr/>
      </w:pPr>
      <w:r>
        <w:rPr/>
        <w:t xml:space="preserve">Cosa può fare la scuola per affrontare il problema degli svantaggi? Semplificando un po’ le cose, ci sono due modi principali di affrontare gli svantaggi, che Caon (2008: 67-69) chiama «differenziazione» e «stratificazione». Il primo consiste nell’identificare gli alunni svantaggiati e predisporre per loro interventi specifici, magari all’interno di attività che condividono temi e contenuti con il resto della classe. Questa strategia viene proposta ripetutamente nel libro di Caon, dove si trovano tabelle con varie attività didattiche declinate per «la classe», per gli alunni «eccellenti» e per quelli «in difficoltà», rispettivamente più o meno impegnative rispetto al livello medio. La «stratificazione» prevede invece attività che gli alunni possano svolgere tutti insieme, ciascuno secondo le sue capacità e i suoi stili, ma senza prevedere una separazione in base ai livelli. Con questo secondo approccio, la didattica è realmente inclusiva, in quanto tutti hanno la possibilità di lavorare insieme, realizzando ciascuno compiti che si trovano nella propria «zona di sviluppo prossimale» (Vygotsky 1984 [1934]). Una caratteristica essenziale di questa modalità operativa è il lavoro all’interno di gruppi di livello misto, in cui gli alunni più deboli sono a contatto ravvicinato con i loro compagni, esposti naturalmente a un input ricco di stimoli. </w:t>
      </w:r>
    </w:p>
    <w:p>
      <w:pPr>
        <w:pStyle w:val="Normal"/>
        <w:rPr/>
      </w:pPr>
      <w:r>
        <w:rPr/>
        <w:t xml:space="preserve">A nostro avviso, la «differenziazione» dei compiti dovrebbe riguardare solo gli individui con forti difficoltà e svantaggi (ad esempio i parlanti non nativi neo-arrivati), ed essere limitata a certi periodi, mentre nella maggior parte dei casi sono da preferire attività inclusive. Queste sono anche le conclusioni di una rassegna sugli studi condotti in numerosi Paesi per quanto riguarda l’integrazione di alunni non autoctoni: «si può affermare, in generale, che tutto ciò che facilita il contatto e lo scambio fra pari di diversa estrazione sociale e provenienza etnica ha effetti positivi </w:t>
      </w:r>
      <w:r>
        <w:rPr>
          <w:i/>
          <w:iCs/>
        </w:rPr>
        <w:t>se vengono soddisfatte</w:t>
      </w:r>
      <w:r>
        <w:rPr/>
        <w:t xml:space="preserve"> determinate condizioni: equilibrio di “status” tra i sottogruppi, coinvolgimento dei singoli in azioni collettive promosse dalla scuola, miglioramento della quantità e qualità dei supporti attraverso regolamenti condivisi e personale sensibile» (Colombo 2014: 49). </w:t>
      </w:r>
    </w:p>
    <w:p>
      <w:pPr>
        <w:pStyle w:val="Normal"/>
        <w:rPr/>
      </w:pPr>
      <w:r>
        <w:rPr/>
        <w:t xml:space="preserve">L’idea di fondo è dunque che per colmare gli svantaggi non servono interventi speciali e differenziati, ma un’educazione linguistica di buona qualità per tutti. Una dimostrazione dell’efficacia di questo approccio è data dalla sperimentazione condotta dal Giscel in Puglia e Sicilia, in scuole elementari e medie che avevano registrato dati particolarmente allarmanti per quanto riguarda le competenze di lettura (Ferreri 2002). Per alcuni mesi, le classi sperimentali nella loro interezza hanno svolto percorsi che potremmo definire di buona educazione linguistica: lavoro in gruppi ed attività mirate per sviluppare le diverse sotto-competenze, basate sul principio dell’ ‘imparare facendo’, cioè con un approccio alla lettura attivo, intelligente, di problem-solving. Al termine dei percorsi, le classi sperimentali, che prima dell’intervento avevano livelli comparabili a quelle di controllo, hanno ottenuto punteggi significativamente superiori, che si accompagnavano a una riduzione della varianza tra alunni. Ciò significa che un’educazione linguistica efficace produce buoni risultati per tutti, e che le differenze si riducono non costruendo gruppi differenziati, ma facendo lavorare tutti gli alunni insieme e in modo intelligente. </w:t>
      </w:r>
    </w:p>
    <w:p>
      <w:pPr>
        <w:pStyle w:val="Normal"/>
        <w:rPr/>
      </w:pPr>
      <w:r>
        <w:rPr/>
        <w:t>In questo capitolo presenteremo i risultati di una piccola ricerca condotta sulle classi terze di scuola secondaria di primo grado di un istituto comprensivo dell’Emilia-Romagna, che forniscono ulteriori evidenze sull’efficacia di un approccio inclusivo all’educazione linguistica anche in contesti con significative presenze di alunni non autoctoni, o “nuovi italiani”. Il presente lavoro è da vedersi come strettamente complementare con quello presentato da Pallotti in questo volume, in cui si discuteranno i dati di una sperimentazione condotta su più larga scala e con una raccolta dei dati più mirata. Per evitare ripetizioni, in questo capitolo si presenterà la metodologia di lavoro seguita in entrambe le esperienze, con i suoi fondamenti teorici, e si vedranno i risultati conseguiti nell’ambito della scuola secondaria di primo grado; nel capitolo a cura di Pallotti, si analizzeranno i risultati della scuola primaria e si offriranno alcune considerazioni di carattere metodologico.</w:t>
      </w:r>
    </w:p>
    <w:p>
      <w:pPr>
        <w:pStyle w:val="Normal"/>
        <w:rPr/>
      </w:pPr>
      <w:r>
        <w:rPr/>
      </w:r>
    </w:p>
    <w:p>
      <w:pPr>
        <w:pStyle w:val="Normal"/>
        <w:rPr/>
      </w:pPr>
      <w:r>
        <w:rPr/>
      </w:r>
    </w:p>
    <w:p>
      <w:pPr>
        <w:pStyle w:val="ListParagraph"/>
        <w:numPr>
          <w:ilvl w:val="0"/>
          <w:numId w:val="1"/>
        </w:numPr>
        <w:rPr/>
      </w:pPr>
      <w:r>
        <w:rPr/>
        <w:t>Una proposta per ridurre il divario</w:t>
      </w:r>
    </w:p>
    <w:p>
      <w:pPr>
        <w:pStyle w:val="ListParagraph"/>
        <w:rPr/>
      </w:pPr>
      <w:r>
        <w:rPr/>
      </w:r>
    </w:p>
    <w:p>
      <w:pPr>
        <w:pStyle w:val="ListParagraph"/>
        <w:numPr>
          <w:ilvl w:val="1"/>
          <w:numId w:val="1"/>
        </w:numPr>
        <w:rPr/>
      </w:pPr>
      <w:r>
        <w:rPr/>
        <w:t xml:space="preserve"> </w:t>
      </w:r>
      <w:r>
        <w:rPr/>
        <w:t>L’approccio processuale alla scrittura</w:t>
      </w:r>
    </w:p>
    <w:p>
      <w:pPr>
        <w:pStyle w:val="Normal"/>
        <w:rPr/>
      </w:pPr>
      <w:r>
        <w:rPr/>
      </w:r>
    </w:p>
    <w:p>
      <w:pPr>
        <w:pStyle w:val="Normal"/>
        <w:rPr/>
      </w:pPr>
      <w:r>
        <w:rPr>
          <w:bCs/>
        </w:rPr>
        <w:t>Le esperienze educative su cui si fondano il presente studio e quello riportato nel capitolo seguente riguardano essenzialmente la didattica della scrittura: presentiamo qui alcuni orientamenti teorici di fondo che motivano le scelte operative messe in atto.</w:t>
      </w:r>
    </w:p>
    <w:p>
      <w:pPr>
        <w:pStyle w:val="Normal"/>
        <w:rPr/>
      </w:pPr>
      <w:r>
        <w:rPr>
          <w:bCs/>
        </w:rPr>
        <w:t>La scrittura è un’attività complessa che richiede di padroneggiare le regole grammaticali e il repertorio lessicale della lingua che si usa, ma anche di conoscere le tecniche più efficaci per eseguire le diverse micro-procedure che la compongono (</w:t>
      </w:r>
      <w:r>
        <w:rPr/>
        <w:t>Flower</w:t>
      </w:r>
      <w:r>
        <w:rPr>
          <w:bCs/>
        </w:rPr>
        <w:t xml:space="preserve"> e </w:t>
      </w:r>
      <w:r>
        <w:rPr/>
        <w:t xml:space="preserve">Hayes </w:t>
      </w:r>
      <w:r>
        <w:rPr>
          <w:bCs/>
        </w:rPr>
        <w:t xml:space="preserve">1980, Weigle 2002). Seguendo la prospettiva cognitivista (Deane et al. 2008), la scrittura è infatti prima di tutto un processo che, tramite una serie di sotto-processi cognitivi, permette l’espressione e la trasmissione delle idee attraverso la produzione di un testo. </w:t>
      </w:r>
    </w:p>
    <w:p>
      <w:pPr>
        <w:pStyle w:val="Normal"/>
        <w:rPr/>
      </w:pPr>
      <w:r>
        <w:rPr>
          <w:bCs/>
        </w:rPr>
        <w:t xml:space="preserve">Il sotto-processo iniziale è quello della pianificazione, in cui viene delineato il progetto del messaggio che si intende produrre, mediante diverse operazioni cognitive: raccolta dei contenuti che si reputano pertinenti con l’argomento; selezione fra gli elementi raccolti, in base agli obiettivi della comunicazione, al destinatario e alla tipologia testuale; organizzazione dei contenuti. Quest’ultima operazione è a sua volta composta da più fasi: la gerarchizzazione in unità informative principali e secondarie, a seconda della loro rilevanza ai fini della comprensibilità del testo e della possibilità di eliminarle o meno senza ostacolare l’efficacia comunicativa del messaggio; il raggruppamento delle unità di differente rango informativo, collegando più unità secondarie ad una stessa unità principale di cui queste forniscono dettagli e approfondimenti; la scelta dell’ordine di presentazione delle unità informative. </w:t>
      </w:r>
    </w:p>
    <w:p>
      <w:pPr>
        <w:pStyle w:val="Normal"/>
        <w:rPr/>
      </w:pPr>
      <w:r>
        <w:rPr>
          <w:bCs/>
        </w:rPr>
        <w:t xml:space="preserve">Sulla base di tale pianificazione, il testo viene steso dallo scrivente, che mette in atto il progetto preparato in precedenza, associando alle idee parole e frasi, grazie alla conoscenza della grammatica e del lessico della lingua, che interviene in misura maggiore in questo secondo sotto-processo, in cui si realizza il passaggio dal piano concettuale al tessuto linguistico del messaggio. A questo punto l’autore deve operare scelte linguistiche e testuali per rendere chiara la sua comunicazione, ed è facilitato se può contare su un progetto pronto e già delineato. </w:t>
      </w:r>
      <w:r>
        <w:rPr/>
        <w:t xml:space="preserve">Numerose ricerche mettono in luce come gli alunni, anche quelli con difficoltà, producono testi di miglior qualità se operano una fase iniziale di pianificazione (De La Paz e Graham 1997, Quinlan 2004). </w:t>
      </w:r>
      <w:r>
        <w:rPr>
          <w:bCs/>
        </w:rPr>
        <w:t xml:space="preserve">La ripartizione in momenti diversi dei complessi compiti della costruzione concettuale e di quella linguistica porta a una riduzione del carico di attenzione e di memoria a breve termine (Deane et al. 2008) e a un alleggerimento complessivo del peso cognitivo del processo di scrittura. </w:t>
      </w:r>
    </w:p>
    <w:p>
      <w:pPr>
        <w:pStyle w:val="Normal"/>
        <w:rPr/>
      </w:pPr>
      <w:r>
        <w:rPr>
          <w:bCs/>
        </w:rPr>
        <w:t xml:space="preserve">Dopo la pianificazione e la stesura, si apre il sotto-processo della revisione, in cui il testo viene riletto per controllarne la comprensibilità e monitorare il rispetto dei meccanismi di coerenza, l’organizzazione dei contenuti chiara e logicamente ben strutturata, e di coesione, l’insieme degli elementi linguistici che riflettono la coerenza concettuale, come il collegamento fra le forme verbali e fra i riferimenti alle entità all’interno delle catene anaforiche (Andorno 2003, Ferrari 2009).  Come sottolinea </w:t>
      </w:r>
      <w:r>
        <w:rPr/>
        <w:t>Hayes (2004), nella revisione la lettura e la comprensione sono operazioni cognitive cruciali per individuare le potenziali difficoltà del testo, permettendo all’autore di assumere la prospettiva del lettore.</w:t>
      </w:r>
    </w:p>
    <w:p>
      <w:pPr>
        <w:pStyle w:val="Normal"/>
        <w:rPr>
          <w:bCs/>
        </w:rPr>
      </w:pPr>
      <w:r>
        <w:rPr>
          <w:bCs/>
        </w:rPr>
        <w:t xml:space="preserve">Come è evidente, i tre sotto-processi che compongono l’attività di scrittura sono propedeutici l’uno all’altro ed intrinsecamente interdipendenti, costituendo un processo unico, complesso e multidimensionale. Fin troppo spesso, invece, gli studenti, di ogni ordine e grado di scuola, ragionano seconda una visione statica della scrittura, puntando unicamente al prodotto finale e saltando sia la pianificazione sia la revisione, con la conseguenza di incontrare molta più fatica nella stesura del testo, che non può contare su un progetto già definito, e di scrivere testi poco coerenti e coesi, non avvalendosi della possibilità di rileggere e correggere, nonostante questo sia uno dei vantaggi della produzione scritta rispetto a quella orale. I percorsi didattici condotti nella classe qui analizzata mirano a modificare questo approccio alla scrittura degli alunni e a portarli a prestare attenzione ai diversi sotto-processi e alle fasi che li compongono, in un’ottica attiva, induttiva e dinamica. </w:t>
      </w:r>
    </w:p>
    <w:p>
      <w:pPr>
        <w:pStyle w:val="Normal"/>
        <w:rPr>
          <w:bCs/>
        </w:rPr>
      </w:pPr>
      <w:r>
        <w:rPr>
          <w:bCs/>
        </w:rPr>
      </w:r>
    </w:p>
    <w:p>
      <w:pPr>
        <w:pStyle w:val="ListParagraph"/>
        <w:rPr/>
      </w:pPr>
      <w:r>
        <w:rPr/>
      </w:r>
    </w:p>
    <w:p>
      <w:pPr>
        <w:pStyle w:val="ListParagraph"/>
        <w:numPr>
          <w:ilvl w:val="1"/>
          <w:numId w:val="1"/>
        </w:numPr>
        <w:rPr/>
      </w:pPr>
      <w:r>
        <w:rPr/>
        <w:t xml:space="preserve"> </w:t>
      </w:r>
      <w:r>
        <w:rPr/>
        <w:t>I percorsi didattici</w:t>
      </w:r>
    </w:p>
    <w:p>
      <w:pPr>
        <w:pStyle w:val="Normal"/>
        <w:rPr>
          <w:bCs/>
        </w:rPr>
      </w:pPr>
      <w:r>
        <w:rPr>
          <w:bCs/>
        </w:rPr>
      </w:r>
    </w:p>
    <w:p>
      <w:pPr>
        <w:pStyle w:val="Normal"/>
        <w:rPr/>
      </w:pPr>
      <w:r>
        <w:rPr>
          <w:bCs/>
        </w:rPr>
        <w:t xml:space="preserve">La classe sperimentale descritta in questo studio ha preso parte alla sperimentazione educativa “Dinamiche di acquisizione dell’italiano L2”, collegata al più ampio progetto “Osservare l’interlingua” (Pallotti 2010; Pallotti e Rosi 2011; in stampa; interlingua.comune.re.it), di cui si parlerà nel capitolo seguente. I percorsi proposti in queste sperimentazione si basano su una logica di inclusione. Le attività vengono rivolte all’intera classe, senza separare “italiani”, “nuovi italiani”, alunni con bisogni educativi speciali o con disabilità, e implicano molti lavori all’interno di gruppi di livello misto, in modo da attivare processi di </w:t>
      </w:r>
      <w:r>
        <w:rPr>
          <w:bCs/>
          <w:i/>
        </w:rPr>
        <w:t>tutoring</w:t>
      </w:r>
      <w:r>
        <w:rPr>
          <w:bCs/>
        </w:rPr>
        <w:t xml:space="preserve"> tra pari. Tali scelte metodologiche sono in linea con la prospettiva socioculturale dell’apprendimento, linguistico e non solo, che sottolinea l’efficacia del </w:t>
      </w:r>
      <w:r>
        <w:rPr>
          <w:bCs/>
          <w:i/>
        </w:rPr>
        <w:t>cooperative learning</w:t>
      </w:r>
      <w:r>
        <w:rPr>
          <w:bCs/>
        </w:rPr>
        <w:t xml:space="preserve"> (Johnson e Johnson 1989, 2009), modalità di lavoro basata sulla collaborazione fra pari nello svolgimento di un compito con un obiettivo comune, che i membri del gruppo contribuiscono a raggiungere interagendo e negoziando fra loro, senza l’intervento del docente. L’insegnante supervisiona, ma non prende decisioni né assegna voti, i lavori dei gruppi vengono valutati fra pari, usando come parametro fondamentale la funzionalità di quanto prodotto per il percorso didattico da sviluppare, piuttosto che l’accuratezza formale.</w:t>
      </w:r>
    </w:p>
    <w:p>
      <w:pPr>
        <w:pStyle w:val="Normal"/>
        <w:rPr/>
      </w:pPr>
      <w:r>
        <w:rPr>
          <w:bCs/>
        </w:rPr>
        <w:t>L’approccio è attivo, induttivo ed orientato all’apprendente (</w:t>
      </w:r>
      <w:r>
        <w:rPr>
          <w:bCs/>
          <w:i/>
        </w:rPr>
        <w:t>learner-oriented</w:t>
      </w:r>
      <w:r>
        <w:rPr>
          <w:bCs/>
        </w:rPr>
        <w:t xml:space="preserve">, Dam 2011). Secondo i principi della didattica per task (Ellis 2003; Nunan 2004; www.insegnareconitask.it), le attività sono </w:t>
      </w:r>
      <w:r>
        <w:rPr>
          <w:bCs/>
          <w:i/>
        </w:rPr>
        <w:t>focused on meaning</w:t>
      </w:r>
      <w:r>
        <w:rPr>
          <w:bCs/>
        </w:rPr>
        <w:t xml:space="preserve">, centrate cioè sulla trasmissione di significati, coinvolgendo gli alunni in interazioni autentiche mirate a un obiettivo comunicativo concreto, piuttosto che all’esibizione di conoscenze sulle forme linguistiche per ottenere valutazioni positive. Agli alunni si dà la possibilità di lavorare con </w:t>
      </w:r>
      <w:r>
        <w:rPr>
          <w:bCs/>
          <w:i/>
        </w:rPr>
        <w:t>realia</w:t>
      </w:r>
      <w:r>
        <w:rPr>
          <w:bCs/>
        </w:rPr>
        <w:t>, oggetti concreti quali buste, scatole e cartelloni, e con le mani, tagliando e incollando, al fine di facilitare la m</w:t>
      </w:r>
      <w:r>
        <w:rPr>
          <w:iCs/>
        </w:rPr>
        <w:t>ediazione semiotica del pensiero.</w:t>
      </w:r>
    </w:p>
    <w:p>
      <w:pPr>
        <w:pStyle w:val="Normal"/>
        <w:suppressAutoHyphens w:val="false"/>
        <w:rPr/>
      </w:pPr>
      <w:r>
        <w:rPr/>
        <w:t>Il primo momento del percorso consiste nella visione di uno stimolo audiovisivo da riportare individualmente in un testo scritto, per rilevare il livello in entrata di ciascun alunno e poterlo confrontare con quello raggiunto al termine delle attività. I testi non vengono valutati dal docente, ma sono letti in classe da un adulto, insegnante o collaboratore, che non conosce il video e deve comprendere i suoi contenuti solo sulla base dei testi che ha a disposizione, di cui emergono così limiti e problemi a livello prima di tutto comunicativo. In seguito, la classe viene divisa in gruppi, eterogenei per livello, si visiona nuovamente lo stimolo e si lavora alla pianificazione di un testo che possa spiegarlo in modo chiaro, costruendo un progetto, o scaletta concettuale, attraverso varie tappe: l’individuazione delle sequenze dello stimolo, interrompendo il video al termine di ciascuna di queste; la definizione di ogni sequenza, scrivendo un titolo su una busta o scatola, che rappresenta il blocco tematico della sequenza, di cui si individua così l’unità informativa principale; la selezione ed organizzazione dei dettagli di ciascuna sequenza, da scrivere su strisce di carta che vengono poi numerate e inserite nella busta corrispondente alla sequenza pertinente. Tutte le attività sono condotte in contemporanea dai gruppi, che poi espongono le proprie soluzioni agli altri per trovare insieme una risposta condivisa e passare al task successivo. I titoli, scritti sulle buste, e i sottotitoli, inseriti al loro interno, costituiscono il progetto del testo, che viene redatto in gruppo, seguendo la selezione e l’organizzazione dei contenuti, già elaborate nel progetto. Questi testi diventano poi oggetto di valutazione e revisione tra i pari, che ricevono un cartellone con al centro il testo e ne commentano singoli aspetti, non limitandosi a individuare errori e problemi, ma sottolineando anche i punti di forza. I cartelloni girano da un gruppo all’altro e ogni volta il testo viene letto da un gruppo nuovo che ne deve revisionare un aspetto specifico: la coerenza, spiegata come rispetto della scaletta, la divisione del testo in capoversi, l’uso della punteggiatura, la coesione delle forme verbali, il lessico, l’ortografia. Gli alunni sono chiamati a leggere e revisionare, ma non a correggere perché la correzione viene operata dal gruppo autore alla fine della revisione di tutti i singoli aspetti. Al termine, ogni gruppo riceve il cartellone con i commenti dei compagni per procedere alla correzione, valutando se seguire o meno il feedback ricevuto. Infine, gli alunni, prima in gruppo e poi come classe, formulano le regole per scrivere un buon testo, in una sorta di formalizzazione metacognitiva delle fasi del processo di scrittura. In ultimo, come raccolta conclusiva per verificare i risultati della sperimentazione, si mostra uno stimolo nuovo, simile e comparabile al primo e si chiede di scrivere un testo individuale. In questa raccolta finale non viene richiesto esplicitamente di scrivere una scaletta o revisionare il testo, per valutare l’uso spontaneo di queste strategie da parte degli alunni</w:t>
      </w:r>
      <w:r>
        <w:rPr>
          <w:rStyle w:val="Richiamoallanotaapidipagina"/>
        </w:rPr>
        <w:footnoteReference w:id="3"/>
      </w:r>
      <w:r>
        <w:rPr/>
        <w:t>.</w:t>
      </w:r>
    </w:p>
    <w:p>
      <w:pPr>
        <w:pStyle w:val="Normal"/>
        <w:suppressAutoHyphens w:val="false"/>
        <w:rPr/>
      </w:pPr>
      <w:r>
        <w:rPr/>
      </w:r>
    </w:p>
    <w:p>
      <w:pPr>
        <w:pStyle w:val="ListParagraph"/>
        <w:rPr/>
      </w:pPr>
      <w:r>
        <w:rPr/>
      </w:r>
    </w:p>
    <w:p>
      <w:pPr>
        <w:pStyle w:val="ListParagraph"/>
        <w:numPr>
          <w:ilvl w:val="0"/>
          <w:numId w:val="1"/>
        </w:numPr>
        <w:rPr/>
      </w:pPr>
      <w:r>
        <w:rPr/>
        <w:t>Una sperimentazione nella scuola secondaria di primo grado</w:t>
      </w:r>
    </w:p>
    <w:p>
      <w:pPr>
        <w:pStyle w:val="ListParagraph"/>
        <w:rPr/>
      </w:pPr>
      <w:r>
        <w:rPr/>
      </w:r>
    </w:p>
    <w:p>
      <w:pPr>
        <w:pStyle w:val="Normal"/>
        <w:rPr/>
      </w:pPr>
      <w:r>
        <w:rPr/>
        <w:t xml:space="preserve">I risultati qui presentati illustrano alcuni possibili effetti della sperimentazione condotta in un istituto comprensivo della provincia di Reggio Emilia, in un’area caratterizzata da centri abitati medio-piccoli con una cospicua presenza migratoria: la percentuale della popolazione con cittadinanza straniera si attesta intorno al 17,5%. </w:t>
      </w:r>
    </w:p>
    <w:p>
      <w:pPr>
        <w:pStyle w:val="Normal"/>
        <w:rPr/>
      </w:pPr>
      <w:r>
        <w:rPr/>
        <w:t>Nell’istituto, la classe III A ha condotto il percorso per i primi due anni, mentre in terza si è preferito concentrarsi sulla preparazione all’esame finale; le altre quattro classi non hanno svolto la sperimentazione e fungono da campione di controllo.</w:t>
      </w:r>
    </w:p>
    <w:p>
      <w:pPr>
        <w:pStyle w:val="Normal"/>
        <w:rPr/>
      </w:pPr>
      <w:r>
        <w:rPr/>
        <w:t>Nella classe sperimentale i nuovi italiani sono più numerosi (30%), mentre nelle classi di controllo costituiscono, rispettivamente, il 15%, il 25%, il 26% e il 17% del totale degli alunni (20 per classe). Nella Tabella 1 si riportano le informazioni sulla provenienza dei nuovi italiani e il numero di anni trascorsi in Italia al momento della raccolta dei dati.</w:t>
      </w:r>
    </w:p>
    <w:p>
      <w:pPr>
        <w:pStyle w:val="Normal"/>
        <w:rPr/>
      </w:pPr>
      <w:r>
        <w:rPr/>
      </w:r>
    </w:p>
    <w:tbl>
      <w:tblPr>
        <w:tblStyle w:val="Grigliatabella"/>
        <w:tblW w:w="9627" w:type="dxa"/>
        <w:jc w:val="left"/>
        <w:tblInd w:w="-40" w:type="dxa"/>
        <w:tblCellMar>
          <w:top w:w="0" w:type="dxa"/>
          <w:left w:w="68" w:type="dxa"/>
          <w:bottom w:w="0" w:type="dxa"/>
          <w:right w:w="108" w:type="dxa"/>
        </w:tblCellMar>
        <w:tblLook w:val="04a0" w:noVBand="1" w:noHBand="0" w:lastColumn="0" w:firstColumn="1" w:lastRow="0" w:firstRow="1"/>
      </w:tblPr>
      <w:tblGrid>
        <w:gridCol w:w="1925"/>
        <w:gridCol w:w="1920"/>
        <w:gridCol w:w="1928"/>
        <w:gridCol w:w="1924"/>
        <w:gridCol w:w="1930"/>
      </w:tblGrid>
      <w:tr>
        <w:trPr/>
        <w:tc>
          <w:tcPr>
            <w:tcW w:w="1925" w:type="dxa"/>
            <w:tcBorders/>
            <w:shd w:color="auto" w:fill="auto" w:val="clear"/>
            <w:tcMar>
              <w:left w:w="68" w:type="dxa"/>
            </w:tcMar>
          </w:tcPr>
          <w:p>
            <w:pPr>
              <w:pStyle w:val="Normal"/>
              <w:jc w:val="center"/>
              <w:rPr>
                <w:sz w:val="22"/>
              </w:rPr>
            </w:pPr>
            <w:r>
              <w:rPr>
                <w:sz w:val="22"/>
              </w:rPr>
              <w:t>III A</w:t>
            </w:r>
          </w:p>
          <w:p>
            <w:pPr>
              <w:pStyle w:val="Normal"/>
              <w:jc w:val="center"/>
              <w:rPr>
                <w:sz w:val="22"/>
              </w:rPr>
            </w:pPr>
            <w:r>
              <w:rPr>
                <w:sz w:val="22"/>
              </w:rPr>
              <w:t>(sperimentale)</w:t>
            </w:r>
          </w:p>
        </w:tc>
        <w:tc>
          <w:tcPr>
            <w:tcW w:w="1920" w:type="dxa"/>
            <w:tcBorders/>
            <w:shd w:color="auto" w:fill="auto" w:val="clear"/>
            <w:tcMar>
              <w:left w:w="68" w:type="dxa"/>
            </w:tcMar>
          </w:tcPr>
          <w:p>
            <w:pPr>
              <w:pStyle w:val="Normal"/>
              <w:jc w:val="center"/>
              <w:rPr>
                <w:sz w:val="22"/>
              </w:rPr>
            </w:pPr>
            <w:r>
              <w:rPr>
                <w:sz w:val="22"/>
              </w:rPr>
              <w:t>III B</w:t>
            </w:r>
          </w:p>
          <w:p>
            <w:pPr>
              <w:pStyle w:val="Normal"/>
              <w:jc w:val="center"/>
              <w:rPr>
                <w:sz w:val="22"/>
              </w:rPr>
            </w:pPr>
            <w:r>
              <w:rPr>
                <w:sz w:val="22"/>
              </w:rPr>
            </w:r>
          </w:p>
        </w:tc>
        <w:tc>
          <w:tcPr>
            <w:tcW w:w="1928" w:type="dxa"/>
            <w:tcBorders/>
            <w:shd w:color="auto" w:fill="auto" w:val="clear"/>
            <w:tcMar>
              <w:left w:w="68" w:type="dxa"/>
            </w:tcMar>
          </w:tcPr>
          <w:p>
            <w:pPr>
              <w:pStyle w:val="Normal"/>
              <w:jc w:val="center"/>
              <w:rPr>
                <w:sz w:val="22"/>
              </w:rPr>
            </w:pPr>
            <w:r>
              <w:rPr>
                <w:sz w:val="22"/>
              </w:rPr>
              <w:t>III C</w:t>
            </w:r>
          </w:p>
          <w:p>
            <w:pPr>
              <w:pStyle w:val="Normal"/>
              <w:jc w:val="center"/>
              <w:rPr>
                <w:sz w:val="22"/>
              </w:rPr>
            </w:pPr>
            <w:r>
              <w:rPr>
                <w:sz w:val="22"/>
              </w:rPr>
            </w:r>
          </w:p>
        </w:tc>
        <w:tc>
          <w:tcPr>
            <w:tcW w:w="1924" w:type="dxa"/>
            <w:tcBorders/>
            <w:shd w:color="auto" w:fill="auto" w:val="clear"/>
            <w:tcMar>
              <w:left w:w="68" w:type="dxa"/>
            </w:tcMar>
          </w:tcPr>
          <w:p>
            <w:pPr>
              <w:pStyle w:val="Normal"/>
              <w:jc w:val="center"/>
              <w:rPr>
                <w:sz w:val="22"/>
              </w:rPr>
            </w:pPr>
            <w:r>
              <w:rPr>
                <w:sz w:val="22"/>
              </w:rPr>
              <w:t>III D</w:t>
            </w:r>
          </w:p>
          <w:p>
            <w:pPr>
              <w:pStyle w:val="Normal"/>
              <w:jc w:val="center"/>
              <w:rPr>
                <w:sz w:val="22"/>
              </w:rPr>
            </w:pPr>
            <w:r>
              <w:rPr>
                <w:sz w:val="22"/>
              </w:rPr>
            </w:r>
          </w:p>
        </w:tc>
        <w:tc>
          <w:tcPr>
            <w:tcW w:w="1930" w:type="dxa"/>
            <w:tcBorders/>
            <w:shd w:color="auto" w:fill="auto" w:val="clear"/>
            <w:tcMar>
              <w:left w:w="68" w:type="dxa"/>
            </w:tcMar>
          </w:tcPr>
          <w:p>
            <w:pPr>
              <w:pStyle w:val="Normal"/>
              <w:jc w:val="center"/>
              <w:rPr>
                <w:sz w:val="22"/>
              </w:rPr>
            </w:pPr>
            <w:r>
              <w:rPr>
                <w:sz w:val="22"/>
              </w:rPr>
              <w:t>III E</w:t>
            </w:r>
          </w:p>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pPr>
            <w:r>
              <w:rPr>
                <w:sz w:val="22"/>
              </w:rPr>
              <w:t>Pakistan (10)</w:t>
            </w:r>
          </w:p>
        </w:tc>
        <w:tc>
          <w:tcPr>
            <w:tcW w:w="1920" w:type="dxa"/>
            <w:tcBorders/>
            <w:shd w:color="auto" w:fill="auto" w:val="clear"/>
            <w:tcMar>
              <w:left w:w="68" w:type="dxa"/>
            </w:tcMar>
          </w:tcPr>
          <w:p>
            <w:pPr>
              <w:pStyle w:val="Normal"/>
              <w:jc w:val="center"/>
              <w:rPr/>
            </w:pPr>
            <w:r>
              <w:rPr>
                <w:sz w:val="22"/>
              </w:rPr>
              <w:t>Pakistan (7)</w:t>
            </w:r>
          </w:p>
        </w:tc>
        <w:tc>
          <w:tcPr>
            <w:tcW w:w="1928" w:type="dxa"/>
            <w:tcBorders/>
            <w:shd w:color="auto" w:fill="auto" w:val="clear"/>
            <w:tcMar>
              <w:left w:w="68" w:type="dxa"/>
            </w:tcMar>
          </w:tcPr>
          <w:p>
            <w:pPr>
              <w:pStyle w:val="Normal"/>
              <w:jc w:val="center"/>
              <w:rPr/>
            </w:pPr>
            <w:r>
              <w:rPr>
                <w:sz w:val="22"/>
              </w:rPr>
              <w:t>Pakistan (6)</w:t>
            </w:r>
          </w:p>
        </w:tc>
        <w:tc>
          <w:tcPr>
            <w:tcW w:w="1924" w:type="dxa"/>
            <w:tcBorders/>
            <w:shd w:color="auto" w:fill="auto" w:val="clear"/>
            <w:tcMar>
              <w:left w:w="68" w:type="dxa"/>
            </w:tcMar>
          </w:tcPr>
          <w:p>
            <w:pPr>
              <w:pStyle w:val="Normal"/>
              <w:jc w:val="center"/>
              <w:rPr/>
            </w:pPr>
            <w:r>
              <w:rPr>
                <w:sz w:val="22"/>
              </w:rPr>
              <w:t>Cina (1)</w:t>
            </w:r>
          </w:p>
        </w:tc>
        <w:tc>
          <w:tcPr>
            <w:tcW w:w="1930" w:type="dxa"/>
            <w:tcBorders/>
            <w:shd w:color="auto" w:fill="auto" w:val="clear"/>
            <w:tcMar>
              <w:left w:w="68" w:type="dxa"/>
            </w:tcMar>
          </w:tcPr>
          <w:p>
            <w:pPr>
              <w:pStyle w:val="Normal"/>
              <w:jc w:val="center"/>
              <w:rPr/>
            </w:pPr>
            <w:r>
              <w:rPr>
                <w:sz w:val="22"/>
              </w:rPr>
              <w:t>Pakistan(13, dalla nascita)</w:t>
            </w:r>
          </w:p>
        </w:tc>
      </w:tr>
      <w:tr>
        <w:trPr/>
        <w:tc>
          <w:tcPr>
            <w:tcW w:w="1925" w:type="dxa"/>
            <w:tcBorders/>
            <w:shd w:color="auto" w:fill="auto" w:val="clear"/>
            <w:tcMar>
              <w:left w:w="68" w:type="dxa"/>
            </w:tcMar>
          </w:tcPr>
          <w:p>
            <w:pPr>
              <w:pStyle w:val="Normal"/>
              <w:jc w:val="center"/>
              <w:rPr/>
            </w:pPr>
            <w:r>
              <w:rPr>
                <w:sz w:val="22"/>
              </w:rPr>
              <w:t>India (1)</w:t>
            </w:r>
          </w:p>
        </w:tc>
        <w:tc>
          <w:tcPr>
            <w:tcW w:w="1920" w:type="dxa"/>
            <w:tcBorders/>
            <w:shd w:color="auto" w:fill="auto" w:val="clear"/>
            <w:tcMar>
              <w:left w:w="68" w:type="dxa"/>
            </w:tcMar>
          </w:tcPr>
          <w:p>
            <w:pPr>
              <w:pStyle w:val="Normal"/>
              <w:jc w:val="center"/>
              <w:rPr/>
            </w:pPr>
            <w:r>
              <w:rPr>
                <w:sz w:val="22"/>
              </w:rPr>
              <w:t>Pakistan (2)</w:t>
            </w:r>
          </w:p>
        </w:tc>
        <w:tc>
          <w:tcPr>
            <w:tcW w:w="1928" w:type="dxa"/>
            <w:tcBorders/>
            <w:shd w:color="auto" w:fill="auto" w:val="clear"/>
            <w:tcMar>
              <w:left w:w="68" w:type="dxa"/>
            </w:tcMar>
          </w:tcPr>
          <w:p>
            <w:pPr>
              <w:pStyle w:val="Normal"/>
              <w:jc w:val="center"/>
              <w:rPr/>
            </w:pPr>
            <w:r>
              <w:rPr>
                <w:sz w:val="22"/>
              </w:rPr>
              <w:t>Pakistan (3)</w:t>
            </w:r>
          </w:p>
        </w:tc>
        <w:tc>
          <w:tcPr>
            <w:tcW w:w="1924" w:type="dxa"/>
            <w:tcBorders/>
            <w:shd w:color="auto" w:fill="auto" w:val="clear"/>
            <w:tcMar>
              <w:left w:w="68" w:type="dxa"/>
            </w:tcMar>
          </w:tcPr>
          <w:p>
            <w:pPr>
              <w:pStyle w:val="Normal"/>
              <w:jc w:val="center"/>
              <w:rPr/>
            </w:pPr>
            <w:r>
              <w:rPr>
                <w:sz w:val="22"/>
              </w:rPr>
              <w:t>Pakistan (6)</w:t>
            </w:r>
          </w:p>
        </w:tc>
        <w:tc>
          <w:tcPr>
            <w:tcW w:w="1930" w:type="dxa"/>
            <w:tcBorders/>
            <w:shd w:color="auto" w:fill="auto" w:val="clear"/>
            <w:tcMar>
              <w:left w:w="68" w:type="dxa"/>
            </w:tcMar>
          </w:tcPr>
          <w:p>
            <w:pPr>
              <w:pStyle w:val="Normal"/>
              <w:jc w:val="center"/>
              <w:rPr/>
            </w:pPr>
            <w:r>
              <w:rPr>
                <w:sz w:val="22"/>
              </w:rPr>
              <w:t>India (13, dalla nascita)</w:t>
            </w:r>
          </w:p>
        </w:tc>
      </w:tr>
      <w:tr>
        <w:trPr/>
        <w:tc>
          <w:tcPr>
            <w:tcW w:w="1925" w:type="dxa"/>
            <w:tcBorders/>
            <w:shd w:color="auto" w:fill="auto" w:val="clear"/>
            <w:tcMar>
              <w:left w:w="68" w:type="dxa"/>
            </w:tcMar>
          </w:tcPr>
          <w:p>
            <w:pPr>
              <w:pStyle w:val="Normal"/>
              <w:jc w:val="center"/>
              <w:rPr/>
            </w:pPr>
            <w:r>
              <w:rPr>
                <w:sz w:val="22"/>
              </w:rPr>
              <w:t>India (2)</w:t>
            </w:r>
          </w:p>
        </w:tc>
        <w:tc>
          <w:tcPr>
            <w:tcW w:w="1920" w:type="dxa"/>
            <w:tcBorders/>
            <w:shd w:color="auto" w:fill="auto" w:val="clear"/>
            <w:tcMar>
              <w:left w:w="68" w:type="dxa"/>
            </w:tcMar>
          </w:tcPr>
          <w:p>
            <w:pPr>
              <w:pStyle w:val="Normal"/>
              <w:jc w:val="center"/>
              <w:rPr/>
            </w:pPr>
            <w:r>
              <w:rPr>
                <w:sz w:val="22"/>
              </w:rPr>
              <w:t>India (13, dalla nascita)</w:t>
            </w:r>
          </w:p>
        </w:tc>
        <w:tc>
          <w:tcPr>
            <w:tcW w:w="1928" w:type="dxa"/>
            <w:tcBorders/>
            <w:shd w:color="auto" w:fill="auto" w:val="clear"/>
            <w:tcMar>
              <w:left w:w="68" w:type="dxa"/>
            </w:tcMar>
          </w:tcPr>
          <w:p>
            <w:pPr>
              <w:pStyle w:val="Normal"/>
              <w:jc w:val="center"/>
              <w:rPr/>
            </w:pPr>
            <w:r>
              <w:rPr>
                <w:sz w:val="22"/>
              </w:rPr>
              <w:t>Pakistan (8)</w:t>
            </w:r>
          </w:p>
        </w:tc>
        <w:tc>
          <w:tcPr>
            <w:tcW w:w="1924" w:type="dxa"/>
            <w:tcBorders/>
            <w:shd w:color="auto" w:fill="auto" w:val="clear"/>
            <w:tcMar>
              <w:left w:w="68" w:type="dxa"/>
            </w:tcMar>
          </w:tcPr>
          <w:p>
            <w:pPr>
              <w:pStyle w:val="Normal"/>
              <w:jc w:val="center"/>
              <w:rPr/>
            </w:pPr>
            <w:r>
              <w:rPr>
                <w:sz w:val="22"/>
              </w:rPr>
              <w:t>India (6)</w:t>
            </w:r>
          </w:p>
        </w:tc>
        <w:tc>
          <w:tcPr>
            <w:tcW w:w="1930" w:type="dxa"/>
            <w:tcBorders/>
            <w:shd w:color="auto" w:fill="auto" w:val="clear"/>
            <w:tcMar>
              <w:left w:w="68" w:type="dxa"/>
            </w:tcMar>
          </w:tcPr>
          <w:p>
            <w:pPr>
              <w:pStyle w:val="Normal"/>
              <w:jc w:val="center"/>
              <w:rPr/>
            </w:pPr>
            <w:r>
              <w:rPr>
                <w:sz w:val="22"/>
              </w:rPr>
              <w:t>Cina (13, dalla nascita)</w:t>
            </w:r>
          </w:p>
        </w:tc>
      </w:tr>
      <w:tr>
        <w:trPr/>
        <w:tc>
          <w:tcPr>
            <w:tcW w:w="1925" w:type="dxa"/>
            <w:tcBorders/>
            <w:shd w:color="auto" w:fill="auto" w:val="clear"/>
            <w:tcMar>
              <w:left w:w="68" w:type="dxa"/>
            </w:tcMar>
          </w:tcPr>
          <w:p>
            <w:pPr>
              <w:pStyle w:val="Normal"/>
              <w:jc w:val="center"/>
              <w:rPr/>
            </w:pPr>
            <w:r>
              <w:rPr>
                <w:sz w:val="22"/>
              </w:rPr>
              <w:t>Pakistan (6)</w:t>
            </w:r>
          </w:p>
        </w:tc>
        <w:tc>
          <w:tcPr>
            <w:tcW w:w="1920" w:type="dxa"/>
            <w:tcBorders/>
            <w:shd w:color="auto" w:fill="auto" w:val="clear"/>
            <w:tcMar>
              <w:left w:w="68" w:type="dxa"/>
            </w:tcMar>
          </w:tcPr>
          <w:p>
            <w:pPr>
              <w:pStyle w:val="Normal"/>
              <w:jc w:val="center"/>
              <w:rPr>
                <w:sz w:val="22"/>
              </w:rPr>
            </w:pPr>
            <w:r>
              <w:rPr>
                <w:sz w:val="22"/>
              </w:rPr>
            </w:r>
          </w:p>
        </w:tc>
        <w:tc>
          <w:tcPr>
            <w:tcW w:w="1928" w:type="dxa"/>
            <w:tcBorders/>
            <w:shd w:color="auto" w:fill="auto" w:val="clear"/>
            <w:tcMar>
              <w:left w:w="68" w:type="dxa"/>
            </w:tcMar>
          </w:tcPr>
          <w:p>
            <w:pPr>
              <w:pStyle w:val="Normal"/>
              <w:jc w:val="center"/>
              <w:rPr/>
            </w:pPr>
            <w:r>
              <w:rPr>
                <w:sz w:val="22"/>
              </w:rPr>
              <w:t>Romania (7)</w:t>
            </w:r>
          </w:p>
        </w:tc>
        <w:tc>
          <w:tcPr>
            <w:tcW w:w="1924" w:type="dxa"/>
            <w:tcBorders/>
            <w:shd w:color="auto" w:fill="auto" w:val="clear"/>
            <w:tcMar>
              <w:left w:w="68" w:type="dxa"/>
            </w:tcMar>
          </w:tcPr>
          <w:p>
            <w:pPr>
              <w:pStyle w:val="Normal"/>
              <w:jc w:val="center"/>
              <w:rPr/>
            </w:pPr>
            <w:r>
              <w:rPr>
                <w:sz w:val="22"/>
              </w:rPr>
              <w:t>Bangladesh (13, dalla nascita)</w:t>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pPr>
            <w:r>
              <w:rPr>
                <w:sz w:val="22"/>
              </w:rPr>
              <w:t>Albania (9)</w:t>
            </w:r>
          </w:p>
        </w:tc>
        <w:tc>
          <w:tcPr>
            <w:tcW w:w="1920" w:type="dxa"/>
            <w:tcBorders/>
            <w:shd w:color="auto" w:fill="auto" w:val="clear"/>
            <w:tcMar>
              <w:left w:w="68" w:type="dxa"/>
            </w:tcMar>
          </w:tcPr>
          <w:p>
            <w:pPr>
              <w:pStyle w:val="Normal"/>
              <w:jc w:val="center"/>
              <w:rPr>
                <w:sz w:val="22"/>
              </w:rPr>
            </w:pPr>
            <w:r>
              <w:rPr>
                <w:sz w:val="22"/>
              </w:rPr>
            </w:r>
          </w:p>
        </w:tc>
        <w:tc>
          <w:tcPr>
            <w:tcW w:w="1928" w:type="dxa"/>
            <w:tcBorders/>
            <w:shd w:color="auto" w:fill="auto" w:val="clear"/>
            <w:tcMar>
              <w:left w:w="68" w:type="dxa"/>
            </w:tcMar>
          </w:tcPr>
          <w:p>
            <w:pPr>
              <w:pStyle w:val="Normal"/>
              <w:jc w:val="center"/>
              <w:rPr/>
            </w:pPr>
            <w:r>
              <w:rPr>
                <w:sz w:val="22"/>
              </w:rPr>
              <w:t>Pakistan (1)</w:t>
            </w:r>
          </w:p>
        </w:tc>
        <w:tc>
          <w:tcPr>
            <w:tcW w:w="1924" w:type="dxa"/>
            <w:tcBorders/>
            <w:shd w:color="auto" w:fill="auto" w:val="clear"/>
            <w:tcMar>
              <w:left w:w="68" w:type="dxa"/>
            </w:tcMar>
          </w:tcPr>
          <w:p>
            <w:pPr>
              <w:pStyle w:val="Normal"/>
              <w:jc w:val="center"/>
              <w:rPr/>
            </w:pPr>
            <w:r>
              <w:rPr>
                <w:sz w:val="22"/>
              </w:rPr>
              <w:t>Pakistan (5)</w:t>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pPr>
            <w:r>
              <w:rPr>
                <w:sz w:val="22"/>
              </w:rPr>
              <w:t>India (11)</w:t>
            </w:r>
          </w:p>
        </w:tc>
        <w:tc>
          <w:tcPr>
            <w:tcW w:w="1920" w:type="dxa"/>
            <w:tcBorders/>
            <w:shd w:color="auto" w:fill="auto" w:val="clear"/>
            <w:tcMar>
              <w:left w:w="68" w:type="dxa"/>
            </w:tcMar>
          </w:tcPr>
          <w:p>
            <w:pPr>
              <w:pStyle w:val="Normal"/>
              <w:jc w:val="center"/>
              <w:rPr>
                <w:sz w:val="22"/>
              </w:rPr>
            </w:pPr>
            <w:r>
              <w:rPr>
                <w:sz w:val="22"/>
              </w:rPr>
            </w:r>
          </w:p>
        </w:tc>
        <w:tc>
          <w:tcPr>
            <w:tcW w:w="1928" w:type="dxa"/>
            <w:tcBorders/>
            <w:shd w:color="auto" w:fill="auto" w:val="clear"/>
            <w:tcMar>
              <w:left w:w="68" w:type="dxa"/>
            </w:tcMar>
          </w:tcPr>
          <w:p>
            <w:pPr>
              <w:pStyle w:val="Normal"/>
              <w:jc w:val="center"/>
              <w:rPr>
                <w:sz w:val="22"/>
              </w:rPr>
            </w:pPr>
            <w:r>
              <w:rPr>
                <w:sz w:val="22"/>
              </w:rPr>
            </w:r>
          </w:p>
        </w:tc>
        <w:tc>
          <w:tcPr>
            <w:tcW w:w="1924" w:type="dxa"/>
            <w:tcBorders/>
            <w:shd w:color="auto" w:fill="auto" w:val="clear"/>
            <w:tcMar>
              <w:left w:w="68" w:type="dxa"/>
            </w:tcMar>
          </w:tcPr>
          <w:p>
            <w:pPr>
              <w:pStyle w:val="Normal"/>
              <w:jc w:val="center"/>
              <w:rPr>
                <w:sz w:val="22"/>
              </w:rPr>
            </w:pPr>
            <w:r>
              <w:rPr>
                <w:sz w:val="22"/>
              </w:rPr>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top w:val="nil"/>
            </w:tcBorders>
            <w:shd w:color="auto" w:fill="auto" w:val="clear"/>
            <w:tcMar>
              <w:left w:w="68" w:type="dxa"/>
            </w:tcMar>
          </w:tcPr>
          <w:p>
            <w:pPr>
              <w:pStyle w:val="Normal"/>
              <w:jc w:val="center"/>
              <w:rPr/>
            </w:pPr>
            <w:r>
              <w:rPr>
                <w:sz w:val="22"/>
              </w:rPr>
              <w:t xml:space="preserve">(media: 6,5) </w:t>
            </w:r>
          </w:p>
        </w:tc>
        <w:tc>
          <w:tcPr>
            <w:tcW w:w="1920" w:type="dxa"/>
            <w:tcBorders>
              <w:top w:val="nil"/>
            </w:tcBorders>
            <w:shd w:color="auto" w:fill="auto" w:val="clear"/>
            <w:tcMar>
              <w:left w:w="68" w:type="dxa"/>
            </w:tcMar>
          </w:tcPr>
          <w:p>
            <w:pPr>
              <w:pStyle w:val="Normal"/>
              <w:jc w:val="center"/>
              <w:rPr/>
            </w:pPr>
            <w:r>
              <w:rPr>
                <w:sz w:val="22"/>
              </w:rPr>
              <w:t>(media: 7,3)</w:t>
            </w:r>
          </w:p>
        </w:tc>
        <w:tc>
          <w:tcPr>
            <w:tcW w:w="1928" w:type="dxa"/>
            <w:tcBorders>
              <w:top w:val="nil"/>
            </w:tcBorders>
            <w:shd w:color="auto" w:fill="auto" w:val="clear"/>
            <w:tcMar>
              <w:left w:w="68" w:type="dxa"/>
            </w:tcMar>
          </w:tcPr>
          <w:p>
            <w:pPr>
              <w:pStyle w:val="Normal"/>
              <w:jc w:val="center"/>
              <w:rPr/>
            </w:pPr>
            <w:r>
              <w:rPr>
                <w:sz w:val="22"/>
              </w:rPr>
              <w:t>(media: 5)</w:t>
            </w:r>
          </w:p>
        </w:tc>
        <w:tc>
          <w:tcPr>
            <w:tcW w:w="1924" w:type="dxa"/>
            <w:tcBorders>
              <w:top w:val="nil"/>
            </w:tcBorders>
            <w:shd w:color="auto" w:fill="auto" w:val="clear"/>
            <w:tcMar>
              <w:left w:w="68" w:type="dxa"/>
            </w:tcMar>
          </w:tcPr>
          <w:p>
            <w:pPr>
              <w:pStyle w:val="Normal"/>
              <w:jc w:val="center"/>
              <w:rPr/>
            </w:pPr>
            <w:r>
              <w:rPr>
                <w:sz w:val="22"/>
              </w:rPr>
              <w:t>(media: 6,2)</w:t>
            </w:r>
          </w:p>
        </w:tc>
        <w:tc>
          <w:tcPr>
            <w:tcW w:w="1930" w:type="dxa"/>
            <w:tcBorders>
              <w:top w:val="nil"/>
            </w:tcBorders>
            <w:shd w:color="auto" w:fill="auto" w:val="clear"/>
            <w:tcMar>
              <w:left w:w="68" w:type="dxa"/>
            </w:tcMar>
          </w:tcPr>
          <w:p>
            <w:pPr>
              <w:pStyle w:val="Normal"/>
              <w:jc w:val="center"/>
              <w:rPr/>
            </w:pPr>
            <w:r>
              <w:rPr>
                <w:sz w:val="22"/>
              </w:rPr>
              <w:t>(media: 13)</w:t>
            </w:r>
          </w:p>
        </w:tc>
      </w:tr>
    </w:tbl>
    <w:p>
      <w:pPr>
        <w:pStyle w:val="Normal"/>
        <w:rPr/>
      </w:pPr>
      <w:r>
        <w:rPr/>
        <w:t>Tabella 1. Origine degli alunni e anni di permanenza in Italia.</w:t>
      </w:r>
    </w:p>
    <w:p>
      <w:pPr>
        <w:pStyle w:val="Normal"/>
        <w:rPr/>
      </w:pPr>
      <w:r>
        <w:rPr/>
      </w:r>
    </w:p>
    <w:p>
      <w:pPr>
        <w:pStyle w:val="Normal"/>
        <w:rPr/>
      </w:pPr>
      <w:r>
        <w:rPr/>
        <w:t xml:space="preserve">Come si nota, la classe sperimentale ha una composizione abbastanza simile alle altre in relazione sia all’origine geografica che al tempo di permanenza in Italia dei nuovi italiani. </w:t>
      </w:r>
    </w:p>
    <w:p>
      <w:pPr>
        <w:pStyle w:val="Normal"/>
        <w:rPr/>
      </w:pPr>
      <w:r>
        <w:rPr/>
        <w:t>La Tabella 2 mostra invece la partecipazione ad attività extracurricolari di potenziamento della lingua italiana durante l’orario di lezione: gli alunni della classe sperimentale hanno beneficiato meno dei loro compagni di questo tipo di interventi.</w:t>
      </w:r>
      <w:r>
        <w:rPr>
          <w:rStyle w:val="Richiamoallanotaapidipagina"/>
        </w:rPr>
        <w:footnoteReference w:id="4"/>
      </w:r>
    </w:p>
    <w:p>
      <w:pPr>
        <w:pStyle w:val="Normal"/>
        <w:rPr/>
      </w:pPr>
      <w:r>
        <w:rPr/>
      </w:r>
    </w:p>
    <w:tbl>
      <w:tblPr>
        <w:tblStyle w:val="Grigliatabella"/>
        <w:tblW w:w="9627" w:type="dxa"/>
        <w:jc w:val="left"/>
        <w:tblInd w:w="-40" w:type="dxa"/>
        <w:tblCellMar>
          <w:top w:w="0" w:type="dxa"/>
          <w:left w:w="68" w:type="dxa"/>
          <w:bottom w:w="0" w:type="dxa"/>
          <w:right w:w="108" w:type="dxa"/>
        </w:tblCellMar>
        <w:tblLook w:val="04a0" w:noVBand="1" w:noHBand="0" w:lastColumn="0" w:firstColumn="1" w:lastRow="0" w:firstRow="1"/>
      </w:tblPr>
      <w:tblGrid>
        <w:gridCol w:w="1925"/>
        <w:gridCol w:w="1920"/>
        <w:gridCol w:w="1928"/>
        <w:gridCol w:w="1924"/>
        <w:gridCol w:w="1930"/>
      </w:tblGrid>
      <w:tr>
        <w:trPr/>
        <w:tc>
          <w:tcPr>
            <w:tcW w:w="1925" w:type="dxa"/>
            <w:tcBorders/>
            <w:shd w:color="auto" w:fill="auto" w:val="clear"/>
            <w:tcMar>
              <w:left w:w="68" w:type="dxa"/>
            </w:tcMar>
          </w:tcPr>
          <w:p>
            <w:pPr>
              <w:pStyle w:val="Normal"/>
              <w:jc w:val="center"/>
              <w:rPr>
                <w:sz w:val="22"/>
              </w:rPr>
            </w:pPr>
            <w:r>
              <w:rPr>
                <w:sz w:val="22"/>
              </w:rPr>
              <w:t>III A</w:t>
            </w:r>
          </w:p>
          <w:p>
            <w:pPr>
              <w:pStyle w:val="Normal"/>
              <w:jc w:val="center"/>
              <w:rPr>
                <w:sz w:val="22"/>
              </w:rPr>
            </w:pPr>
            <w:r>
              <w:rPr>
                <w:sz w:val="22"/>
              </w:rPr>
              <w:t>(sperimentale)</w:t>
            </w:r>
          </w:p>
        </w:tc>
        <w:tc>
          <w:tcPr>
            <w:tcW w:w="1920" w:type="dxa"/>
            <w:tcBorders/>
            <w:shd w:color="auto" w:fill="auto" w:val="clear"/>
            <w:tcMar>
              <w:left w:w="68" w:type="dxa"/>
            </w:tcMar>
          </w:tcPr>
          <w:p>
            <w:pPr>
              <w:pStyle w:val="Normal"/>
              <w:jc w:val="center"/>
              <w:rPr>
                <w:sz w:val="22"/>
              </w:rPr>
            </w:pPr>
            <w:r>
              <w:rPr>
                <w:sz w:val="22"/>
              </w:rPr>
              <w:t>III B</w:t>
            </w:r>
          </w:p>
          <w:p>
            <w:pPr>
              <w:pStyle w:val="Normal"/>
              <w:jc w:val="center"/>
              <w:rPr>
                <w:sz w:val="22"/>
              </w:rPr>
            </w:pPr>
            <w:r>
              <w:rPr>
                <w:sz w:val="22"/>
              </w:rPr>
            </w:r>
          </w:p>
        </w:tc>
        <w:tc>
          <w:tcPr>
            <w:tcW w:w="1928" w:type="dxa"/>
            <w:tcBorders/>
            <w:shd w:color="auto" w:fill="auto" w:val="clear"/>
            <w:tcMar>
              <w:left w:w="68" w:type="dxa"/>
            </w:tcMar>
          </w:tcPr>
          <w:p>
            <w:pPr>
              <w:pStyle w:val="Normal"/>
              <w:jc w:val="center"/>
              <w:rPr>
                <w:sz w:val="22"/>
              </w:rPr>
            </w:pPr>
            <w:r>
              <w:rPr>
                <w:sz w:val="22"/>
              </w:rPr>
              <w:t>III C</w:t>
            </w:r>
          </w:p>
          <w:p>
            <w:pPr>
              <w:pStyle w:val="Normal"/>
              <w:jc w:val="center"/>
              <w:rPr>
                <w:sz w:val="22"/>
              </w:rPr>
            </w:pPr>
            <w:r>
              <w:rPr>
                <w:sz w:val="22"/>
              </w:rPr>
            </w:r>
          </w:p>
        </w:tc>
        <w:tc>
          <w:tcPr>
            <w:tcW w:w="1924" w:type="dxa"/>
            <w:tcBorders/>
            <w:shd w:color="auto" w:fill="auto" w:val="clear"/>
            <w:tcMar>
              <w:left w:w="68" w:type="dxa"/>
            </w:tcMar>
          </w:tcPr>
          <w:p>
            <w:pPr>
              <w:pStyle w:val="Normal"/>
              <w:jc w:val="center"/>
              <w:rPr>
                <w:sz w:val="22"/>
              </w:rPr>
            </w:pPr>
            <w:r>
              <w:rPr>
                <w:sz w:val="22"/>
              </w:rPr>
              <w:t>III D</w:t>
            </w:r>
          </w:p>
          <w:p>
            <w:pPr>
              <w:pStyle w:val="Normal"/>
              <w:jc w:val="center"/>
              <w:rPr>
                <w:sz w:val="22"/>
              </w:rPr>
            </w:pPr>
            <w:r>
              <w:rPr>
                <w:sz w:val="22"/>
              </w:rPr>
            </w:r>
          </w:p>
        </w:tc>
        <w:tc>
          <w:tcPr>
            <w:tcW w:w="1930" w:type="dxa"/>
            <w:tcBorders/>
            <w:shd w:color="auto" w:fill="auto" w:val="clear"/>
            <w:tcMar>
              <w:left w:w="68" w:type="dxa"/>
            </w:tcMar>
          </w:tcPr>
          <w:p>
            <w:pPr>
              <w:pStyle w:val="Normal"/>
              <w:jc w:val="center"/>
              <w:rPr>
                <w:sz w:val="22"/>
              </w:rPr>
            </w:pPr>
            <w:r>
              <w:rPr>
                <w:sz w:val="22"/>
              </w:rPr>
              <w:t>III E</w:t>
            </w:r>
          </w:p>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sz w:val="22"/>
              </w:rPr>
            </w:pPr>
            <w:r>
              <w:rPr>
                <w:sz w:val="22"/>
              </w:rPr>
              <w:t>-</w:t>
            </w:r>
          </w:p>
        </w:tc>
        <w:tc>
          <w:tcPr>
            <w:tcW w:w="1920" w:type="dxa"/>
            <w:tcBorders/>
            <w:shd w:color="auto" w:fill="auto" w:val="clear"/>
            <w:tcMar>
              <w:left w:w="68" w:type="dxa"/>
            </w:tcMar>
          </w:tcPr>
          <w:p>
            <w:pPr>
              <w:pStyle w:val="Normal"/>
              <w:jc w:val="center"/>
              <w:rPr>
                <w:sz w:val="22"/>
              </w:rPr>
            </w:pPr>
            <w:r>
              <w:rPr>
                <w:sz w:val="22"/>
              </w:rPr>
              <w:t>Prep. all’esame</w:t>
            </w:r>
          </w:p>
        </w:tc>
        <w:tc>
          <w:tcPr>
            <w:tcW w:w="1928" w:type="dxa"/>
            <w:tcBorders/>
            <w:shd w:color="auto" w:fill="auto" w:val="clear"/>
            <w:tcMar>
              <w:left w:w="68" w:type="dxa"/>
            </w:tcMar>
          </w:tcPr>
          <w:p>
            <w:pPr>
              <w:pStyle w:val="Normal"/>
              <w:jc w:val="center"/>
              <w:rPr>
                <w:sz w:val="22"/>
              </w:rPr>
            </w:pPr>
            <w:r>
              <w:rPr>
                <w:sz w:val="22"/>
              </w:rPr>
              <w:t>Prep. all’esame</w:t>
            </w:r>
          </w:p>
        </w:tc>
        <w:tc>
          <w:tcPr>
            <w:tcW w:w="1924"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30" w:type="dxa"/>
            <w:tcBorders/>
            <w:shd w:color="auto" w:fill="auto" w:val="clear"/>
            <w:tcMar>
              <w:left w:w="68" w:type="dxa"/>
            </w:tcMar>
          </w:tcPr>
          <w:p>
            <w:pPr>
              <w:pStyle w:val="Normal"/>
              <w:jc w:val="center"/>
              <w:rPr>
                <w:sz w:val="22"/>
              </w:rPr>
            </w:pPr>
            <w:r>
              <w:rPr>
                <w:sz w:val="22"/>
              </w:rPr>
              <w:t>Prep. all’esame</w:t>
            </w:r>
          </w:p>
        </w:tc>
      </w:tr>
      <w:tr>
        <w:trPr/>
        <w:tc>
          <w:tcPr>
            <w:tcW w:w="1925" w:type="dxa"/>
            <w:tcBorders/>
            <w:shd w:color="auto" w:fill="auto" w:val="clear"/>
            <w:tcMar>
              <w:left w:w="68" w:type="dxa"/>
            </w:tcMar>
          </w:tcPr>
          <w:p>
            <w:pPr>
              <w:pStyle w:val="Normal"/>
              <w:jc w:val="center"/>
              <w:rPr>
                <w:sz w:val="22"/>
              </w:rPr>
            </w:pPr>
            <w:r>
              <w:rPr>
                <w:sz w:val="22"/>
              </w:rPr>
              <w:t>Lab. Italiano L2</w:t>
            </w:r>
          </w:p>
        </w:tc>
        <w:tc>
          <w:tcPr>
            <w:tcW w:w="1920" w:type="dxa"/>
            <w:tcBorders/>
            <w:shd w:color="auto" w:fill="auto" w:val="clear"/>
            <w:tcMar>
              <w:left w:w="68" w:type="dxa"/>
            </w:tcMar>
          </w:tcPr>
          <w:p>
            <w:pPr>
              <w:pStyle w:val="Normal"/>
              <w:jc w:val="center"/>
              <w:rPr>
                <w:sz w:val="22"/>
              </w:rPr>
            </w:pPr>
            <w:r>
              <w:rPr>
                <w:sz w:val="22"/>
              </w:rPr>
              <w:t>Prep. all’esame</w:t>
            </w:r>
          </w:p>
        </w:tc>
        <w:tc>
          <w:tcPr>
            <w:tcW w:w="1928" w:type="dxa"/>
            <w:tcBorders/>
            <w:shd w:color="auto" w:fill="auto" w:val="clear"/>
            <w:tcMar>
              <w:left w:w="68" w:type="dxa"/>
            </w:tcMar>
          </w:tcPr>
          <w:p>
            <w:pPr>
              <w:pStyle w:val="Normal"/>
              <w:jc w:val="center"/>
              <w:rPr>
                <w:sz w:val="22"/>
              </w:rPr>
            </w:pPr>
            <w:r>
              <w:rPr>
                <w:sz w:val="22"/>
              </w:rPr>
              <w:t>Prep. all’esame</w:t>
            </w:r>
          </w:p>
        </w:tc>
        <w:tc>
          <w:tcPr>
            <w:tcW w:w="1924"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30" w:type="dxa"/>
            <w:tcBorders/>
            <w:shd w:color="auto" w:fill="auto" w:val="clear"/>
            <w:tcMar>
              <w:left w:w="68" w:type="dxa"/>
            </w:tcMar>
          </w:tcPr>
          <w:p>
            <w:pPr>
              <w:pStyle w:val="Normal"/>
              <w:jc w:val="center"/>
              <w:rPr>
                <w:sz w:val="22"/>
              </w:rPr>
            </w:pPr>
            <w:r>
              <w:rPr>
                <w:sz w:val="22"/>
              </w:rPr>
              <w:t>Prep. all’esame</w:t>
            </w:r>
          </w:p>
        </w:tc>
      </w:tr>
      <w:tr>
        <w:trPr/>
        <w:tc>
          <w:tcPr>
            <w:tcW w:w="1925" w:type="dxa"/>
            <w:tcBorders/>
            <w:shd w:color="auto" w:fill="auto" w:val="clear"/>
            <w:tcMar>
              <w:left w:w="68" w:type="dxa"/>
            </w:tcMar>
          </w:tcPr>
          <w:p>
            <w:pPr>
              <w:pStyle w:val="Normal"/>
              <w:jc w:val="center"/>
              <w:rPr>
                <w:sz w:val="22"/>
              </w:rPr>
            </w:pPr>
            <w:r>
              <w:rPr>
                <w:sz w:val="22"/>
              </w:rPr>
              <w:t>-</w:t>
            </w:r>
          </w:p>
        </w:tc>
        <w:tc>
          <w:tcPr>
            <w:tcW w:w="1920" w:type="dxa"/>
            <w:tcBorders/>
            <w:shd w:color="auto" w:fill="auto" w:val="clear"/>
            <w:tcMar>
              <w:left w:w="68" w:type="dxa"/>
            </w:tcMar>
          </w:tcPr>
          <w:p>
            <w:pPr>
              <w:pStyle w:val="Normal"/>
              <w:jc w:val="center"/>
              <w:rPr>
                <w:sz w:val="22"/>
              </w:rPr>
            </w:pPr>
            <w:r>
              <w:rPr>
                <w:sz w:val="22"/>
              </w:rPr>
              <w:t>-</w:t>
            </w:r>
          </w:p>
        </w:tc>
        <w:tc>
          <w:tcPr>
            <w:tcW w:w="1928" w:type="dxa"/>
            <w:tcBorders/>
            <w:shd w:color="auto" w:fill="auto" w:val="clear"/>
            <w:tcMar>
              <w:left w:w="68" w:type="dxa"/>
            </w:tcMar>
          </w:tcPr>
          <w:p>
            <w:pPr>
              <w:pStyle w:val="Normal"/>
              <w:jc w:val="center"/>
              <w:rPr>
                <w:sz w:val="22"/>
              </w:rPr>
            </w:pPr>
            <w:r>
              <w:rPr>
                <w:sz w:val="22"/>
              </w:rPr>
              <w:t>Prep. all’esame</w:t>
            </w:r>
          </w:p>
        </w:tc>
        <w:tc>
          <w:tcPr>
            <w:tcW w:w="1924"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30" w:type="dxa"/>
            <w:tcBorders/>
            <w:shd w:color="auto" w:fill="auto" w:val="clear"/>
            <w:tcMar>
              <w:left w:w="68" w:type="dxa"/>
            </w:tcMar>
          </w:tcPr>
          <w:p>
            <w:pPr>
              <w:pStyle w:val="Normal"/>
              <w:jc w:val="center"/>
              <w:rPr>
                <w:sz w:val="22"/>
              </w:rPr>
            </w:pPr>
            <w:r>
              <w:rPr>
                <w:sz w:val="22"/>
              </w:rPr>
              <w:t>Prep. all’esame</w:t>
            </w:r>
          </w:p>
        </w:tc>
      </w:tr>
      <w:tr>
        <w:trPr/>
        <w:tc>
          <w:tcPr>
            <w:tcW w:w="1925" w:type="dxa"/>
            <w:tcBorders/>
            <w:shd w:color="auto" w:fill="auto" w:val="clear"/>
            <w:tcMar>
              <w:left w:w="68" w:type="dxa"/>
            </w:tcMar>
          </w:tcPr>
          <w:p>
            <w:pPr>
              <w:pStyle w:val="Normal"/>
              <w:jc w:val="center"/>
              <w:rPr>
                <w:sz w:val="22"/>
              </w:rPr>
            </w:pPr>
            <w:r>
              <w:rPr>
                <w:sz w:val="22"/>
              </w:rPr>
              <w:t>Preparazione all’esame</w:t>
            </w:r>
          </w:p>
        </w:tc>
        <w:tc>
          <w:tcPr>
            <w:tcW w:w="1920" w:type="dxa"/>
            <w:tcBorders/>
            <w:shd w:color="auto" w:fill="auto" w:val="clear"/>
            <w:tcMar>
              <w:left w:w="68" w:type="dxa"/>
            </w:tcMar>
          </w:tcPr>
          <w:p>
            <w:pPr>
              <w:pStyle w:val="Normal"/>
              <w:rPr>
                <w:sz w:val="22"/>
              </w:rPr>
            </w:pPr>
            <w:r>
              <w:rPr>
                <w:sz w:val="22"/>
              </w:rPr>
            </w:r>
          </w:p>
        </w:tc>
        <w:tc>
          <w:tcPr>
            <w:tcW w:w="1928" w:type="dxa"/>
            <w:tcBorders/>
            <w:shd w:color="auto" w:fill="auto" w:val="clear"/>
            <w:tcMar>
              <w:left w:w="68" w:type="dxa"/>
            </w:tcMar>
          </w:tcPr>
          <w:p>
            <w:pPr>
              <w:pStyle w:val="Normal"/>
              <w:jc w:val="center"/>
              <w:rPr>
                <w:sz w:val="22"/>
              </w:rPr>
            </w:pPr>
            <w:r>
              <w:rPr>
                <w:sz w:val="22"/>
              </w:rPr>
              <w:t>-</w:t>
            </w:r>
          </w:p>
        </w:tc>
        <w:tc>
          <w:tcPr>
            <w:tcW w:w="1924"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sz w:val="22"/>
              </w:rPr>
            </w:pPr>
            <w:r>
              <w:rPr>
                <w:sz w:val="22"/>
              </w:rPr>
              <w:t>-</w:t>
            </w:r>
          </w:p>
        </w:tc>
        <w:tc>
          <w:tcPr>
            <w:tcW w:w="1920" w:type="dxa"/>
            <w:tcBorders/>
            <w:shd w:color="auto" w:fill="auto" w:val="clear"/>
            <w:tcMar>
              <w:left w:w="68" w:type="dxa"/>
            </w:tcMar>
          </w:tcPr>
          <w:p>
            <w:pPr>
              <w:pStyle w:val="Normal"/>
              <w:jc w:val="center"/>
              <w:rPr>
                <w:sz w:val="22"/>
              </w:rPr>
            </w:pPr>
            <w:r>
              <w:rPr>
                <w:sz w:val="22"/>
              </w:rPr>
            </w:r>
          </w:p>
        </w:tc>
        <w:tc>
          <w:tcPr>
            <w:tcW w:w="1928"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24" w:type="dxa"/>
            <w:tcBorders/>
            <w:shd w:color="auto" w:fill="auto" w:val="clear"/>
            <w:tcMar>
              <w:left w:w="68" w:type="dxa"/>
            </w:tcMar>
          </w:tcPr>
          <w:p>
            <w:pPr>
              <w:pStyle w:val="Normal"/>
              <w:jc w:val="center"/>
              <w:rPr>
                <w:sz w:val="22"/>
              </w:rPr>
            </w:pPr>
            <w:r>
              <w:rPr>
                <w:sz w:val="22"/>
              </w:rPr>
              <w:t>Prep. all’esame</w:t>
            </w:r>
          </w:p>
          <w:p>
            <w:pPr>
              <w:pStyle w:val="Normal"/>
              <w:jc w:val="center"/>
              <w:rPr>
                <w:sz w:val="22"/>
              </w:rPr>
            </w:pPr>
            <w:r>
              <w:rPr>
                <w:sz w:val="22"/>
              </w:rPr>
              <w:t>Lab. Italiano L2</w:t>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sz w:val="22"/>
              </w:rPr>
            </w:pPr>
            <w:r>
              <w:rPr>
                <w:sz w:val="22"/>
              </w:rPr>
              <w:t>-</w:t>
            </w:r>
          </w:p>
        </w:tc>
        <w:tc>
          <w:tcPr>
            <w:tcW w:w="1920" w:type="dxa"/>
            <w:tcBorders/>
            <w:shd w:color="auto" w:fill="auto" w:val="clear"/>
            <w:tcMar>
              <w:left w:w="68" w:type="dxa"/>
            </w:tcMar>
          </w:tcPr>
          <w:p>
            <w:pPr>
              <w:pStyle w:val="Normal"/>
              <w:rPr>
                <w:sz w:val="22"/>
              </w:rPr>
            </w:pPr>
            <w:r>
              <w:rPr>
                <w:sz w:val="22"/>
              </w:rPr>
            </w:r>
          </w:p>
        </w:tc>
        <w:tc>
          <w:tcPr>
            <w:tcW w:w="1928" w:type="dxa"/>
            <w:tcBorders/>
            <w:shd w:color="auto" w:fill="auto" w:val="clear"/>
            <w:tcMar>
              <w:left w:w="68" w:type="dxa"/>
            </w:tcMar>
          </w:tcPr>
          <w:p>
            <w:pPr>
              <w:pStyle w:val="Normal"/>
              <w:jc w:val="center"/>
              <w:rPr>
                <w:sz w:val="22"/>
              </w:rPr>
            </w:pPr>
            <w:r>
              <w:rPr>
                <w:sz w:val="22"/>
              </w:rPr>
            </w:r>
          </w:p>
        </w:tc>
        <w:tc>
          <w:tcPr>
            <w:tcW w:w="1924" w:type="dxa"/>
            <w:tcBorders/>
            <w:shd w:color="auto" w:fill="auto" w:val="clear"/>
            <w:tcMar>
              <w:left w:w="68" w:type="dxa"/>
            </w:tcMar>
          </w:tcPr>
          <w:p>
            <w:pPr>
              <w:pStyle w:val="Normal"/>
              <w:jc w:val="center"/>
              <w:rPr>
                <w:sz w:val="22"/>
              </w:rPr>
            </w:pPr>
            <w:r>
              <w:rPr>
                <w:sz w:val="22"/>
              </w:rPr>
            </w:r>
          </w:p>
        </w:tc>
        <w:tc>
          <w:tcPr>
            <w:tcW w:w="1930" w:type="dxa"/>
            <w:tcBorders/>
            <w:shd w:color="auto" w:fill="auto" w:val="clear"/>
            <w:tcMar>
              <w:left w:w="68" w:type="dxa"/>
            </w:tcMar>
          </w:tcPr>
          <w:p>
            <w:pPr>
              <w:pStyle w:val="Normal"/>
              <w:jc w:val="center"/>
              <w:rPr>
                <w:sz w:val="22"/>
              </w:rPr>
            </w:pPr>
            <w:r>
              <w:rPr>
                <w:sz w:val="22"/>
              </w:rPr>
            </w:r>
          </w:p>
        </w:tc>
      </w:tr>
      <w:tr>
        <w:trPr/>
        <w:tc>
          <w:tcPr>
            <w:tcW w:w="1925" w:type="dxa"/>
            <w:tcBorders/>
            <w:shd w:color="auto" w:fill="auto" w:val="clear"/>
            <w:tcMar>
              <w:left w:w="68" w:type="dxa"/>
            </w:tcMar>
          </w:tcPr>
          <w:p>
            <w:pPr>
              <w:pStyle w:val="Normal"/>
              <w:jc w:val="center"/>
              <w:rPr>
                <w:sz w:val="22"/>
              </w:rPr>
            </w:pPr>
            <w:r>
              <w:rPr>
                <w:sz w:val="22"/>
              </w:rPr>
              <w:t xml:space="preserve">Totale: 33% </w:t>
            </w:r>
          </w:p>
        </w:tc>
        <w:tc>
          <w:tcPr>
            <w:tcW w:w="1920" w:type="dxa"/>
            <w:tcBorders/>
            <w:shd w:color="auto" w:fill="auto" w:val="clear"/>
            <w:tcMar>
              <w:left w:w="68" w:type="dxa"/>
            </w:tcMar>
          </w:tcPr>
          <w:p>
            <w:pPr>
              <w:pStyle w:val="Normal"/>
              <w:jc w:val="center"/>
              <w:rPr>
                <w:sz w:val="22"/>
              </w:rPr>
            </w:pPr>
            <w:r>
              <w:rPr>
                <w:sz w:val="22"/>
              </w:rPr>
              <w:t>Totale: 67%</w:t>
            </w:r>
          </w:p>
        </w:tc>
        <w:tc>
          <w:tcPr>
            <w:tcW w:w="1928" w:type="dxa"/>
            <w:tcBorders/>
            <w:shd w:color="auto" w:fill="auto" w:val="clear"/>
            <w:tcMar>
              <w:left w:w="68" w:type="dxa"/>
            </w:tcMar>
          </w:tcPr>
          <w:p>
            <w:pPr>
              <w:pStyle w:val="Normal"/>
              <w:jc w:val="center"/>
              <w:rPr>
                <w:sz w:val="22"/>
              </w:rPr>
            </w:pPr>
            <w:r>
              <w:rPr>
                <w:sz w:val="22"/>
              </w:rPr>
              <w:t>Totale: 80%</w:t>
            </w:r>
          </w:p>
        </w:tc>
        <w:tc>
          <w:tcPr>
            <w:tcW w:w="1924" w:type="dxa"/>
            <w:tcBorders/>
            <w:shd w:color="auto" w:fill="auto" w:val="clear"/>
            <w:tcMar>
              <w:left w:w="68" w:type="dxa"/>
            </w:tcMar>
          </w:tcPr>
          <w:p>
            <w:pPr>
              <w:pStyle w:val="Normal"/>
              <w:jc w:val="center"/>
              <w:rPr>
                <w:sz w:val="22"/>
              </w:rPr>
            </w:pPr>
            <w:r>
              <w:rPr>
                <w:sz w:val="22"/>
              </w:rPr>
              <w:t>Totale: 100%</w:t>
            </w:r>
          </w:p>
        </w:tc>
        <w:tc>
          <w:tcPr>
            <w:tcW w:w="1930" w:type="dxa"/>
            <w:tcBorders/>
            <w:shd w:color="auto" w:fill="auto" w:val="clear"/>
            <w:tcMar>
              <w:left w:w="68" w:type="dxa"/>
            </w:tcMar>
          </w:tcPr>
          <w:p>
            <w:pPr>
              <w:pStyle w:val="Normal"/>
              <w:jc w:val="center"/>
              <w:rPr>
                <w:sz w:val="22"/>
              </w:rPr>
            </w:pPr>
            <w:r>
              <w:rPr>
                <w:sz w:val="22"/>
              </w:rPr>
              <w:t>Totale: 100%</w:t>
            </w:r>
          </w:p>
        </w:tc>
      </w:tr>
    </w:tbl>
    <w:p>
      <w:pPr>
        <w:pStyle w:val="Normal"/>
        <w:rPr/>
      </w:pPr>
      <w:r>
        <w:rPr/>
        <w:t>Tabella 2. La partecipazione dei nuovi italiani (un alunno per riga) ad attività di potenziamento fuori dalla classe.</w:t>
      </w:r>
    </w:p>
    <w:p>
      <w:pPr>
        <w:pStyle w:val="Normal"/>
        <w:rPr/>
      </w:pPr>
      <w:r>
        <w:rPr/>
      </w:r>
    </w:p>
    <w:p>
      <w:pPr>
        <w:pStyle w:val="Normal"/>
        <w:rPr/>
      </w:pPr>
      <w:r>
        <w:rPr/>
      </w:r>
    </w:p>
    <w:p>
      <w:pPr>
        <w:pStyle w:val="Normal"/>
        <w:rPr/>
      </w:pPr>
      <w:r>
        <w:rPr/>
      </w:r>
    </w:p>
    <w:p>
      <w:pPr>
        <w:pStyle w:val="Normal"/>
        <w:rPr/>
      </w:pPr>
      <w:r>
        <w:rPr/>
      </w:r>
    </w:p>
    <w:p>
      <w:pPr>
        <w:pStyle w:val="ListParagraph"/>
        <w:numPr>
          <w:ilvl w:val="0"/>
          <w:numId w:val="1"/>
        </w:numPr>
        <w:rPr/>
      </w:pPr>
      <w:r>
        <w:rPr/>
        <w:t xml:space="preserve">Risultati della sperimentazione </w:t>
      </w:r>
    </w:p>
    <w:p>
      <w:pPr>
        <w:pStyle w:val="ListParagraph"/>
        <w:rPr/>
      </w:pPr>
      <w:r>
        <w:rPr/>
      </w:r>
    </w:p>
    <w:p>
      <w:pPr>
        <w:pStyle w:val="Normal"/>
        <w:rPr/>
      </w:pPr>
      <w:r>
        <w:rPr/>
        <w:t xml:space="preserve">I dati che discuteremo riguardano i risultati della prova Invalsi di lingua italiana somministrata nell’esame finale della classe terza nel giugno 2015 (www.invalsi.it). La prova ha l’obiettivo di misurare le competenze nella comprensione del testo e le conoscenze relative al lessico e alla grammatica, con domande relative a due testi riportati e quesiti di analisi su esempi </w:t>
      </w:r>
      <w:r>
        <w:rPr>
          <w:i/>
        </w:rPr>
        <w:t>ad hoc</w:t>
      </w:r>
      <w:r>
        <w:rPr/>
        <w:t xml:space="preserve"> (Lo Duca 2014). </w:t>
      </w:r>
    </w:p>
    <w:p>
      <w:pPr>
        <w:pStyle w:val="ListParagraph"/>
        <w:rPr/>
      </w:pPr>
      <w:r>
        <w:rPr/>
      </w:r>
    </w:p>
    <w:p>
      <w:pPr>
        <w:pStyle w:val="ListParagraph"/>
        <w:rPr/>
      </w:pPr>
      <w:r>
        <w:rPr/>
      </w:r>
    </w:p>
    <w:tbl>
      <w:tblPr>
        <w:tblW w:w="9638" w:type="dxa"/>
        <w:jc w:val="left"/>
        <w:tblInd w:w="19" w:type="dxa"/>
        <w:tblBorders>
          <w:top w:val="single" w:sz="2" w:space="0" w:color="000001"/>
          <w:left w:val="single" w:sz="2" w:space="0" w:color="000001"/>
          <w:bottom w:val="single" w:sz="2" w:space="0" w:color="000001"/>
          <w:insideH w:val="single" w:sz="2" w:space="0" w:color="000001"/>
        </w:tblBorders>
        <w:tblCellMar>
          <w:top w:w="0" w:type="dxa"/>
          <w:left w:w="15" w:type="dxa"/>
          <w:bottom w:w="0" w:type="dxa"/>
          <w:right w:w="28" w:type="dxa"/>
        </w:tblCellMar>
        <w:tblLook w:val="04a0" w:noVBand="1" w:noHBand="0" w:lastColumn="0" w:firstColumn="1" w:lastRow="0" w:firstRow="1"/>
      </w:tblPr>
      <w:tblGrid>
        <w:gridCol w:w="1828"/>
        <w:gridCol w:w="1602"/>
        <w:gridCol w:w="1099"/>
        <w:gridCol w:w="1100"/>
        <w:gridCol w:w="1100"/>
        <w:gridCol w:w="1099"/>
        <w:gridCol w:w="1809"/>
      </w:tblGrid>
      <w:tr>
        <w:trPr>
          <w:trHeight w:val="405"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sz w:val="22"/>
                <w:szCs w:val="22"/>
              </w:rPr>
              <w:t>III A</w:t>
            </w:r>
          </w:p>
          <w:p>
            <w:pPr>
              <w:pStyle w:val="Normal"/>
              <w:ind w:hanging="0"/>
              <w:jc w:val="center"/>
              <w:rPr/>
            </w:pPr>
            <w:r>
              <w:rPr>
                <w:sz w:val="22"/>
                <w:szCs w:val="22"/>
              </w:rPr>
              <w:t>(sperimentale)</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sz w:val="22"/>
                <w:szCs w:val="22"/>
              </w:rPr>
              <w:t>III B</w:t>
            </w:r>
          </w:p>
          <w:p>
            <w:pPr>
              <w:pStyle w:val="Normal"/>
              <w:jc w:val="center"/>
              <w:rPr>
                <w:sz w:val="22"/>
              </w:rPr>
            </w:pPr>
            <w:r>
              <w:rPr>
                <w:sz w:val="22"/>
              </w:rPr>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sz w:val="22"/>
                <w:szCs w:val="22"/>
              </w:rPr>
              <w:t>III C</w:t>
            </w:r>
          </w:p>
          <w:p>
            <w:pPr>
              <w:pStyle w:val="Normal"/>
              <w:jc w:val="center"/>
              <w:rPr>
                <w:sz w:val="22"/>
              </w:rPr>
            </w:pPr>
            <w:r>
              <w:rPr>
                <w:sz w:val="22"/>
              </w:rPr>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sz w:val="22"/>
                <w:szCs w:val="22"/>
              </w:rPr>
              <w:t>III D</w:t>
            </w:r>
          </w:p>
          <w:p>
            <w:pPr>
              <w:pStyle w:val="Normal"/>
              <w:jc w:val="center"/>
              <w:rPr>
                <w:sz w:val="22"/>
              </w:rPr>
            </w:pPr>
            <w:r>
              <w:rPr>
                <w:sz w:val="22"/>
              </w:rPr>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center"/>
              <w:rPr/>
            </w:pPr>
            <w:r>
              <w:rPr>
                <w:sz w:val="22"/>
                <w:szCs w:val="22"/>
              </w:rPr>
              <w:t>III E</w:t>
            </w:r>
          </w:p>
          <w:p>
            <w:pPr>
              <w:pStyle w:val="Normal"/>
              <w:jc w:val="center"/>
              <w:rPr>
                <w:sz w:val="22"/>
              </w:rPr>
            </w:pPr>
            <w:r>
              <w:rPr>
                <w:sz w:val="22"/>
              </w:rPr>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ind w:hanging="0"/>
              <w:jc w:val="left"/>
              <w:rPr>
                <w:highlight w:val="yellow"/>
              </w:rPr>
            </w:pPr>
            <w:r>
              <w:rPr/>
              <w:t xml:space="preserve">Media – </w:t>
            </w:r>
          </w:p>
          <w:p>
            <w:pPr>
              <w:pStyle w:val="Normal"/>
              <w:ind w:hanging="0"/>
              <w:jc w:val="left"/>
              <w:rPr/>
            </w:pPr>
            <w:r>
              <w:rPr/>
              <w:t>classi di controllo</w:t>
            </w:r>
          </w:p>
        </w:tc>
      </w:tr>
      <w:tr>
        <w:trPr>
          <w:trHeight w:val="625"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Punteggio medio - classe</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38,55</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35,2</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36,4</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34,11</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37,11</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35,69</w:t>
            </w:r>
          </w:p>
        </w:tc>
      </w:tr>
      <w:tr>
        <w:trPr>
          <w:trHeight w:val="575"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Punteggio medio - italiani</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41,64</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39</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41,8</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39,79</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39,53</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40</w:t>
            </w:r>
          </w:p>
        </w:tc>
      </w:tr>
      <w:tr>
        <w:trPr>
          <w:trHeight w:val="675"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Punteggio medio – nuovi italiani</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31,33</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13,67</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20,2</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18,2</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25</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19,25</w:t>
            </w:r>
          </w:p>
        </w:tc>
      </w:tr>
      <w:tr>
        <w:trPr>
          <w:trHeight w:val="675"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Differenza fra medie nuovi italiani e italiani</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-10,31</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-25,33</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-21,6</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-21,59</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-14,53</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-20,75</w:t>
            </w:r>
          </w:p>
        </w:tc>
      </w:tr>
      <w:tr>
        <w:trPr>
          <w:trHeight w:val="512"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Deviazione standard</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9,82</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13,63</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12,86</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13,3</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10,68</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12,51</w:t>
            </w:r>
          </w:p>
        </w:tc>
      </w:tr>
      <w:tr>
        <w:trPr>
          <w:trHeight w:val="563" w:hRule="atLeast"/>
        </w:trPr>
        <w:tc>
          <w:tcPr>
            <w:tcW w:w="1828"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ind w:hanging="0"/>
              <w:jc w:val="left"/>
              <w:rPr>
                <w:highlight w:val="yellow"/>
              </w:rPr>
            </w:pPr>
            <w:r>
              <w:rPr/>
              <w:t>Coefficiente di variazione</w:t>
            </w:r>
          </w:p>
        </w:tc>
        <w:tc>
          <w:tcPr>
            <w:tcW w:w="1602"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0,25</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0,39</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0,35</w:t>
            </w:r>
          </w:p>
        </w:tc>
        <w:tc>
          <w:tcPr>
            <w:tcW w:w="1100"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0,39</w:t>
            </w:r>
          </w:p>
        </w:tc>
        <w:tc>
          <w:tcPr>
            <w:tcW w:w="1099" w:type="dxa"/>
            <w:tcBorders>
              <w:top w:val="single" w:sz="2" w:space="0" w:color="000001"/>
              <w:left w:val="single" w:sz="2" w:space="0" w:color="000001"/>
              <w:bottom w:val="single" w:sz="2" w:space="0" w:color="000001"/>
              <w:insideH w:val="single" w:sz="2" w:space="0" w:color="000001"/>
            </w:tcBorders>
            <w:shd w:color="auto" w:fill="auto" w:val="clear"/>
            <w:tcMar>
              <w:left w:w="15" w:type="dxa"/>
            </w:tcMar>
          </w:tcPr>
          <w:p>
            <w:pPr>
              <w:pStyle w:val="Normal"/>
              <w:jc w:val="right"/>
              <w:rPr/>
            </w:pPr>
            <w:r>
              <w:rPr/>
              <w:t>0,29</w:t>
            </w:r>
          </w:p>
        </w:tc>
        <w:tc>
          <w:tcPr>
            <w:tcW w:w="1809"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color="auto" w:fill="auto" w:val="clear"/>
            <w:tcMar>
              <w:left w:w="15" w:type="dxa"/>
            </w:tcMar>
          </w:tcPr>
          <w:p>
            <w:pPr>
              <w:pStyle w:val="Normal"/>
              <w:jc w:val="right"/>
              <w:rPr/>
            </w:pPr>
            <w:r>
              <w:rPr/>
              <w:t>0,35</w:t>
            </w:r>
          </w:p>
        </w:tc>
      </w:tr>
    </w:tbl>
    <w:p>
      <w:pPr>
        <w:pStyle w:val="ListParagraph"/>
        <w:rPr/>
      </w:pPr>
      <w:r>
        <w:rPr/>
        <w:t>Tabella 3. I risultati della prova Invalsi</w:t>
      </w:r>
    </w:p>
    <w:p>
      <w:pPr>
        <w:pStyle w:val="ListParagraph"/>
        <w:rPr/>
      </w:pPr>
      <w:r>
        <w:rPr/>
      </w:r>
    </w:p>
    <w:p>
      <w:pPr>
        <w:pStyle w:val="Normal"/>
        <w:rPr/>
      </w:pPr>
      <w:r>
        <w:rPr/>
        <w:t xml:space="preserve">La tabella 3 presenta i risultati per la classe sperimentale e quelle di controllo, queste ultime esaminate sia individualmente che nel loro complesso. Come si vede, la classe sperimentale ottiene un risultato superiore a tutte le altre classi, anche se la differenza non è statisticamente significativa (Welch t test, t = -1,0929, df = 36,751, p = 0,28). Ciò è dovuto in piccola parte al buon andamento degli alunni italiani, che con il loro punteggio medio di 41,64 risultano secondi solo alla classe di controllo III C, ma soprattutto agli alunni nuovi italiani, il cui punteggio medio di 31,33 risulta largamente superiore a quello di tutte le classi di controllo, con una differenza statisticamente significativa (Welch t test, t = -3,7992, df = 16,975, p = 0,0014). In tali classi, gli alunni nuovi italiani ottengono in media 19,25 punti, con un minimo di 13,67 nella III B. Ciò significa che nella classe sperimentale la differenza tra italiani e nuovi italiani è di 10,31 punti (circa il 25% in meno), mentre in quelle di controllo è mediamente di 20,75, cioè il loro punteggio è la metà di quello dei compagni italiani. </w:t>
      </w:r>
    </w:p>
    <w:p>
      <w:pPr>
        <w:pStyle w:val="Normal"/>
        <w:rPr/>
      </w:pPr>
      <w:r>
        <w:rPr/>
        <w:t xml:space="preserve">Se è vero che in quasi tutte le classi ci sono uno o due alunni in Italia da meno di due anni (in misura maggiore nella classe sperimentale), è anche vero che la maggior parte di loro è in Italia da più di 5 anni, e diversi sono nati in Italia. Interessante da questo punto di vista è il caso della III E, i cui tre alunni nuovi italiani sono tutti nati in Italia. Indubbiamente il loro punteggio medio (25,0) è più alto di quello dei nuovi italiani di altre classi di controllo, ma rimane comunque più basso rispetto a quelli della classe sperimentale (31,33), che aveva esattamente il doppio di alunni non nativi, nessuno dei quali nato in Italia. Vale la pena notare anche come nella classe III B ci fossero solo tre alunni nuovi italiani, uno dei quali nato in Italia e uno arrivato da 7 anni, e nonostante ciò il loro punteggio medio è il più basso di tutti, un disastroso 13,67 che corrisponde esattamente a un terzo del risultato degli italiani della stessa classe. </w:t>
      </w:r>
    </w:p>
    <w:p>
      <w:pPr>
        <w:pStyle w:val="Normal"/>
        <w:rPr/>
      </w:pPr>
      <w:r>
        <w:rPr/>
        <w:t xml:space="preserve">Dunque, è chiaro che al termine della scuola secondaria di primo grado nella classe sperimentale gli alunni nuovi italiani hanno uno svantaggio molto minore. Che i risultati siano più omogenei in questa classe appare anche guardando la deviazione standard, che misura il grado di dispersione dei diversi punteggi intorno alla media, e il coefficiente di variazione, che rapporta la deviazione standard alla media, in modo da dare un indice relativo e comparabile anche in presenza di medie diverse, come è il nostro caso. Nella tabella 3 si nota che il coefficiente di variazione dell’intera classe è nettamente più basso nella condizione sperimentale: 0,25 contro 0,35 nelle quattro classi di controllo prese insieme. Inoltre, se scorporiamo i dati di italiani e nuovi italiani (non riportati in tabella), risulta che i coefficienti di variazione nella classe sperimentale e in quelle di controllo sono praticamente identici per quanto riguarda gli italiani (rispettivamente, 0,23 e 0,24), mentre sono ben diversi per i nuovi italiani: nella classe sperimentale il loro coefficiente di variazione è 0,16, mentre in quelle di controllo sale allo 0,50, il che significa che, per questi alunni in queste classi, le oscillazioni intorno alla media sono mediamente grandi quanto metà della media stessa. </w:t>
      </w:r>
    </w:p>
    <w:p>
      <w:pPr>
        <w:pStyle w:val="ListParagraph"/>
        <w:rPr/>
      </w:pPr>
      <w:r>
        <w:rPr/>
      </w:r>
    </w:p>
    <w:p>
      <w:pPr>
        <w:pStyle w:val="ListParagraph"/>
        <w:rPr/>
      </w:pPr>
      <w:r>
        <w:rPr/>
      </w:r>
    </w:p>
    <w:p>
      <w:pPr>
        <w:pStyle w:val="ListParagraph"/>
        <w:numPr>
          <w:ilvl w:val="0"/>
          <w:numId w:val="1"/>
        </w:numPr>
        <w:rPr/>
      </w:pPr>
      <w:r>
        <w:rPr/>
        <w:t>Osservazioni conclusive</w:t>
      </w:r>
    </w:p>
    <w:p>
      <w:pPr>
        <w:pStyle w:val="ListParagraph"/>
        <w:rPr/>
      </w:pPr>
      <w:r>
        <w:rPr/>
      </w:r>
    </w:p>
    <w:p>
      <w:pPr>
        <w:pStyle w:val="Normal"/>
        <w:rPr/>
      </w:pPr>
      <w:r>
        <w:rPr/>
        <w:t xml:space="preserve">Questo studio fornisce alcune evidenze empiriche di ciò che, a livello teorico, viene sostenuto da più parti: una buona educazione linguistica produce risultati positivi sia per l’intero gruppo classe, sia per quanto riguarda la riduzione degli svantaggi e delle disuguaglianze. Nella classe che ha partecipato alla sperimentazione, il livello complessivo è più alto che in tutte le classi di controllo, prese tanto individualmente che come gruppo. Ma ciò che risalta di più è che nella classe sperimentale gli alunni hanno profili più omogenei, in particolare per quanto riguarda il divario tra gli italiani e i nuovi italiani: sebbene questi ultimi abbiano in ogni caso un punteggio medio inferiore, la differenza è del 25% e non del 50% come nelle classi di controllo. </w:t>
      </w:r>
    </w:p>
    <w:p>
      <w:pPr>
        <w:pStyle w:val="Normal"/>
        <w:rPr/>
      </w:pPr>
      <w:r>
        <w:rPr/>
        <w:t>Certo, si tratta di un’indagine su un campione non ampio e con diverse limitazioni. In primo luogo, la sperimentazione è stata svolta solo per i primi due anni, e aveva come fine principale lo sviluppo delle competenze di scrittura: il suo impatto sulle abilità di lettura e grammatica misurate dalla prova Invalsi è dunque indiretto.</w:t>
      </w:r>
      <w:r>
        <w:rPr>
          <w:rStyle w:val="Richiamoallanotaapidipagina"/>
        </w:rPr>
        <w:footnoteReference w:id="5"/>
      </w:r>
      <w:r>
        <w:rPr/>
        <w:t xml:space="preserve"> Inoltre, la sperimentazione ha riguardato solo alcune ore del curricolo di italiano, e non è stato possibile appurare in modo dettagliato quali attività la classe sperimentale abbia svolto nel tempo rimanente: è probabile che la sua insegnante, indubbiamente motivata e capace, abbia fatto molto altro per favorire un buono sviluppo linguistico di tutti i suoi alunni. Resta il fatto, questo sì verificato oggettivamente, che i suoi alunni hanno svolto molte meno attività ‘speciali’ al di fuori della classe: solo un terzo di loro sono stati coinvolti in laboratori aggiuntivi, contro i due terzi o la totalità nelle classi di controllo. Ed è bene ricordare che, per quanto riguarda la composizione, non si trattava di una classe particolarmente favorita: la percentuale di alunni nuovi italiani era la più alta di tutto il campione, le lingue di origine erano le stesse e il periodo di permanenza in Italia era del tutto paragonabile a quello riscontrato nelle classi di controllo. </w:t>
      </w:r>
    </w:p>
    <w:p>
      <w:pPr>
        <w:pStyle w:val="Normal"/>
        <w:rPr/>
      </w:pPr>
      <w:r>
        <w:rPr/>
        <w:t xml:space="preserve">Questi dati confermano dunque ciò che già veniva riscontrato in occasione della prima indagine internazionale sistematica sui livelli di lettura condotta in Italia, lo studio IEA del 1992: la variabile insegnante è quella con il maggiore impatto sulle prestazioni degli alunni, un impatto di gran lunga superiore a quello del livello economico e socio-culturale della famiglia o dell’uso dell’italiano a casa (De Mauro 1996). Si conferma in altri termini quanto si è sempre saputo, e che forse talvolta non si ha il coraggio di dire ad alta voce: un buon insegnante fa la differenza. </w:t>
      </w:r>
    </w:p>
    <w:p>
      <w:pPr>
        <w:pStyle w:val="Normal"/>
        <w:rPr/>
      </w:pPr>
      <w:r>
        <w:rPr/>
        <w:t xml:space="preserve">Si noti che un gran numero di insegnanti di scuola secondaria di primo grado che non ha partecipato alla sperimentazione, qui come in altri contesti, afferma di trovare le attività proposte stimolanti e teoricamente valide, ma difficilmente si decide a metterle in pratica per timore di ‘non riuscire a svolgere il programma’. In un’epoca di </w:t>
      </w:r>
      <w:r>
        <w:rPr>
          <w:i/>
          <w:iCs/>
        </w:rPr>
        <w:t>Indicazioni</w:t>
      </w:r>
      <w:r>
        <w:rPr/>
        <w:t xml:space="preserve"> e di autonomia scolastica, è quantomeno curioso questo attaccamento al ‘programma’, che spesso coincide con i programmi di molti decenni fa, riprodotti fedelmente nell’indice dei libri di testo, quello sì il vero programma seguito da tanti insegnanti. Il sillabo di competenze dell’Invalsi non è mai stato dichiarato un vero e proprio ‘programma’ ufficiale, eppure esso viene a indicare, sia pure in modo implicito, una serie di obiettivi da raggiungere da parte di tutte le scuole. Curioso paradosso di un sistema educativo che da un lato si rifiuta di normare in modo forte i traguardi di apprendimento e dall’altro predispone prove di valutazione standardizzate. E per quanto riguarda questo ‘programma’, certamente discutibile ma comunque mediamente più sensato di ciò che si trova nell’indice di tanti libri di testo, le classi che seguono approcci “tradizionali” non raggiungono traguardi lusinghieri, e in particolare non li fanno raggiungere a chi avrebbe maggiore bisogno della scuola pubblica, cioè gli alunni che hanno l’italiano come seconda lingua e genitori che possono contribuire solo in piccola parte al loro sviluppo linguistico in italiano. </w:t>
      </w:r>
    </w:p>
    <w:p>
      <w:pPr>
        <w:pStyle w:val="Normal"/>
        <w:rPr/>
      </w:pPr>
      <w:r>
        <w:rPr/>
        <w:t xml:space="preserve">Infine, questi dati contribuiscono a far riflettere su alcune scelte di fondo di politica educativa per il trattamento degli svantaggi e delle differenze. Negli ultimi tempi, sono notevolmente cresciute le certificazioni di disturbi specifici dell’apprendimento e, in assenza di una certificazione medica che stabilisca una condizione patologica, si sono create sempre più categorie differenziali, l’ultima delle quali è quella dei Bisogni Educativi Speciali, o BES, che include, oltre alle patologie vere e proprie, anche tutta una gamma di condizioni socio-culturali e linguistiche di svantaggio (MIUR, </w:t>
      </w:r>
      <w:r>
        <w:rPr>
          <w:i/>
          <w:iCs/>
        </w:rPr>
        <w:t>Direttiva Ministeriale</w:t>
      </w:r>
      <w:r>
        <w:rPr/>
        <w:t xml:space="preserve"> 27/12/2012). Se da un lato è vero che gli alunni non sono tutti uguali, e che alcuni di loro hanno più bisogno di altri di essere assistiti nel loro percorso scolastico, è anche vero che il proliferare delle etichette di diversità rischia di condurre sempre più a pratiche di differenziazione delle attività, più facili per i bisognosi, più difficili, stimolanti e ambiziose per gli altri; oppure, per i primi, attività separate, speciali, al di fuori dalla classe, affidate a specialisti del disagio, per i secondi la didattica ‘normale’ condotta dall’insegnante di classe. I risultati di questo studio contribuiscono a mettere in dubbio un simile modello, mostrando come una didattica inclusiva, con molti lavori in gruppi misti volti a sviluppare competenze linguistiche funzionali, riesca in modo molto più efficace a ridurre le differenze, invece di cristallizzarle e amplificarle. </w:t>
      </w:r>
    </w:p>
    <w:p>
      <w:pPr>
        <w:pStyle w:val="ListParagraph"/>
        <w:rPr/>
      </w:pPr>
      <w:r>
        <w:rPr/>
      </w:r>
    </w:p>
    <w:p>
      <w:pPr>
        <w:pStyle w:val="ListParagraph"/>
        <w:rPr/>
      </w:pPr>
      <w:r>
        <w:rPr/>
      </w:r>
    </w:p>
    <w:p>
      <w:pPr>
        <w:pStyle w:val="ListParagraph"/>
        <w:rPr/>
      </w:pPr>
      <w:r>
        <w:rPr/>
        <w:t>Bibliografia</w:t>
      </w:r>
    </w:p>
    <w:p>
      <w:pPr>
        <w:pStyle w:val="Normal"/>
        <w:rPr/>
      </w:pPr>
      <w:r>
        <w:rPr/>
      </w:r>
    </w:p>
    <w:p>
      <w:pPr>
        <w:pStyle w:val="Paragrafobiblio"/>
        <w:rPr/>
      </w:pPr>
      <w:r>
        <w:rPr>
          <w:rFonts w:eastAsia="Times New Roman"/>
          <w:sz w:val="24"/>
          <w:szCs w:val="24"/>
          <w:lang w:val="it-IT"/>
        </w:rPr>
        <w:t>Andorno C. (2003), </w:t>
      </w:r>
      <w:r>
        <w:rPr>
          <w:rFonts w:eastAsia="Times New Roman"/>
          <w:i/>
          <w:iCs/>
          <w:sz w:val="24"/>
          <w:szCs w:val="24"/>
          <w:lang w:val="it-IT"/>
        </w:rPr>
        <w:t>Linguistica testuale. Un’introduzione</w:t>
      </w:r>
      <w:r>
        <w:rPr>
          <w:rFonts w:eastAsia="Times New Roman"/>
          <w:sz w:val="24"/>
          <w:szCs w:val="24"/>
          <w:lang w:val="it-IT"/>
        </w:rPr>
        <w:t xml:space="preserve">. </w:t>
      </w:r>
      <w:r>
        <w:rPr>
          <w:rFonts w:eastAsia="Times New Roman"/>
          <w:sz w:val="24"/>
          <w:szCs w:val="24"/>
          <w:lang w:val="en-US"/>
        </w:rPr>
        <w:t>Roma, Carocci.</w:t>
      </w:r>
    </w:p>
    <w:p>
      <w:pPr>
        <w:pStyle w:val="Paragrafobiblio"/>
        <w:rPr/>
      </w:pPr>
      <w:r>
        <w:rPr>
          <w:rFonts w:eastAsia="Times New Roman"/>
          <w:sz w:val="24"/>
          <w:szCs w:val="24"/>
          <w:lang w:val="en-US"/>
        </w:rPr>
        <w:t xml:space="preserve">Barabanti, P. (2015). Il nodo dell’apprendimento. Una comparazione fra studenti italiani, stranieri di prima e di seconda generazione. </w:t>
      </w:r>
      <w:r>
        <w:rPr>
          <w:rFonts w:eastAsia="Times New Roman"/>
          <w:i/>
          <w:iCs/>
          <w:sz w:val="24"/>
          <w:szCs w:val="24"/>
          <w:lang w:val="en-US"/>
        </w:rPr>
        <w:t>In Alunni con cittadinanza non italiana. Tra difficoltà e successi. Quaderni Ismu 1/2015</w:t>
      </w:r>
      <w:r>
        <w:rPr>
          <w:rFonts w:eastAsia="Times New Roman"/>
          <w:i w:val="false"/>
          <w:iCs w:val="false"/>
          <w:sz w:val="24"/>
          <w:szCs w:val="24"/>
          <w:lang w:val="en-US"/>
        </w:rPr>
        <w:t>: 81-99.</w:t>
      </w:r>
    </w:p>
    <w:p>
      <w:pPr>
        <w:pStyle w:val="Paragrafobiblio"/>
        <w:rPr/>
      </w:pPr>
      <w:r>
        <w:rPr>
          <w:rFonts w:eastAsia="Times New Roman"/>
          <w:sz w:val="24"/>
          <w:szCs w:val="24"/>
          <w:lang w:val="en-US"/>
        </w:rPr>
        <w:t xml:space="preserve">Benvenuto G. (1995), “I risultati nelle prove di scrittura”, in Corda Costa M., Visalberghi A. (a cura di), </w:t>
      </w:r>
      <w:r>
        <w:rPr>
          <w:rFonts w:eastAsia="Times New Roman"/>
          <w:i/>
          <w:sz w:val="24"/>
          <w:szCs w:val="24"/>
          <w:lang w:val="en-US"/>
        </w:rPr>
        <w:t>Misurare e valutare le competenze linguistiche</w:t>
      </w:r>
      <w:r>
        <w:rPr>
          <w:rFonts w:eastAsia="Times New Roman"/>
          <w:sz w:val="24"/>
          <w:szCs w:val="24"/>
          <w:lang w:val="en-US"/>
        </w:rPr>
        <w:t>. Firenze, La Nuova Italia: 211-230.</w:t>
      </w:r>
    </w:p>
    <w:p>
      <w:pPr>
        <w:pStyle w:val="Paragrafobiblio"/>
        <w:rPr/>
      </w:pPr>
      <w:r>
        <w:rPr>
          <w:rFonts w:eastAsia="Times New Roman"/>
          <w:sz w:val="24"/>
          <w:szCs w:val="24"/>
          <w:lang w:val="en-US"/>
        </w:rPr>
        <w:t xml:space="preserve">Bernstein, B. (1971), “Social class, language and socialization”, in </w:t>
      </w:r>
      <w:r>
        <w:rPr>
          <w:rFonts w:eastAsia="Times New Roman"/>
          <w:i/>
          <w:sz w:val="24"/>
          <w:szCs w:val="24"/>
          <w:lang w:val="en-US"/>
        </w:rPr>
        <w:t>Class, code and control</w:t>
      </w:r>
      <w:r>
        <w:rPr>
          <w:rFonts w:eastAsia="Times New Roman"/>
          <w:sz w:val="24"/>
          <w:szCs w:val="24"/>
          <w:lang w:val="en-US"/>
        </w:rPr>
        <w:t xml:space="preserve">. London: Routledge, Vol I. (trad. it «Classe Sociale, Linguaggio e Socializzazione», in Giglioli, P.P. (a cura di), </w:t>
      </w:r>
      <w:r>
        <w:rPr>
          <w:rFonts w:eastAsia="Times New Roman"/>
          <w:i/>
          <w:iCs/>
          <w:sz w:val="24"/>
          <w:szCs w:val="24"/>
          <w:lang w:val="en-US"/>
        </w:rPr>
        <w:t>Linguaggio e Società</w:t>
      </w:r>
      <w:r>
        <w:rPr>
          <w:rFonts w:eastAsia="Times New Roman"/>
          <w:sz w:val="24"/>
          <w:szCs w:val="24"/>
          <w:lang w:val="en-US"/>
        </w:rPr>
        <w:t xml:space="preserve">. Bologna, II Mulino, 1973: 215-235). </w:t>
      </w:r>
    </w:p>
    <w:p>
      <w:pPr>
        <w:pStyle w:val="Paragrafobiblio"/>
        <w:rPr/>
      </w:pPr>
      <w:r>
        <w:rPr>
          <w:rFonts w:eastAsia="Times New Roman"/>
          <w:sz w:val="24"/>
          <w:szCs w:val="24"/>
          <w:lang w:val="en-US"/>
        </w:rPr>
        <w:t xml:space="preserve">Caon, F. (2008). </w:t>
      </w:r>
      <w:r>
        <w:rPr>
          <w:rFonts w:eastAsia="Times New Roman"/>
          <w:i/>
          <w:iCs/>
          <w:sz w:val="24"/>
          <w:szCs w:val="24"/>
          <w:lang w:val="en-US"/>
        </w:rPr>
        <w:t xml:space="preserve">Educazione linguistica e differenziazione. </w:t>
      </w:r>
      <w:r>
        <w:rPr>
          <w:rFonts w:eastAsia="Times New Roman"/>
          <w:sz w:val="24"/>
          <w:szCs w:val="24"/>
          <w:lang w:val="en-US"/>
        </w:rPr>
        <w:t>Novara, UTET.</w:t>
      </w:r>
    </w:p>
    <w:p>
      <w:pPr>
        <w:pStyle w:val="Paragrafobiblio"/>
        <w:rPr/>
      </w:pPr>
      <w:r>
        <w:rPr>
          <w:rFonts w:eastAsia="Times New Roman"/>
          <w:sz w:val="24"/>
          <w:szCs w:val="24"/>
          <w:lang w:val="en-US"/>
        </w:rPr>
        <w:t xml:space="preserve">Colombo, M. (2014), “Misurare l’integrazione nelle classi multietniche”, in Colombo, M. Santagati, M., </w:t>
      </w:r>
      <w:r>
        <w:rPr>
          <w:rFonts w:eastAsia="Times New Roman"/>
          <w:i/>
          <w:iCs/>
          <w:sz w:val="24"/>
          <w:szCs w:val="24"/>
          <w:lang w:val="en-US"/>
        </w:rPr>
        <w:t>Nelle scuole plurali. Misure di integrazione degli alunni stranieri.</w:t>
      </w:r>
      <w:r>
        <w:rPr>
          <w:rFonts w:eastAsia="Times New Roman"/>
          <w:i w:val="false"/>
          <w:iCs w:val="false"/>
          <w:sz w:val="24"/>
          <w:szCs w:val="24"/>
          <w:lang w:val="en-US"/>
        </w:rPr>
        <w:t xml:space="preserve"> Milano, Angeli: 27-50.</w:t>
      </w:r>
    </w:p>
    <w:p>
      <w:pPr>
        <w:pStyle w:val="Paragrafobiblio"/>
        <w:rPr>
          <w:rFonts w:eastAsia="Times New Roman"/>
          <w:sz w:val="24"/>
          <w:szCs w:val="24"/>
          <w:lang w:val="en-US"/>
        </w:rPr>
      </w:pPr>
      <w:r>
        <w:rPr>
          <w:rFonts w:eastAsia="Times New Roman"/>
          <w:sz w:val="24"/>
          <w:szCs w:val="24"/>
          <w:lang w:val="en-US"/>
        </w:rPr>
        <w:t>Dam, L. (2011), “</w:t>
      </w:r>
      <w:r>
        <w:rPr>
          <w:sz w:val="24"/>
          <w:szCs w:val="24"/>
        </w:rPr>
        <w:t>Developing Learner Autonomy with School Kids: Principles, practices, results</w:t>
      </w:r>
      <w:r>
        <w:rPr>
          <w:rFonts w:eastAsia="Times New Roman"/>
          <w:sz w:val="24"/>
          <w:szCs w:val="24"/>
          <w:lang w:val="en-US"/>
        </w:rPr>
        <w:t xml:space="preserve">”,  in </w:t>
      </w:r>
      <w:r>
        <w:rPr>
          <w:sz w:val="24"/>
          <w:szCs w:val="24"/>
        </w:rPr>
        <w:t xml:space="preserve">Gardner D. (Ed.), </w:t>
      </w:r>
      <w:r>
        <w:rPr>
          <w:i/>
          <w:sz w:val="24"/>
          <w:szCs w:val="24"/>
        </w:rPr>
        <w:t>Fostering autonomy in language learning</w:t>
      </w:r>
      <w:r>
        <w:rPr>
          <w:sz w:val="24"/>
          <w:szCs w:val="24"/>
        </w:rPr>
        <w:t>. Gaziantep: Zirve University: 40-51.</w:t>
      </w:r>
    </w:p>
    <w:p>
      <w:pPr>
        <w:pStyle w:val="Paragrafobiblio"/>
        <w:ind w:left="284" w:hanging="284"/>
        <w:rPr>
          <w:rFonts w:eastAsia="Times New Roman"/>
          <w:sz w:val="24"/>
          <w:szCs w:val="24"/>
          <w:lang w:val="en-US"/>
        </w:rPr>
      </w:pPr>
      <w:r>
        <w:rPr>
          <w:sz w:val="24"/>
          <w:szCs w:val="24"/>
        </w:rPr>
        <w:t xml:space="preserve">De La Paz, S., Graham, S. (1997), “Effects of dictation and advanced planning instruction on the composing of students with writing and learning problems”, </w:t>
      </w:r>
      <w:r>
        <w:rPr>
          <w:i/>
          <w:sz w:val="24"/>
          <w:szCs w:val="24"/>
        </w:rPr>
        <w:t>Journal of Educational Psychology</w:t>
      </w:r>
      <w:r>
        <w:rPr>
          <w:sz w:val="24"/>
          <w:szCs w:val="24"/>
        </w:rPr>
        <w:t xml:space="preserve"> 89: 203-222.</w:t>
      </w:r>
    </w:p>
    <w:p>
      <w:pPr>
        <w:pStyle w:val="Paragrafobiblio"/>
        <w:rPr/>
      </w:pPr>
      <w:r>
        <w:rPr>
          <w:sz w:val="24"/>
          <w:szCs w:val="24"/>
        </w:rPr>
        <w:t xml:space="preserve">Deane P., Odendahl N., Quinlan T., Fowles M., Welsh C., Bivens-Tatum J. (2008), </w:t>
      </w:r>
      <w:r>
        <w:rPr>
          <w:i/>
          <w:sz w:val="24"/>
          <w:szCs w:val="24"/>
        </w:rPr>
        <w:t>Cognitive Models of Writing: Writing Proficiency as a Complex Integrated Skill</w:t>
      </w:r>
      <w:r>
        <w:rPr>
          <w:sz w:val="24"/>
          <w:szCs w:val="24"/>
        </w:rPr>
        <w:t>. Princeton, NJ, ETS.</w:t>
      </w:r>
    </w:p>
    <w:p>
      <w:pPr>
        <w:pStyle w:val="Paragrafobiblio"/>
        <w:rPr/>
      </w:pPr>
      <w:r>
        <w:rPr>
          <w:sz w:val="24"/>
          <w:szCs w:val="24"/>
        </w:rPr>
        <w:t>De Mauro T. (1996), “Distanze linguistiche e svantaggio scolastico”, in Colombo A., Romani W.(a cura di),</w:t>
      </w:r>
      <w:r>
        <w:rPr>
          <w:i/>
          <w:sz w:val="24"/>
          <w:szCs w:val="24"/>
        </w:rPr>
        <w:t xml:space="preserve"> È la lingua che ci fa eguali. Svantaggio linguistico, problemi di definizioni e di intervento. </w:t>
      </w:r>
      <w:r>
        <w:rPr>
          <w:sz w:val="24"/>
          <w:szCs w:val="24"/>
        </w:rPr>
        <w:t>Firenze, La Nuova Italia: 13-24.</w:t>
      </w:r>
    </w:p>
    <w:p>
      <w:pPr>
        <w:pStyle w:val="Paragrafobiblio"/>
        <w:rPr/>
      </w:pPr>
      <w:r>
        <w:rPr>
          <w:sz w:val="24"/>
          <w:szCs w:val="24"/>
        </w:rPr>
        <w:t>Ferreri, S., Lucisano, P. (1996), “Indagine IEA su alfabetizzazione e svantaggio linguistico”, in Colombo A., Romani W.(a cura di),</w:t>
      </w:r>
      <w:r>
        <w:rPr>
          <w:i/>
          <w:sz w:val="24"/>
          <w:szCs w:val="24"/>
        </w:rPr>
        <w:t xml:space="preserve"> È la lingua che ci fa eguali. Svantaggio linguistico, problemi di definizioni e di intervento. </w:t>
      </w:r>
      <w:r>
        <w:rPr>
          <w:sz w:val="24"/>
          <w:szCs w:val="24"/>
        </w:rPr>
        <w:t>Firenze, La Nuova Italia: 55-84.</w:t>
      </w:r>
    </w:p>
    <w:p>
      <w:pPr>
        <w:pStyle w:val="Paragrafobiblio"/>
        <w:rPr>
          <w:rFonts w:eastAsia="Times New Roman"/>
          <w:sz w:val="24"/>
          <w:szCs w:val="24"/>
          <w:lang w:val="it-IT"/>
        </w:rPr>
      </w:pPr>
      <w:r>
        <w:rPr>
          <w:rFonts w:eastAsia="Times New Roman"/>
          <w:sz w:val="24"/>
          <w:szCs w:val="24"/>
          <w:lang w:val="en-US"/>
        </w:rPr>
        <w:t>Ellis R. (2003), </w:t>
      </w:r>
      <w:r>
        <w:rPr>
          <w:rFonts w:eastAsia="Times New Roman"/>
          <w:i/>
          <w:iCs/>
          <w:sz w:val="24"/>
          <w:szCs w:val="24"/>
          <w:lang w:val="en-US"/>
        </w:rPr>
        <w:t>Task-based Language Teaching and Learning</w:t>
      </w:r>
      <w:r>
        <w:rPr>
          <w:rFonts w:eastAsia="Times New Roman"/>
          <w:sz w:val="24"/>
          <w:szCs w:val="24"/>
          <w:lang w:val="en-US"/>
        </w:rPr>
        <w:t xml:space="preserve">. </w:t>
      </w:r>
      <w:r>
        <w:rPr>
          <w:rFonts w:eastAsia="Times New Roman"/>
          <w:sz w:val="24"/>
          <w:szCs w:val="24"/>
          <w:lang w:val="it-IT"/>
        </w:rPr>
        <w:t>Oxford, Oxford University Press.</w:t>
      </w:r>
    </w:p>
    <w:p>
      <w:pPr>
        <w:pStyle w:val="Paragrafobiblio"/>
        <w:rPr/>
      </w:pPr>
      <w:r>
        <w:rPr>
          <w:rFonts w:eastAsia="Times New Roman"/>
          <w:sz w:val="24"/>
          <w:szCs w:val="24"/>
          <w:lang w:val="it-IT"/>
        </w:rPr>
        <w:t xml:space="preserve">Ferrari A. (2009), “Quale linguistica del testo? Coerenza, coesione, architettura del testo”, in Fiorentino G. (a cura di), </w:t>
      </w:r>
      <w:r>
        <w:rPr>
          <w:rFonts w:eastAsia="Times New Roman"/>
          <w:i/>
          <w:sz w:val="24"/>
          <w:szCs w:val="24"/>
          <w:lang w:val="it-IT"/>
        </w:rPr>
        <w:t>Perché la grammatica?</w:t>
      </w:r>
      <w:r>
        <w:rPr>
          <w:rFonts w:eastAsia="Times New Roman"/>
          <w:sz w:val="24"/>
          <w:szCs w:val="24"/>
          <w:lang w:val="it-IT"/>
        </w:rPr>
        <w:t xml:space="preserve"> </w:t>
      </w:r>
      <w:r>
        <w:rPr>
          <w:rFonts w:eastAsia="Times New Roman"/>
          <w:sz w:val="24"/>
          <w:szCs w:val="24"/>
          <w:lang w:val="en-US"/>
        </w:rPr>
        <w:t>Roma, Carocci: 33-50.</w:t>
      </w:r>
    </w:p>
    <w:p>
      <w:pPr>
        <w:pStyle w:val="Paragrafobiblio"/>
        <w:rPr>
          <w:rFonts w:eastAsia="Times New Roman"/>
          <w:sz w:val="24"/>
          <w:szCs w:val="24"/>
          <w:lang w:val="en-US"/>
        </w:rPr>
      </w:pPr>
      <w:r>
        <w:rPr>
          <w:rFonts w:eastAsia="Times New Roman"/>
          <w:sz w:val="24"/>
          <w:szCs w:val="24"/>
          <w:lang w:val="en-US"/>
        </w:rPr>
        <w:t xml:space="preserve">Ferreri, S. (2002). </w:t>
      </w:r>
      <w:r>
        <w:rPr>
          <w:rFonts w:eastAsia="Times New Roman"/>
          <w:i/>
          <w:sz w:val="24"/>
          <w:szCs w:val="24"/>
          <w:lang w:val="en-US"/>
        </w:rPr>
        <w:t>Non uno di meno: strategie didattiche per leggere e comprendere</w:t>
      </w:r>
      <w:r>
        <w:rPr>
          <w:rFonts w:eastAsia="Times New Roman"/>
          <w:sz w:val="24"/>
          <w:szCs w:val="24"/>
          <w:lang w:val="en-US"/>
        </w:rPr>
        <w:t>. Firenze: La Nuova Italia.</w:t>
      </w:r>
    </w:p>
    <w:p>
      <w:pPr>
        <w:pStyle w:val="Paragrafobiblio"/>
        <w:rPr>
          <w:bCs/>
          <w:sz w:val="24"/>
          <w:szCs w:val="24"/>
        </w:rPr>
      </w:pPr>
      <w:r>
        <w:rPr>
          <w:sz w:val="24"/>
          <w:szCs w:val="24"/>
        </w:rPr>
        <w:t>Flower</w:t>
      </w:r>
      <w:r>
        <w:rPr>
          <w:bCs/>
          <w:sz w:val="24"/>
          <w:szCs w:val="24"/>
        </w:rPr>
        <w:t xml:space="preserve"> L., </w:t>
      </w:r>
      <w:r>
        <w:rPr>
          <w:sz w:val="24"/>
          <w:szCs w:val="24"/>
        </w:rPr>
        <w:t>Hayes J.R. (</w:t>
      </w:r>
      <w:r>
        <w:rPr>
          <w:bCs/>
          <w:sz w:val="24"/>
          <w:szCs w:val="24"/>
        </w:rPr>
        <w:t xml:space="preserve">1980), “The dynamic of composing: making plans and juggling constraints”, in Gregg L.W., Steinberg E. (eds.), </w:t>
      </w:r>
      <w:r>
        <w:rPr>
          <w:bCs/>
          <w:i/>
          <w:sz w:val="24"/>
          <w:szCs w:val="24"/>
        </w:rPr>
        <w:t>Cognitive processes in writing an interdisciplinary approach</w:t>
      </w:r>
      <w:r>
        <w:rPr>
          <w:bCs/>
          <w:sz w:val="24"/>
          <w:szCs w:val="24"/>
        </w:rPr>
        <w:t>. Hillsdale, Erlbaum: 31-50.</w:t>
      </w:r>
    </w:p>
    <w:p>
      <w:pPr>
        <w:pStyle w:val="Normal"/>
        <w:suppressAutoHyphens w:val="false"/>
        <w:ind w:left="284" w:hanging="284"/>
        <w:rPr/>
      </w:pPr>
      <w:r>
        <w:rPr>
          <w:rFonts w:eastAsia="Calibri" w:eastAsiaTheme="minorHAnsi"/>
          <w:lang w:eastAsia="en-US"/>
        </w:rPr>
        <w:t xml:space="preserve">Hayes J. R. (2004), </w:t>
      </w:r>
      <w:r>
        <w:rPr/>
        <w:t>“</w:t>
      </w:r>
      <w:r>
        <w:rPr>
          <w:rFonts w:eastAsia="Calibri" w:eastAsiaTheme="minorHAnsi"/>
          <w:lang w:eastAsia="en-US"/>
        </w:rPr>
        <w:t>What triggers revision?</w:t>
      </w:r>
      <w:r>
        <w:rPr/>
        <w:t>”, i</w:t>
      </w:r>
      <w:r>
        <w:rPr>
          <w:rFonts w:eastAsia="Calibri" w:eastAsiaTheme="minorHAnsi"/>
          <w:lang w:eastAsia="en-US"/>
        </w:rPr>
        <w:t>n Allal</w:t>
      </w:r>
      <w:r>
        <w:rPr/>
        <w:t xml:space="preserve"> </w:t>
      </w:r>
      <w:r>
        <w:rPr>
          <w:rFonts w:eastAsia="Calibri" w:eastAsiaTheme="minorHAnsi"/>
          <w:lang w:eastAsia="en-US"/>
        </w:rPr>
        <w:t>L., Chanquoy</w:t>
      </w:r>
      <w:r>
        <w:rPr/>
        <w:t xml:space="preserve"> </w:t>
      </w:r>
      <w:r>
        <w:rPr>
          <w:rFonts w:eastAsia="Calibri" w:eastAsiaTheme="minorHAnsi"/>
          <w:lang w:eastAsia="en-US"/>
        </w:rPr>
        <w:t>L., Largy P. (</w:t>
      </w:r>
      <w:r>
        <w:rPr/>
        <w:t>e</w:t>
      </w:r>
      <w:r>
        <w:rPr>
          <w:rFonts w:eastAsia="Calibri" w:eastAsiaTheme="minorHAnsi"/>
          <w:lang w:eastAsia="en-US"/>
        </w:rPr>
        <w:t xml:space="preserve">ds.), </w:t>
      </w:r>
      <w:r>
        <w:rPr>
          <w:rFonts w:eastAsia="Calibri" w:eastAsiaTheme="minorHAnsi"/>
          <w:i/>
          <w:iCs/>
          <w:lang w:eastAsia="en-US"/>
        </w:rPr>
        <w:t>Revision: Cognitive and instructional processes</w:t>
      </w:r>
      <w:r>
        <w:rPr>
          <w:i/>
          <w:iCs/>
        </w:rPr>
        <w:t xml:space="preserve">. </w:t>
      </w:r>
      <w:r>
        <w:rPr/>
        <w:t>Dordrecht,</w:t>
      </w:r>
      <w:r>
        <w:rPr>
          <w:rFonts w:eastAsia="Calibri" w:eastAsiaTheme="minorHAnsi"/>
          <w:lang w:eastAsia="en-US"/>
        </w:rPr>
        <w:t xml:space="preserve"> Kluwer Academic</w:t>
      </w:r>
      <w:r>
        <w:rPr/>
        <w:t>:</w:t>
      </w:r>
      <w:r>
        <w:rPr>
          <w:rFonts w:eastAsia="Calibri" w:eastAsiaTheme="minorHAnsi"/>
          <w:lang w:eastAsia="en-US"/>
        </w:rPr>
        <w:t xml:space="preserve"> 9-20.</w:t>
      </w:r>
    </w:p>
    <w:p>
      <w:pPr>
        <w:pStyle w:val="Normal"/>
        <w:suppressAutoHyphens w:val="false"/>
        <w:ind w:left="284" w:hanging="284"/>
        <w:rPr/>
      </w:pPr>
      <w:r>
        <w:rPr>
          <w:rFonts w:eastAsia="Calibri" w:eastAsiaTheme="minorHAnsi"/>
          <w:bCs/>
          <w:lang w:eastAsia="en-US"/>
        </w:rPr>
        <w:t xml:space="preserve">Hulstijn, J. (2015), </w:t>
      </w:r>
      <w:r>
        <w:rPr>
          <w:rFonts w:eastAsia="Calibri" w:eastAsiaTheme="minorHAnsi"/>
          <w:bCs/>
          <w:i/>
          <w:iCs/>
          <w:lang w:eastAsia="en-US"/>
        </w:rPr>
        <w:t>Language proficiency in native and non-native speakers</w:t>
      </w:r>
      <w:r>
        <w:rPr>
          <w:rFonts w:eastAsia="Calibri" w:eastAsiaTheme="minorHAnsi"/>
          <w:bCs/>
          <w:lang w:eastAsia="en-US"/>
        </w:rPr>
        <w:t>. Amsterdam, Benjamins.</w:t>
      </w:r>
    </w:p>
    <w:p>
      <w:pPr>
        <w:pStyle w:val="Normal"/>
        <w:suppressAutoHyphens w:val="false"/>
        <w:ind w:left="284" w:hanging="284"/>
        <w:rPr/>
      </w:pPr>
      <w:r>
        <w:rPr>
          <w:rFonts w:eastAsia="Calibri" w:eastAsiaTheme="minorHAnsi"/>
          <w:bCs/>
          <w:lang w:eastAsia="en-US"/>
        </w:rPr>
        <w:t xml:space="preserve">ISFOL (2014) </w:t>
      </w:r>
      <w:r>
        <w:rPr>
          <w:rFonts w:eastAsia="Calibri" w:eastAsiaTheme="minorHAnsi"/>
          <w:bCs/>
          <w:i/>
          <w:iCs/>
          <w:lang w:eastAsia="en-US"/>
        </w:rPr>
        <w:t>PIAAC-OCSE : rapporto nazionale sulle competenze degli adulti</w:t>
      </w:r>
      <w:r>
        <w:rPr>
          <w:rFonts w:eastAsia="Calibri" w:eastAsiaTheme="minorHAnsi"/>
          <w:bCs/>
          <w:lang w:eastAsia="en-US"/>
        </w:rPr>
        <w:t>. Roma, ISFOL.</w:t>
      </w:r>
    </w:p>
    <w:p>
      <w:pPr>
        <w:pStyle w:val="Paragrafobiblio"/>
        <w:rPr>
          <w:rFonts w:eastAsia="Times New Roman"/>
          <w:sz w:val="24"/>
          <w:szCs w:val="24"/>
          <w:lang w:val="it-IT"/>
        </w:rPr>
      </w:pPr>
      <w:r>
        <w:rPr>
          <w:rFonts w:eastAsia="Times New Roman"/>
          <w:sz w:val="24"/>
          <w:szCs w:val="24"/>
        </w:rPr>
        <w:t>Johnson D. W., Johnson, R.  (1989), </w:t>
      </w:r>
      <w:r>
        <w:rPr>
          <w:rFonts w:eastAsia="Times New Roman"/>
          <w:i/>
          <w:sz w:val="24"/>
          <w:szCs w:val="24"/>
        </w:rPr>
        <w:t xml:space="preserve">Cooperation and competition: Theory and research. </w:t>
      </w:r>
      <w:r>
        <w:rPr>
          <w:rFonts w:eastAsia="Times New Roman"/>
          <w:sz w:val="24"/>
          <w:szCs w:val="24"/>
          <w:lang w:val="it-IT"/>
        </w:rPr>
        <w:t>Interaction Book Company, Edina (MN).</w:t>
      </w:r>
    </w:p>
    <w:p>
      <w:pPr>
        <w:pStyle w:val="Paragrafobiblio"/>
        <w:rPr>
          <w:rFonts w:eastAsia="Times New Roman"/>
          <w:sz w:val="24"/>
          <w:szCs w:val="24"/>
        </w:rPr>
      </w:pPr>
      <w:r>
        <w:rPr>
          <w:rFonts w:eastAsia="Times New Roman"/>
          <w:sz w:val="24"/>
          <w:szCs w:val="24"/>
        </w:rPr>
        <w:t xml:space="preserve">Johnson D. W., Johnson, R.  (2009), “An Educational Psychology Success Story: Social Interdependence Theory and Cooperative Learning”, </w:t>
      </w:r>
      <w:r>
        <w:rPr>
          <w:rFonts w:eastAsia="Times New Roman"/>
          <w:i/>
          <w:sz w:val="24"/>
          <w:szCs w:val="24"/>
        </w:rPr>
        <w:t xml:space="preserve">Educational researcher </w:t>
      </w:r>
      <w:r>
        <w:rPr>
          <w:rFonts w:eastAsia="Times New Roman"/>
          <w:sz w:val="24"/>
          <w:szCs w:val="24"/>
        </w:rPr>
        <w:t>38: 365-379.</w:t>
      </w:r>
    </w:p>
    <w:p>
      <w:pPr>
        <w:pStyle w:val="Paragrafobiblio"/>
        <w:rPr>
          <w:rFonts w:eastAsia="Times New Roman"/>
          <w:sz w:val="24"/>
          <w:szCs w:val="24"/>
          <w:lang w:val="it-IT"/>
        </w:rPr>
      </w:pPr>
      <w:r>
        <w:rPr>
          <w:rFonts w:eastAsia="Times New Roman"/>
          <w:sz w:val="24"/>
          <w:szCs w:val="24"/>
          <w:lang w:val="it-IT"/>
        </w:rPr>
        <w:t>Lo Duca M.G. (2014), “</w:t>
      </w:r>
      <w:r>
        <w:rPr>
          <w:sz w:val="24"/>
          <w:szCs w:val="24"/>
          <w:lang w:val="it-IT"/>
        </w:rPr>
        <w:t xml:space="preserve">Le prove di grammatica INVALSI e gli apprendenti immigrati”, </w:t>
      </w:r>
      <w:r>
        <w:rPr>
          <w:i/>
          <w:sz w:val="24"/>
          <w:szCs w:val="24"/>
          <w:lang w:val="it-IT"/>
        </w:rPr>
        <w:t>INVALSI Working Papers</w:t>
      </w:r>
      <w:r>
        <w:rPr>
          <w:sz w:val="24"/>
          <w:szCs w:val="24"/>
          <w:lang w:val="it-IT"/>
        </w:rPr>
        <w:t xml:space="preserve"> 22.</w:t>
      </w:r>
    </w:p>
    <w:p>
      <w:pPr>
        <w:pStyle w:val="Paragrafobiblio"/>
        <w:rPr>
          <w:rFonts w:eastAsia="Times New Roman"/>
          <w:sz w:val="24"/>
          <w:szCs w:val="24"/>
        </w:rPr>
      </w:pPr>
      <w:r>
        <w:rPr>
          <w:rFonts w:eastAsia="Times New Roman"/>
          <w:sz w:val="24"/>
          <w:szCs w:val="24"/>
        </w:rPr>
        <w:t>Nunan D. (2004), </w:t>
      </w:r>
      <w:r>
        <w:rPr>
          <w:rFonts w:eastAsia="Times New Roman"/>
          <w:i/>
          <w:iCs/>
          <w:sz w:val="24"/>
          <w:szCs w:val="24"/>
        </w:rPr>
        <w:t>Task-based language teaching</w:t>
      </w:r>
      <w:r>
        <w:rPr>
          <w:rFonts w:eastAsia="Times New Roman"/>
          <w:sz w:val="24"/>
          <w:szCs w:val="24"/>
        </w:rPr>
        <w:t>. Cambridge, Cambridge University Press.</w:t>
      </w:r>
    </w:p>
    <w:p>
      <w:pPr>
        <w:pStyle w:val="Paragrafobiblio"/>
        <w:rPr>
          <w:rFonts w:eastAsia="Times New Roman"/>
          <w:sz w:val="24"/>
          <w:szCs w:val="24"/>
          <w:lang w:val="it-IT"/>
        </w:rPr>
      </w:pPr>
      <w:r>
        <w:rPr>
          <w:rFonts w:eastAsia="Times New Roman"/>
          <w:sz w:val="24"/>
          <w:szCs w:val="24"/>
        </w:rPr>
        <w:t xml:space="preserve">Pallotti G. (2010), “Doing interlanguage analysis in school contexts”, in Bartning I., Martin M., Vedder I. (eds.), </w:t>
      </w:r>
      <w:r>
        <w:rPr>
          <w:rFonts w:eastAsia="Times New Roman"/>
          <w:i/>
          <w:sz w:val="24"/>
          <w:szCs w:val="24"/>
        </w:rPr>
        <w:t>Communicative proficiency and linguistic development: intersections between SLA and language testing research</w:t>
      </w:r>
      <w:r>
        <w:rPr>
          <w:rFonts w:eastAsia="Times New Roman"/>
          <w:sz w:val="24"/>
          <w:szCs w:val="24"/>
        </w:rPr>
        <w:t xml:space="preserve">. </w:t>
      </w:r>
      <w:r>
        <w:rPr>
          <w:rFonts w:eastAsia="Times New Roman"/>
          <w:sz w:val="24"/>
          <w:szCs w:val="24"/>
          <w:lang w:val="it-IT"/>
        </w:rPr>
        <w:t>Eurosla Monographs, 1, www.eurosla.org.</w:t>
      </w:r>
    </w:p>
    <w:p>
      <w:pPr>
        <w:pStyle w:val="Paragrafobiblio"/>
        <w:rPr>
          <w:rFonts w:eastAsia="Times New Roman"/>
          <w:sz w:val="24"/>
          <w:szCs w:val="24"/>
          <w:lang w:val="it-IT"/>
        </w:rPr>
      </w:pPr>
      <w:r>
        <w:rPr>
          <w:rFonts w:eastAsia="Times New Roman"/>
          <w:sz w:val="24"/>
          <w:szCs w:val="24"/>
          <w:lang w:val="it-IT"/>
        </w:rPr>
        <w:t xml:space="preserve">Pallotti G., Rosi F. (2011), “Osservare l’interlingua a scuola: dall’analisi alla didattica”, </w:t>
      </w:r>
      <w:r>
        <w:rPr>
          <w:rFonts w:eastAsia="Times New Roman"/>
          <w:i/>
          <w:sz w:val="24"/>
          <w:szCs w:val="24"/>
          <w:lang w:val="it-IT"/>
        </w:rPr>
        <w:t>Educazione Interculturale</w:t>
      </w:r>
      <w:r>
        <w:rPr>
          <w:rFonts w:eastAsia="Times New Roman"/>
          <w:sz w:val="24"/>
          <w:szCs w:val="24"/>
          <w:lang w:val="it-IT"/>
        </w:rPr>
        <w:t xml:space="preserve"> 9: 339-354.</w:t>
      </w:r>
    </w:p>
    <w:p>
      <w:pPr>
        <w:pStyle w:val="Paragrafobiblio"/>
        <w:rPr>
          <w:rFonts w:eastAsia="Times New Roman"/>
          <w:sz w:val="24"/>
          <w:szCs w:val="24"/>
        </w:rPr>
      </w:pPr>
      <w:r>
        <w:rPr>
          <w:rFonts w:eastAsia="Times New Roman"/>
          <w:sz w:val="24"/>
          <w:szCs w:val="24"/>
          <w:lang w:val="it-IT"/>
        </w:rPr>
        <w:t xml:space="preserve">Pallotti G., Rosi F. (in stampa), “Educazione linguistica inclusiva nella scuola primaria: percorsi di sperimentazione e analisi dell’efficacia”, in Corrà, Loredana (a cura di), </w:t>
      </w:r>
      <w:r>
        <w:rPr>
          <w:rFonts w:eastAsia="Times New Roman"/>
          <w:i/>
          <w:sz w:val="24"/>
          <w:szCs w:val="24"/>
          <w:lang w:val="it-IT"/>
        </w:rPr>
        <w:t>Educazione linguistica in classi multietniche</w:t>
      </w:r>
      <w:r>
        <w:rPr>
          <w:rFonts w:eastAsia="Times New Roman"/>
          <w:sz w:val="24"/>
          <w:szCs w:val="24"/>
          <w:lang w:val="it-IT"/>
        </w:rPr>
        <w:t xml:space="preserve">. </w:t>
      </w:r>
      <w:r>
        <w:rPr>
          <w:rFonts w:eastAsia="Times New Roman"/>
          <w:sz w:val="24"/>
          <w:szCs w:val="24"/>
        </w:rPr>
        <w:t>Roma, Aracne.</w:t>
      </w:r>
    </w:p>
    <w:p>
      <w:pPr>
        <w:pStyle w:val="Paragrafobiblio"/>
        <w:ind w:left="284" w:hanging="284"/>
        <w:rPr/>
      </w:pPr>
      <w:r>
        <w:rPr>
          <w:sz w:val="24"/>
          <w:szCs w:val="24"/>
        </w:rPr>
        <w:t xml:space="preserve">Quinlan T. (2004), “Speech recognition technology and students with writing difficulties: Improving fluency”, </w:t>
      </w:r>
      <w:r>
        <w:rPr>
          <w:i/>
          <w:sz w:val="24"/>
          <w:szCs w:val="24"/>
        </w:rPr>
        <w:t>Journal of Educational Psychology</w:t>
      </w:r>
      <w:r>
        <w:rPr>
          <w:sz w:val="24"/>
          <w:szCs w:val="24"/>
        </w:rPr>
        <w:t xml:space="preserve"> 96: 337-346.</w:t>
      </w:r>
    </w:p>
    <w:p>
      <w:pPr>
        <w:pStyle w:val="Paragrafobiblio"/>
        <w:ind w:left="284" w:hanging="284"/>
        <w:rPr/>
      </w:pPr>
      <w:r>
        <w:rPr>
          <w:sz w:val="24"/>
          <w:szCs w:val="24"/>
        </w:rPr>
        <w:t xml:space="preserve">Scuola di Barbiana (1967). </w:t>
      </w:r>
      <w:r>
        <w:rPr>
          <w:i/>
          <w:sz w:val="24"/>
          <w:szCs w:val="24"/>
        </w:rPr>
        <w:t>Lettera a una professoressa</w:t>
      </w:r>
      <w:r>
        <w:rPr>
          <w:sz w:val="24"/>
          <w:szCs w:val="24"/>
        </w:rPr>
        <w:t>. Firenze, Libreria editrice fiorentina.</w:t>
      </w:r>
    </w:p>
    <w:p>
      <w:pPr>
        <w:pStyle w:val="Paragrafobiblio"/>
        <w:ind w:left="284" w:hanging="284"/>
        <w:rPr/>
      </w:pPr>
      <w:r>
        <w:rPr>
          <w:sz w:val="24"/>
          <w:szCs w:val="24"/>
        </w:rPr>
        <w:t xml:space="preserve">Vygotsky L. (1984), </w:t>
      </w:r>
      <w:r>
        <w:rPr>
          <w:i/>
          <w:iCs/>
          <w:sz w:val="24"/>
          <w:szCs w:val="24"/>
        </w:rPr>
        <w:t>Pensiero e linguaggio</w:t>
      </w:r>
      <w:r>
        <w:rPr>
          <w:sz w:val="24"/>
          <w:szCs w:val="24"/>
        </w:rPr>
        <w:t>. Firenze: Giunti Barbera. [Edizione originale 1934]</w:t>
      </w:r>
    </w:p>
    <w:p>
      <w:pPr>
        <w:pStyle w:val="Paragrafobiblio"/>
        <w:rPr/>
      </w:pPr>
      <w:r>
        <w:rPr>
          <w:sz w:val="24"/>
          <w:szCs w:val="24"/>
        </w:rPr>
        <w:t xml:space="preserve">Weigle S.C. (2002), </w:t>
      </w:r>
      <w:r>
        <w:rPr>
          <w:i/>
          <w:sz w:val="24"/>
          <w:szCs w:val="24"/>
        </w:rPr>
        <w:t>Assessing writing.</w:t>
      </w:r>
      <w:r>
        <w:rPr>
          <w:sz w:val="24"/>
          <w:szCs w:val="24"/>
        </w:rPr>
        <w:t xml:space="preserve"> Cambridge, Cambridge University Press.</w:t>
      </w:r>
    </w:p>
    <w:sectPr>
      <w:footnotePr>
        <w:numFmt w:val="decimal"/>
      </w:footnotePr>
      <w:type w:val="nextPage"/>
      <w:pgSz w:w="11906" w:h="16838"/>
      <w:pgMar w:left="1134" w:right="1134" w:header="0" w:top="1417" w:footer="0" w:bottom="1134"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default"/>
  </w:font>
  <w:font w:name="Times New Roman">
    <w:charset w:val="01"/>
    <w:family w:val="roman"/>
    <w:pitch w:val="default"/>
  </w:font>
  <w:font w:name="Segoe UI">
    <w:charset w:val="01"/>
    <w:family w:val="roman"/>
    <w:pitch w:val="default"/>
  </w:font>
  <w:font w:name="Liberation Sans">
    <w:altName w:val="Arial"/>
    <w:charset w:val="01"/>
    <w:family w:val="roman"/>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rPr/>
      </w:pPr>
      <w:r>
        <w:rPr>
          <w:rStyle w:val="Footnotereference"/>
        </w:rPr>
        <w:footnoteRef/>
        <w:tab/>
      </w:r>
      <w:r>
        <w:rPr/>
        <w:t xml:space="preserve"> </w:t>
      </w:r>
      <w:r>
        <w:rPr/>
        <w:t>Il testo è frutto della stretta collaborazione fra gli autori, ma ai fini della valutazione accademica si dichiara che Gabriele Pallotti è responsabile delle sezioni 1, 5, 6, Fabiana Rosi delle sezioni 2, 3. Gli autori ringraziano sentitamente la scuola dove si è svolta la sperimentazione e in particolare la Prof.ssa Caterina Arata, per i risultati della prova INVALSI 2015 messi a disposizione della ricerca.</w:t>
      </w:r>
    </w:p>
  </w:footnote>
  <w:footnote w:id="3">
    <w:p>
      <w:pPr>
        <w:pStyle w:val="Footnotetext"/>
        <w:rPr/>
      </w:pPr>
      <w:r>
        <w:rPr>
          <w:rStyle w:val="Footnotereference"/>
        </w:rPr>
        <w:footnoteRef/>
        <w:tab/>
      </w:r>
      <w:r>
        <w:rPr/>
        <w:t xml:space="preserve"> </w:t>
      </w:r>
      <w:r>
        <w:rPr/>
        <w:t>A conferma dell’utilità della pianificazione, si è notato nei numerosi anni di sperimentazione che l’abitudine a costruire spontaneamente un progetto del testo prima di scriverlo è stata sviluppata non solo dagli alunni con competenze più alte, più attenti alle indicazioni degli insegnanti, ma anche da alunni con maggiori difficoltà, che hanno trovato in questo strumento una facilitazione e un supporto alla scrittura.</w:t>
      </w:r>
    </w:p>
  </w:footnote>
  <w:footnote w:id="4">
    <w:p>
      <w:pPr>
        <w:pStyle w:val="Footnotetext"/>
        <w:rPr/>
      </w:pPr>
      <w:r>
        <w:rPr>
          <w:rStyle w:val="Footnotereference"/>
        </w:rPr>
        <w:footnoteRef/>
        <w:tab/>
      </w:r>
      <w:r>
        <w:rPr/>
        <w:t xml:space="preserve"> </w:t>
      </w:r>
      <w:r>
        <w:rPr/>
        <w:t>Il laboratorio di italiano L2 prevede due ore a settimana, la preparazione linguistica all’esame finale tre ore settimanali. Gli alunni frequentano questi corsi durante ore di varie discipline, principalmente lingua inglese e matematica.</w:t>
      </w:r>
    </w:p>
  </w:footnote>
  <w:footnote w:id="5">
    <w:p>
      <w:pPr>
        <w:pStyle w:val="Footnotetext"/>
        <w:rPr/>
      </w:pPr>
      <w:r>
        <w:rPr/>
        <w:footnoteRef/>
        <w:tab/>
        <w:t xml:space="preserve">  </w:t>
      </w:r>
      <w:r>
        <w:rPr/>
        <w:t>Bisogna però rimarcare che i percorsi sulla scrittura insistevano molto sulla fase di progettazione e organizzazione del testo, e questo piano di elaborazione concettuale è strettamente correlato alle attività che vengono messe in atto durante una lettura inferenziale ed elaborativa: insomma, avere imparato a “giocare con le idee” nel processo di scrittura può avere avuto effetti benefici sui processi di lettura più “profondi”. Anche le numerose attività di revisione del testo previste dal percorso sperimentale possono avere contribuito a formare degli alunni più attenti nella lettura e nell’analisi dei fenomeni linguistici.</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autoHyphenation w:val="fals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it-IT"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8017d"/>
    <w:pPr>
      <w:widowControl/>
      <w:suppressAutoHyphens w:val="true"/>
      <w:bidi w:val="0"/>
      <w:ind w:firstLine="283"/>
      <w:jc w:val="both"/>
    </w:pPr>
    <w:rPr>
      <w:rFonts w:ascii="Times New Roman" w:hAnsi="Times New Roman" w:eastAsia="Times New Roman" w:cs="Times New Roman"/>
      <w:color w:val="00000A"/>
      <w:sz w:val="24"/>
      <w:szCs w:val="24"/>
      <w:lang w:val="it-IT" w:eastAsia="zh-CN" w:bidi="ar-SA"/>
    </w:rPr>
  </w:style>
  <w:style w:type="paragraph" w:styleId="Titolo1">
    <w:name w:val="Heading 1"/>
    <w:basedOn w:val="Normal"/>
    <w:link w:val="Titolo1Carattere"/>
    <w:uiPriority w:val="9"/>
    <w:qFormat/>
    <w:rsid w:val="00333518"/>
    <w:pPr>
      <w:suppressAutoHyphens w:val="false"/>
      <w:spacing w:beforeAutospacing="1" w:afterAutospacing="1"/>
      <w:outlineLvl w:val="0"/>
    </w:pPr>
    <w:rPr>
      <w:b/>
      <w:bCs/>
      <w:sz w:val="48"/>
      <w:szCs w:val="48"/>
      <w:lang w:eastAsia="it-IT"/>
    </w:rPr>
  </w:style>
  <w:style w:type="character" w:styleId="DefaultParagraphFont" w:default="1">
    <w:name w:val="Default Paragraph Font"/>
    <w:uiPriority w:val="1"/>
    <w:semiHidden/>
    <w:unhideWhenUsed/>
    <w:qFormat/>
    <w:rPr/>
  </w:style>
  <w:style w:type="character" w:styleId="Appleconvertedspace" w:customStyle="1">
    <w:name w:val="apple-converted-space"/>
    <w:basedOn w:val="DefaultParagraphFont"/>
    <w:qFormat/>
    <w:rsid w:val="00bf1c14"/>
    <w:rPr/>
  </w:style>
  <w:style w:type="character" w:styleId="Enfasi" w:customStyle="1">
    <w:name w:val="Enfasi"/>
    <w:basedOn w:val="DefaultParagraphFont"/>
    <w:uiPriority w:val="20"/>
    <w:qFormat/>
    <w:rsid w:val="00bf1c14"/>
    <w:rPr>
      <w:i/>
      <w:iCs/>
    </w:rPr>
  </w:style>
  <w:style w:type="character" w:styleId="Strong">
    <w:name w:val="Strong"/>
    <w:basedOn w:val="DefaultParagraphFont"/>
    <w:uiPriority w:val="22"/>
    <w:qFormat/>
    <w:rsid w:val="000d7853"/>
    <w:rPr>
      <w:b/>
      <w:bCs/>
    </w:rPr>
  </w:style>
  <w:style w:type="character" w:styleId="TestonotaapidipaginaCarattere" w:customStyle="1">
    <w:name w:val="Testo nota a piè di pagina Carattere"/>
    <w:basedOn w:val="DefaultParagraphFont"/>
    <w:link w:val="Testonotaapidipagina"/>
    <w:uiPriority w:val="99"/>
    <w:semiHidden/>
    <w:qFormat/>
    <w:rsid w:val="00870242"/>
    <w:rPr>
      <w:rFonts w:ascii="Times New Roman" w:hAnsi="Times New Roman" w:eastAsia="Times New Roman" w:cs="Times New Roman"/>
      <w:color w:val="00000A"/>
      <w:sz w:val="20"/>
      <w:szCs w:val="20"/>
      <w:lang w:eastAsia="zh-CN"/>
    </w:rPr>
  </w:style>
  <w:style w:type="character" w:styleId="Footnotereference">
    <w:name w:val="footnote reference"/>
    <w:basedOn w:val="DefaultParagraphFont"/>
    <w:uiPriority w:val="99"/>
    <w:semiHidden/>
    <w:unhideWhenUsed/>
    <w:qFormat/>
    <w:rsid w:val="00870242"/>
    <w:rPr>
      <w:vertAlign w:val="superscript"/>
    </w:rPr>
  </w:style>
  <w:style w:type="character" w:styleId="CollegamentoInternet" w:customStyle="1">
    <w:name w:val="Collegamento Internet"/>
    <w:basedOn w:val="DefaultParagraphFont"/>
    <w:uiPriority w:val="99"/>
    <w:unhideWhenUsed/>
    <w:rsid w:val="00616e57"/>
    <w:rPr>
      <w:color w:val="0563C1" w:themeColor="hyperlink"/>
      <w:u w:val="single"/>
    </w:rPr>
  </w:style>
  <w:style w:type="character" w:styleId="Titolo1Carattere" w:customStyle="1">
    <w:name w:val="Titolo 1 Carattere"/>
    <w:basedOn w:val="DefaultParagraphFont"/>
    <w:link w:val="Titolo1"/>
    <w:uiPriority w:val="9"/>
    <w:qFormat/>
    <w:rsid w:val="00333518"/>
    <w:rPr>
      <w:rFonts w:ascii="Times New Roman" w:hAnsi="Times New Roman" w:eastAsia="Times New Roman" w:cs="Times New Roman"/>
      <w:b/>
      <w:bCs/>
      <w:sz w:val="48"/>
      <w:szCs w:val="48"/>
      <w:lang w:eastAsia="it-IT"/>
    </w:rPr>
  </w:style>
  <w:style w:type="character" w:styleId="Slugpubdate" w:customStyle="1">
    <w:name w:val="slug-pub-date"/>
    <w:basedOn w:val="DefaultParagraphFont"/>
    <w:qFormat/>
    <w:rsid w:val="00333518"/>
    <w:rPr/>
  </w:style>
  <w:style w:type="character" w:styleId="Slugvol" w:customStyle="1">
    <w:name w:val="slug-vol"/>
    <w:basedOn w:val="DefaultParagraphFont"/>
    <w:qFormat/>
    <w:rsid w:val="00333518"/>
    <w:rPr/>
  </w:style>
  <w:style w:type="character" w:styleId="Slugissue" w:customStyle="1">
    <w:name w:val="slug-issue"/>
    <w:basedOn w:val="DefaultParagraphFont"/>
    <w:qFormat/>
    <w:rsid w:val="00333518"/>
    <w:rPr/>
  </w:style>
  <w:style w:type="character" w:styleId="Slugpages" w:customStyle="1">
    <w:name w:val="slug-pages"/>
    <w:basedOn w:val="DefaultParagraphFont"/>
    <w:qFormat/>
    <w:rsid w:val="00333518"/>
    <w:rPr/>
  </w:style>
  <w:style w:type="character" w:styleId="Caratterenotaapidipagina" w:customStyle="1">
    <w:name w:val="Carattere nota a piè di pagina"/>
    <w:qFormat/>
    <w:rPr/>
  </w:style>
  <w:style w:type="character" w:styleId="Richiamoallanotaapidipagina" w:customStyle="1">
    <w:name w:val="Richiamo alla nota a piè di pagina"/>
    <w:rPr>
      <w:vertAlign w:val="superscript"/>
    </w:rPr>
  </w:style>
  <w:style w:type="character" w:styleId="Richiamoallanotadichiusura" w:customStyle="1">
    <w:name w:val="Richiamo alla nota di chiusura"/>
    <w:rPr>
      <w:vertAlign w:val="superscript"/>
    </w:rPr>
  </w:style>
  <w:style w:type="character" w:styleId="Caratterenotadichiusura" w:customStyle="1">
    <w:name w:val="Carattere nota di chiusura"/>
    <w:qFormat/>
    <w:rPr/>
  </w:style>
  <w:style w:type="character" w:styleId="Citazione1" w:customStyle="1">
    <w:name w:val="Citazione1"/>
    <w:qFormat/>
    <w:rPr>
      <w:i/>
      <w:iCs/>
    </w:rPr>
  </w:style>
  <w:style w:type="character" w:styleId="TestofumettoCarattere" w:customStyle="1">
    <w:name w:val="Testo fumetto Carattere"/>
    <w:basedOn w:val="DefaultParagraphFont"/>
    <w:link w:val="Testofumetto"/>
    <w:uiPriority w:val="99"/>
    <w:semiHidden/>
    <w:qFormat/>
    <w:rsid w:val="000d7034"/>
    <w:rPr>
      <w:rFonts w:ascii="Segoe UI" w:hAnsi="Segoe UI" w:eastAsia="Times New Roman" w:cs="Segoe UI"/>
      <w:color w:val="00000A"/>
      <w:sz w:val="18"/>
      <w:szCs w:val="18"/>
      <w:lang w:eastAsia="zh-CN"/>
    </w:rPr>
  </w:style>
  <w:style w:type="character" w:styleId="Annotationreference">
    <w:name w:val="annotation reference"/>
    <w:basedOn w:val="DefaultParagraphFont"/>
    <w:uiPriority w:val="99"/>
    <w:semiHidden/>
    <w:unhideWhenUsed/>
    <w:qFormat/>
    <w:rsid w:val="00b32187"/>
    <w:rPr>
      <w:sz w:val="16"/>
      <w:szCs w:val="16"/>
    </w:rPr>
  </w:style>
  <w:style w:type="character" w:styleId="TestocommentoCarattere" w:customStyle="1">
    <w:name w:val="Testo commento Carattere"/>
    <w:basedOn w:val="DefaultParagraphFont"/>
    <w:link w:val="Testocommento"/>
    <w:uiPriority w:val="99"/>
    <w:semiHidden/>
    <w:qFormat/>
    <w:rsid w:val="00b32187"/>
    <w:rPr>
      <w:rFonts w:ascii="Times New Roman" w:hAnsi="Times New Roman" w:eastAsia="Times New Roman" w:cs="Times New Roman"/>
      <w:color w:val="00000A"/>
      <w:szCs w:val="20"/>
      <w:lang w:eastAsia="zh-CN"/>
    </w:rPr>
  </w:style>
  <w:style w:type="character" w:styleId="SoggettocommentoCarattere" w:customStyle="1">
    <w:name w:val="Soggetto commento Carattere"/>
    <w:basedOn w:val="TestocommentoCarattere"/>
    <w:link w:val="Soggettocommento"/>
    <w:uiPriority w:val="99"/>
    <w:semiHidden/>
    <w:qFormat/>
    <w:rsid w:val="00b32187"/>
    <w:rPr>
      <w:rFonts w:ascii="Times New Roman" w:hAnsi="Times New Roman" w:eastAsia="Times New Roman" w:cs="Times New Roman"/>
      <w:b/>
      <w:bCs/>
      <w:color w:val="00000A"/>
      <w:szCs w:val="20"/>
      <w:lang w:eastAsia="zh-CN"/>
    </w:rPr>
  </w:style>
  <w:style w:type="paragraph" w:styleId="Titolo">
    <w:name w:val="Titolo"/>
    <w:basedOn w:val="Normal"/>
    <w:next w:val="Corpodeltesto"/>
    <w:qFormat/>
    <w:pPr>
      <w:keepNext/>
      <w:spacing w:before="240" w:after="120"/>
    </w:pPr>
    <w:rPr>
      <w:rFonts w:ascii="Liberation Sans;Arial" w:hAnsi="Liberation Sans;Arial" w:eastAsia="Droid Sans Fallback" w:cs="FreeSans"/>
      <w:sz w:val="28"/>
      <w:szCs w:val="28"/>
    </w:rPr>
  </w:style>
  <w:style w:type="paragraph" w:styleId="Corpodeltesto" w:customStyle="1">
    <w:name w:val="Body Text"/>
    <w:basedOn w:val="Normal"/>
    <w:pPr>
      <w:spacing w:lineRule="auto" w:line="288" w:before="0" w:after="140"/>
    </w:pPr>
    <w:rPr/>
  </w:style>
  <w:style w:type="paragraph" w:styleId="Elenco">
    <w:name w:val="List"/>
    <w:basedOn w:val="Corpodeltesto"/>
    <w:pPr/>
    <w:rPr>
      <w:rFonts w:cs="FreeSans"/>
    </w:rPr>
  </w:style>
  <w:style w:type="paragraph" w:styleId="Didascalia">
    <w:name w:val="Caption"/>
    <w:basedOn w:val="Normal"/>
    <w:qFormat/>
    <w:pPr>
      <w:suppressLineNumbers/>
      <w:spacing w:before="120" w:after="120"/>
    </w:pPr>
    <w:rPr>
      <w:rFonts w:ascii="Times New Roman" w:hAnsi="Times New Roman" w:cs="FreeSans"/>
      <w:i/>
      <w:iCs/>
      <w:sz w:val="24"/>
      <w:szCs w:val="24"/>
    </w:rPr>
  </w:style>
  <w:style w:type="paragraph" w:styleId="Indice" w:customStyle="1">
    <w:name w:val="Indice"/>
    <w:basedOn w:val="Normal"/>
    <w:qFormat/>
    <w:pPr>
      <w:suppressLineNumbers/>
    </w:pPr>
    <w:rPr>
      <w:rFonts w:cs="FreeSans"/>
    </w:rPr>
  </w:style>
  <w:style w:type="paragraph" w:styleId="Titoloprincipale">
    <w:name w:val="Title"/>
    <w:basedOn w:val="Normal"/>
    <w:qFormat/>
    <w:pPr>
      <w:keepNext/>
      <w:spacing w:before="240" w:after="120"/>
    </w:pPr>
    <w:rPr>
      <w:rFonts w:ascii="Liberation Sans;Arial" w:hAnsi="Liberation Sans;Arial" w:eastAsia="Droid Sans Fallback" w:cs="FreeSans"/>
      <w:sz w:val="28"/>
      <w:szCs w:val="28"/>
    </w:rPr>
  </w:style>
  <w:style w:type="paragraph" w:styleId="Caption">
    <w:name w:val="caption"/>
    <w:basedOn w:val="Normal"/>
    <w:qFormat/>
    <w:pPr>
      <w:suppressLineNumbers/>
      <w:spacing w:before="120" w:after="120"/>
    </w:pPr>
    <w:rPr>
      <w:rFonts w:cs="FreeSans"/>
      <w:i/>
      <w:iCs/>
    </w:rPr>
  </w:style>
  <w:style w:type="paragraph" w:styleId="ListParagraph">
    <w:name w:val="List Paragraph"/>
    <w:basedOn w:val="Normal"/>
    <w:uiPriority w:val="34"/>
    <w:qFormat/>
    <w:rsid w:val="000e362d"/>
    <w:pPr>
      <w:spacing w:before="0" w:after="0"/>
      <w:ind w:left="720" w:hanging="0"/>
      <w:contextualSpacing/>
    </w:pPr>
    <w:rPr/>
  </w:style>
  <w:style w:type="paragraph" w:styleId="Paragrafobiblio" w:customStyle="1">
    <w:name w:val="paragrafo biblio"/>
    <w:basedOn w:val="Normal"/>
    <w:qFormat/>
    <w:rsid w:val="000e362d"/>
    <w:pPr>
      <w:widowControl w:val="false"/>
      <w:ind w:left="397" w:hanging="397"/>
      <w:textAlignment w:val="baseline"/>
    </w:pPr>
    <w:rPr>
      <w:rFonts w:eastAsia="Lucida Sans Unicode"/>
      <w:sz w:val="22"/>
      <w:szCs w:val="20"/>
      <w:lang w:val="en-GB" w:eastAsia="it-IT"/>
    </w:rPr>
  </w:style>
  <w:style w:type="paragraph" w:styleId="NormalWeb">
    <w:name w:val="Normal (Web)"/>
    <w:basedOn w:val="Normal"/>
    <w:uiPriority w:val="99"/>
    <w:semiHidden/>
    <w:unhideWhenUsed/>
    <w:qFormat/>
    <w:rsid w:val="00bf1c14"/>
    <w:pPr>
      <w:suppressAutoHyphens w:val="false"/>
      <w:spacing w:beforeAutospacing="1" w:afterAutospacing="1"/>
    </w:pPr>
    <w:rPr>
      <w:lang w:eastAsia="it-IT"/>
    </w:rPr>
  </w:style>
  <w:style w:type="paragraph" w:styleId="Footnotetext">
    <w:name w:val="footnote text"/>
    <w:basedOn w:val="Normal"/>
    <w:link w:val="TestonotaapidipaginaCarattere"/>
    <w:uiPriority w:val="99"/>
    <w:semiHidden/>
    <w:unhideWhenUsed/>
    <w:qFormat/>
    <w:rsid w:val="00870242"/>
    <w:pPr/>
    <w:rPr>
      <w:sz w:val="20"/>
      <w:szCs w:val="20"/>
    </w:rPr>
  </w:style>
  <w:style w:type="paragraph" w:styleId="Notaapidipagina" w:customStyle="1">
    <w:name w:val="Footnote Text"/>
    <w:basedOn w:val="Normal"/>
    <w:pPr/>
    <w:rPr/>
  </w:style>
  <w:style w:type="paragraph" w:styleId="Contenutotabella" w:customStyle="1">
    <w:name w:val="Contenuto tabella"/>
    <w:basedOn w:val="Normal"/>
    <w:qFormat/>
    <w:pPr/>
    <w:rPr/>
  </w:style>
  <w:style w:type="paragraph" w:styleId="Titolotabella" w:customStyle="1">
    <w:name w:val="Titolo tabella"/>
    <w:basedOn w:val="Contenutotabella"/>
    <w:qFormat/>
    <w:pPr/>
    <w:rPr/>
  </w:style>
  <w:style w:type="paragraph" w:styleId="BalloonText">
    <w:name w:val="Balloon Text"/>
    <w:basedOn w:val="Normal"/>
    <w:link w:val="TestofumettoCarattere"/>
    <w:uiPriority w:val="99"/>
    <w:semiHidden/>
    <w:unhideWhenUsed/>
    <w:qFormat/>
    <w:rsid w:val="000d7034"/>
    <w:pPr/>
    <w:rPr>
      <w:rFonts w:ascii="Segoe UI" w:hAnsi="Segoe UI" w:cs="Segoe UI"/>
      <w:sz w:val="18"/>
      <w:szCs w:val="18"/>
    </w:rPr>
  </w:style>
  <w:style w:type="paragraph" w:styleId="Revision">
    <w:name w:val="Revision"/>
    <w:uiPriority w:val="99"/>
    <w:semiHidden/>
    <w:qFormat/>
    <w:rsid w:val="000d7034"/>
    <w:pPr>
      <w:widowControl/>
      <w:bidi w:val="0"/>
      <w:jc w:val="left"/>
    </w:pPr>
    <w:rPr>
      <w:rFonts w:ascii="Times New Roman" w:hAnsi="Times New Roman" w:eastAsia="Times New Roman" w:cs="Times New Roman"/>
      <w:color w:val="00000A"/>
      <w:sz w:val="24"/>
      <w:szCs w:val="24"/>
      <w:lang w:val="it-IT" w:eastAsia="zh-CN" w:bidi="ar-SA"/>
    </w:rPr>
  </w:style>
  <w:style w:type="paragraph" w:styleId="Annotationtext">
    <w:name w:val="annotation text"/>
    <w:basedOn w:val="Normal"/>
    <w:link w:val="TestocommentoCarattere"/>
    <w:uiPriority w:val="99"/>
    <w:semiHidden/>
    <w:unhideWhenUsed/>
    <w:qFormat/>
    <w:rsid w:val="00b32187"/>
    <w:pPr/>
    <w:rPr>
      <w:sz w:val="20"/>
      <w:szCs w:val="20"/>
    </w:rPr>
  </w:style>
  <w:style w:type="paragraph" w:styleId="Annotationsubject">
    <w:name w:val="annotation subject"/>
    <w:basedOn w:val="Annotationtext"/>
    <w:link w:val="SoggettocommentoCarattere"/>
    <w:uiPriority w:val="99"/>
    <w:semiHidden/>
    <w:unhideWhenUsed/>
    <w:qFormat/>
    <w:rsid w:val="00b32187"/>
    <w:pPr/>
    <w:rPr>
      <w:b/>
      <w:bCs/>
    </w:rPr>
  </w:style>
  <w:style w:type="numbering" w:styleId="NoList" w:default="1">
    <w:name w:val="No List"/>
    <w:uiPriority w:val="99"/>
    <w:semiHidden/>
    <w:unhideWhenUsed/>
    <w:qFormat/>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table" w:styleId="Grigliatabella">
    <w:name w:val="Table Grid"/>
    <w:basedOn w:val="Tabellanormale"/>
    <w:uiPriority w:val="39"/>
    <w:rsid w:val="00585e5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E620B2-35B3-44D9-84B1-E4FFF2667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Application>LibreOffice/5.1.6.2$Linux_X86_64 LibreOffice_project/10m0$Build-2</Application>
  <Pages>10</Pages>
  <Words>5569</Words>
  <Characters>31794</Characters>
  <CharactersWithSpaces>37193</CharactersWithSpaces>
  <Paragraphs>202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2016-09-17T13:27:00Z</dcterms:created>
  <dc:creator>Fabiana</dc:creator>
  <dc:description/>
  <dc:language>it-IT</dc:language>
  <cp:lastModifiedBy>me </cp:lastModifiedBy>
  <dcterms:modified xsi:type="dcterms:W3CDTF">2017-05-13T08:55:44Z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