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5E125" w14:textId="77777777" w:rsidR="00212707" w:rsidRPr="00B20276" w:rsidRDefault="00212707" w:rsidP="00A1437A">
      <w:pPr>
        <w:pStyle w:val="Articletitle"/>
        <w:spacing w:after="0" w:line="480" w:lineRule="auto"/>
        <w:rPr>
          <w:sz w:val="24"/>
        </w:rPr>
      </w:pPr>
      <w:bookmarkStart w:id="0" w:name="_GoBack"/>
      <w:bookmarkEnd w:id="0"/>
      <w:r w:rsidRPr="00B20276">
        <w:rPr>
          <w:sz w:val="24"/>
        </w:rPr>
        <w:t>Socio-economic effects of an earthquake: Does spatial heterogeneity matter?</w:t>
      </w:r>
    </w:p>
    <w:p w14:paraId="318B1C4A" w14:textId="77777777" w:rsidR="00212707" w:rsidRPr="00B20276" w:rsidRDefault="00212707" w:rsidP="00A1437A"/>
    <w:p w14:paraId="40C9002D" w14:textId="77777777" w:rsidR="00212707" w:rsidRPr="00B20276" w:rsidRDefault="00212707" w:rsidP="00A1437A">
      <w:pPr>
        <w:pStyle w:val="Authornames"/>
        <w:spacing w:before="0" w:line="480" w:lineRule="auto"/>
        <w:rPr>
          <w:sz w:val="24"/>
          <w:lang w:val="it-IT"/>
        </w:rPr>
      </w:pPr>
      <w:r w:rsidRPr="00B20276">
        <w:rPr>
          <w:sz w:val="24"/>
          <w:lang w:val="it-IT"/>
        </w:rPr>
        <w:t>Francesco Pagliacci and Margherita Russo</w:t>
      </w:r>
    </w:p>
    <w:p w14:paraId="7A188826" w14:textId="77777777" w:rsidR="00212707" w:rsidRPr="00B20276" w:rsidRDefault="00212707" w:rsidP="00A1437A">
      <w:pPr>
        <w:pStyle w:val="Affiliation"/>
        <w:spacing w:before="0" w:line="480" w:lineRule="auto"/>
        <w:rPr>
          <w:lang w:val="it-IT"/>
        </w:rPr>
      </w:pPr>
      <w:r w:rsidRPr="00B20276">
        <w:rPr>
          <w:lang w:val="it-IT"/>
        </w:rPr>
        <w:t>Department of Economics Marco Biagi, Università degli Studi di Modena e Reggio Emilia, Modena, Italy and CAPP (Centro di Analisi delle Politiche Pubbliche)</w:t>
      </w:r>
    </w:p>
    <w:p w14:paraId="1A2C16CA" w14:textId="77777777" w:rsidR="00212707" w:rsidRPr="00A5663F" w:rsidRDefault="00212707" w:rsidP="00A1437A">
      <w:pPr>
        <w:pStyle w:val="Correspondencedetails"/>
        <w:spacing w:before="0" w:line="480" w:lineRule="auto"/>
        <w:rPr>
          <w:lang w:val="it-IT"/>
        </w:rPr>
      </w:pPr>
      <w:r w:rsidRPr="00A5663F">
        <w:rPr>
          <w:lang w:val="it-IT"/>
        </w:rPr>
        <w:t>Viale Berengario 51, 41121 Modena (Mo), Italy</w:t>
      </w:r>
    </w:p>
    <w:p w14:paraId="2872F5F6" w14:textId="55585D43" w:rsidR="00212707" w:rsidRPr="00A5663F" w:rsidRDefault="00FA6339" w:rsidP="00A1437A">
      <w:pPr>
        <w:pStyle w:val="Correspondencedetails"/>
        <w:spacing w:before="0" w:line="480" w:lineRule="auto"/>
        <w:rPr>
          <w:lang w:val="it-IT"/>
        </w:rPr>
      </w:pPr>
      <w:r w:rsidRPr="00A5663F">
        <w:rPr>
          <w:lang w:val="it-IT"/>
        </w:rPr>
        <w:t>francesco.pagliacci@unimore.it</w:t>
      </w:r>
      <w:r w:rsidR="007E6D5D" w:rsidRPr="00A5663F">
        <w:rPr>
          <w:lang w:val="it-IT"/>
        </w:rPr>
        <w:t>,</w:t>
      </w:r>
      <w:r w:rsidRPr="00A5663F">
        <w:rPr>
          <w:lang w:val="it-IT"/>
        </w:rPr>
        <w:t xml:space="preserve"> margherita.russo@unimore.it</w:t>
      </w:r>
    </w:p>
    <w:p w14:paraId="3ABF3C23" w14:textId="77777777" w:rsidR="00212707" w:rsidRPr="00A5663F" w:rsidRDefault="00212707" w:rsidP="00A1437A">
      <w:pPr>
        <w:rPr>
          <w:b/>
          <w:lang w:val="it-IT"/>
        </w:rPr>
      </w:pPr>
      <w:r w:rsidRPr="00A5663F">
        <w:rPr>
          <w:lang w:val="it-IT"/>
        </w:rPr>
        <w:br w:type="page"/>
      </w:r>
    </w:p>
    <w:p w14:paraId="4EC6BDBC" w14:textId="31CDAEFF" w:rsidR="00C246C5" w:rsidRPr="00B20276" w:rsidRDefault="00440AD4" w:rsidP="00A1437A">
      <w:pPr>
        <w:pStyle w:val="Articletitle"/>
        <w:spacing w:after="0" w:line="480" w:lineRule="auto"/>
        <w:rPr>
          <w:sz w:val="24"/>
        </w:rPr>
      </w:pPr>
      <w:r w:rsidRPr="00B20276">
        <w:rPr>
          <w:sz w:val="24"/>
        </w:rPr>
        <w:lastRenderedPageBreak/>
        <w:t xml:space="preserve">Socio-economic effects of an earthquake: </w:t>
      </w:r>
      <w:r w:rsidR="00AB41D4" w:rsidRPr="00B20276">
        <w:rPr>
          <w:sz w:val="24"/>
        </w:rPr>
        <w:t>D</w:t>
      </w:r>
      <w:r w:rsidRPr="00B20276">
        <w:rPr>
          <w:sz w:val="24"/>
        </w:rPr>
        <w:t>oes</w:t>
      </w:r>
      <w:r w:rsidR="00F91EB1" w:rsidRPr="00B20276">
        <w:rPr>
          <w:sz w:val="24"/>
        </w:rPr>
        <w:t xml:space="preserve"> spatial</w:t>
      </w:r>
      <w:r w:rsidRPr="00B20276">
        <w:rPr>
          <w:sz w:val="24"/>
        </w:rPr>
        <w:t xml:space="preserve"> heterogeneity matter?</w:t>
      </w:r>
    </w:p>
    <w:p w14:paraId="05EBA7C2" w14:textId="764CB909" w:rsidR="00152497" w:rsidRPr="00B20276" w:rsidRDefault="00152497" w:rsidP="00B20276">
      <w:pPr>
        <w:pStyle w:val="Abstract"/>
        <w:spacing w:before="0" w:after="0" w:line="480" w:lineRule="auto"/>
        <w:ind w:left="0"/>
        <w:rPr>
          <w:sz w:val="24"/>
        </w:rPr>
      </w:pPr>
      <w:r w:rsidRPr="00B20276">
        <w:rPr>
          <w:b/>
          <w:sz w:val="24"/>
        </w:rPr>
        <w:t>Abstract</w:t>
      </w:r>
      <w:r w:rsidRPr="00B20276">
        <w:rPr>
          <w:sz w:val="24"/>
        </w:rPr>
        <w:t xml:space="preserve"> </w:t>
      </w:r>
    </w:p>
    <w:p w14:paraId="3969A865" w14:textId="16378014" w:rsidR="00266354" w:rsidRPr="00B20276" w:rsidRDefault="00D90552" w:rsidP="00B20276">
      <w:pPr>
        <w:pStyle w:val="Abstract"/>
        <w:spacing w:before="0" w:after="0" w:line="480" w:lineRule="auto"/>
        <w:ind w:left="0"/>
        <w:rPr>
          <w:sz w:val="24"/>
        </w:rPr>
      </w:pPr>
      <w:r w:rsidRPr="00B20276">
        <w:rPr>
          <w:sz w:val="24"/>
        </w:rPr>
        <w:t xml:space="preserve">Estimation of </w:t>
      </w:r>
      <w:r w:rsidR="005F3334" w:rsidRPr="00B20276">
        <w:rPr>
          <w:sz w:val="24"/>
        </w:rPr>
        <w:t xml:space="preserve">macroeconomic effects of </w:t>
      </w:r>
      <w:r w:rsidR="00926398" w:rsidRPr="00B20276">
        <w:rPr>
          <w:sz w:val="24"/>
        </w:rPr>
        <w:t xml:space="preserve">an </w:t>
      </w:r>
      <w:r w:rsidR="005F3334" w:rsidRPr="00B20276">
        <w:rPr>
          <w:sz w:val="24"/>
        </w:rPr>
        <w:t>earthquake</w:t>
      </w:r>
      <w:r w:rsidRPr="00B20276">
        <w:rPr>
          <w:sz w:val="24"/>
        </w:rPr>
        <w:t xml:space="preserve"> critically depends on:</w:t>
      </w:r>
      <w:r w:rsidR="009A4839" w:rsidRPr="00B20276">
        <w:rPr>
          <w:sz w:val="24"/>
        </w:rPr>
        <w:t xml:space="preserve"> </w:t>
      </w:r>
      <w:r w:rsidR="005F3334" w:rsidRPr="00B20276">
        <w:rPr>
          <w:sz w:val="24"/>
        </w:rPr>
        <w:t xml:space="preserve">the </w:t>
      </w:r>
      <w:r w:rsidRPr="00B20276">
        <w:rPr>
          <w:sz w:val="24"/>
        </w:rPr>
        <w:t xml:space="preserve">identification of the </w:t>
      </w:r>
      <w:r w:rsidR="00AB41D4" w:rsidRPr="00B20276">
        <w:rPr>
          <w:sz w:val="24"/>
        </w:rPr>
        <w:t>affected area’s</w:t>
      </w:r>
      <w:r w:rsidRPr="00B20276">
        <w:rPr>
          <w:sz w:val="24"/>
        </w:rPr>
        <w:t xml:space="preserve"> boundaries</w:t>
      </w:r>
      <w:r w:rsidR="005F3334" w:rsidRPr="00B20276">
        <w:rPr>
          <w:sz w:val="24"/>
        </w:rPr>
        <w:t xml:space="preserve">, </w:t>
      </w:r>
      <w:r w:rsidR="00AB41D4" w:rsidRPr="00B20276">
        <w:rPr>
          <w:sz w:val="24"/>
        </w:rPr>
        <w:t xml:space="preserve">socio-economic </w:t>
      </w:r>
      <w:r w:rsidRPr="00B20276">
        <w:rPr>
          <w:sz w:val="24"/>
        </w:rPr>
        <w:t xml:space="preserve">local </w:t>
      </w:r>
      <w:r w:rsidR="005F3334" w:rsidRPr="00B20276">
        <w:rPr>
          <w:sz w:val="24"/>
        </w:rPr>
        <w:t>heterogeneity</w:t>
      </w:r>
      <w:r w:rsidRPr="00B20276">
        <w:rPr>
          <w:sz w:val="24"/>
        </w:rPr>
        <w:t>,</w:t>
      </w:r>
      <w:r w:rsidR="005F3334" w:rsidRPr="00B20276">
        <w:rPr>
          <w:sz w:val="24"/>
        </w:rPr>
        <w:t xml:space="preserve"> proper counterfactual </w:t>
      </w:r>
      <w:r w:rsidRPr="00B20276">
        <w:rPr>
          <w:sz w:val="24"/>
        </w:rPr>
        <w:t>analysis</w:t>
      </w:r>
      <w:r w:rsidR="005F3334" w:rsidRPr="00B20276">
        <w:rPr>
          <w:sz w:val="24"/>
        </w:rPr>
        <w:t>. By taking the 2012 Emilia-Romagna earthquake (Italy) as a case</w:t>
      </w:r>
      <w:r w:rsidR="0036765C" w:rsidRPr="00B20276">
        <w:rPr>
          <w:sz w:val="24"/>
        </w:rPr>
        <w:t>-</w:t>
      </w:r>
      <w:r w:rsidR="005F3334" w:rsidRPr="00B20276">
        <w:rPr>
          <w:sz w:val="24"/>
        </w:rPr>
        <w:t>study, this paper answer</w:t>
      </w:r>
      <w:r w:rsidR="00926398" w:rsidRPr="00B20276">
        <w:rPr>
          <w:sz w:val="24"/>
        </w:rPr>
        <w:t>s</w:t>
      </w:r>
      <w:r w:rsidR="005F3334" w:rsidRPr="00B20276">
        <w:rPr>
          <w:sz w:val="24"/>
        </w:rPr>
        <w:t xml:space="preserve"> these questions in a sub-regional </w:t>
      </w:r>
      <w:r w:rsidR="00926398" w:rsidRPr="00B20276">
        <w:rPr>
          <w:sz w:val="24"/>
        </w:rPr>
        <w:t>framework</w:t>
      </w:r>
      <w:r w:rsidR="005F3334" w:rsidRPr="00B20276">
        <w:rPr>
          <w:sz w:val="24"/>
        </w:rPr>
        <w:t>.</w:t>
      </w:r>
      <w:r w:rsidR="00926398" w:rsidRPr="00B20276">
        <w:rPr>
          <w:sz w:val="24"/>
        </w:rPr>
        <w:t xml:space="preserve"> C</w:t>
      </w:r>
      <w:r w:rsidR="0032758F" w:rsidRPr="00B20276">
        <w:rPr>
          <w:sz w:val="24"/>
        </w:rPr>
        <w:t>luster analysis</w:t>
      </w:r>
      <w:r w:rsidR="00926398" w:rsidRPr="00B20276">
        <w:rPr>
          <w:sz w:val="24"/>
        </w:rPr>
        <w:t xml:space="preserve"> tackles</w:t>
      </w:r>
      <w:r w:rsidR="005F3334" w:rsidRPr="00B20276">
        <w:rPr>
          <w:sz w:val="24"/>
        </w:rPr>
        <w:t xml:space="preserve"> the heterogeneity issue, </w:t>
      </w:r>
      <w:r w:rsidR="00926398" w:rsidRPr="00B20276">
        <w:rPr>
          <w:sz w:val="24"/>
        </w:rPr>
        <w:t xml:space="preserve">returning </w:t>
      </w:r>
      <w:r w:rsidR="00AB41D4" w:rsidRPr="00B20276">
        <w:rPr>
          <w:sz w:val="24"/>
        </w:rPr>
        <w:t>different typ</w:t>
      </w:r>
      <w:r w:rsidR="00314A96" w:rsidRPr="00B20276">
        <w:rPr>
          <w:sz w:val="24"/>
        </w:rPr>
        <w:t>e</w:t>
      </w:r>
      <w:r w:rsidR="00AB41D4" w:rsidRPr="00B20276">
        <w:rPr>
          <w:sz w:val="24"/>
        </w:rPr>
        <w:t>s</w:t>
      </w:r>
      <w:r w:rsidR="005F3334" w:rsidRPr="00B20276">
        <w:rPr>
          <w:sz w:val="24"/>
        </w:rPr>
        <w:t xml:space="preserve"> of </w:t>
      </w:r>
      <w:r w:rsidR="00926398" w:rsidRPr="00B20276">
        <w:rPr>
          <w:sz w:val="24"/>
        </w:rPr>
        <w:t xml:space="preserve">affected </w:t>
      </w:r>
      <w:r w:rsidR="005F3334" w:rsidRPr="00B20276">
        <w:rPr>
          <w:sz w:val="24"/>
        </w:rPr>
        <w:t xml:space="preserve">municipalities. </w:t>
      </w:r>
      <w:r w:rsidR="00926398" w:rsidRPr="00B20276">
        <w:rPr>
          <w:sz w:val="24"/>
        </w:rPr>
        <w:t>Then</w:t>
      </w:r>
      <w:r w:rsidR="005F3334" w:rsidRPr="00B20276">
        <w:rPr>
          <w:sz w:val="24"/>
        </w:rPr>
        <w:t xml:space="preserve">, a difference-in-differences analysis </w:t>
      </w:r>
      <w:r w:rsidR="00926398" w:rsidRPr="00B20276">
        <w:rPr>
          <w:sz w:val="24"/>
        </w:rPr>
        <w:t xml:space="preserve">suggests </w:t>
      </w:r>
      <w:r w:rsidR="00D82368" w:rsidRPr="00B20276">
        <w:rPr>
          <w:sz w:val="24"/>
        </w:rPr>
        <w:t>that, s</w:t>
      </w:r>
      <w:r w:rsidR="0032758F" w:rsidRPr="00B20276">
        <w:rPr>
          <w:sz w:val="24"/>
        </w:rPr>
        <w:t>ince</w:t>
      </w:r>
      <w:r w:rsidR="005F3334" w:rsidRPr="00B20276">
        <w:rPr>
          <w:sz w:val="24"/>
        </w:rPr>
        <w:t xml:space="preserve"> </w:t>
      </w:r>
      <w:r w:rsidR="00926398" w:rsidRPr="00B20276">
        <w:rPr>
          <w:sz w:val="24"/>
        </w:rPr>
        <w:t>2012,</w:t>
      </w:r>
      <w:r w:rsidR="005F3334" w:rsidRPr="00B20276">
        <w:rPr>
          <w:sz w:val="24"/>
        </w:rPr>
        <w:t xml:space="preserve"> some clusters</w:t>
      </w:r>
      <w:r w:rsidR="0032758F" w:rsidRPr="00B20276">
        <w:rPr>
          <w:sz w:val="24"/>
        </w:rPr>
        <w:t xml:space="preserve"> </w:t>
      </w:r>
      <w:r w:rsidR="00985426" w:rsidRPr="00B20276">
        <w:rPr>
          <w:sz w:val="24"/>
        </w:rPr>
        <w:t xml:space="preserve">(and some municipalities within them) </w:t>
      </w:r>
      <w:r w:rsidR="005F3334" w:rsidRPr="00B20276">
        <w:rPr>
          <w:sz w:val="24"/>
        </w:rPr>
        <w:t>have perform</w:t>
      </w:r>
      <w:r w:rsidR="00AB41D4" w:rsidRPr="00B20276">
        <w:rPr>
          <w:sz w:val="24"/>
        </w:rPr>
        <w:t>ed</w:t>
      </w:r>
      <w:r w:rsidR="00F133D0" w:rsidRPr="00B20276">
        <w:rPr>
          <w:sz w:val="24"/>
        </w:rPr>
        <w:t xml:space="preserve"> better than others</w:t>
      </w:r>
      <w:r w:rsidR="005F3334" w:rsidRPr="00B20276">
        <w:rPr>
          <w:sz w:val="24"/>
        </w:rPr>
        <w:t xml:space="preserve">. This contrasts with the </w:t>
      </w:r>
      <w:r w:rsidR="00D82E6E" w:rsidRPr="00B20276">
        <w:rPr>
          <w:sz w:val="24"/>
        </w:rPr>
        <w:t>result</w:t>
      </w:r>
      <w:r w:rsidRPr="00B20276">
        <w:rPr>
          <w:sz w:val="24"/>
        </w:rPr>
        <w:t>s</w:t>
      </w:r>
      <w:r w:rsidR="00D82E6E" w:rsidRPr="00B20276">
        <w:rPr>
          <w:sz w:val="24"/>
        </w:rPr>
        <w:t xml:space="preserve"> </w:t>
      </w:r>
      <w:r w:rsidR="005F3334" w:rsidRPr="00B20276">
        <w:rPr>
          <w:sz w:val="24"/>
        </w:rPr>
        <w:t xml:space="preserve">observed by comparing the whole affected area with the non-affected one, with implications for policy interventions and </w:t>
      </w:r>
      <w:r w:rsidR="00D82368" w:rsidRPr="00B20276">
        <w:rPr>
          <w:sz w:val="24"/>
        </w:rPr>
        <w:t xml:space="preserve">for </w:t>
      </w:r>
      <w:r w:rsidR="00926398" w:rsidRPr="00B20276">
        <w:rPr>
          <w:sz w:val="24"/>
        </w:rPr>
        <w:t>the</w:t>
      </w:r>
      <w:r w:rsidR="005F3334" w:rsidRPr="00B20276">
        <w:rPr>
          <w:sz w:val="24"/>
        </w:rPr>
        <w:t xml:space="preserve"> recovery processes</w:t>
      </w:r>
      <w:r w:rsidR="00440AD4" w:rsidRPr="00B20276">
        <w:rPr>
          <w:sz w:val="24"/>
        </w:rPr>
        <w:t>.</w:t>
      </w:r>
    </w:p>
    <w:p w14:paraId="2696E24D" w14:textId="016130C3" w:rsidR="00212707" w:rsidRPr="00B20276" w:rsidRDefault="00212707" w:rsidP="00B20276">
      <w:pPr>
        <w:pStyle w:val="Keywords"/>
        <w:spacing w:before="0" w:after="0" w:line="480" w:lineRule="auto"/>
        <w:ind w:left="0"/>
        <w:rPr>
          <w:sz w:val="24"/>
        </w:rPr>
      </w:pPr>
      <w:r w:rsidRPr="00B20276">
        <w:rPr>
          <w:b/>
          <w:sz w:val="24"/>
        </w:rPr>
        <w:t>JEL Codes</w:t>
      </w:r>
      <w:r w:rsidRPr="00B20276">
        <w:rPr>
          <w:sz w:val="24"/>
        </w:rPr>
        <w:t>: R11, R58, C69</w:t>
      </w:r>
    </w:p>
    <w:p w14:paraId="52F2E1E0" w14:textId="3AD6EE16" w:rsidR="00212707" w:rsidRPr="00B20276" w:rsidRDefault="00212707" w:rsidP="00B20276">
      <w:pPr>
        <w:pStyle w:val="Keywords"/>
        <w:spacing w:before="0" w:after="0" w:line="480" w:lineRule="auto"/>
        <w:ind w:left="0"/>
        <w:rPr>
          <w:sz w:val="24"/>
        </w:rPr>
      </w:pPr>
      <w:r w:rsidRPr="00B20276">
        <w:rPr>
          <w:b/>
          <w:sz w:val="24"/>
        </w:rPr>
        <w:t>Keywords</w:t>
      </w:r>
      <w:r w:rsidRPr="00B20276">
        <w:rPr>
          <w:sz w:val="24"/>
        </w:rPr>
        <w:t>: cluster analysis, counterfactual analysis, earthquake socio-economic</w:t>
      </w:r>
      <w:r w:rsidR="00D90552" w:rsidRPr="00B20276">
        <w:rPr>
          <w:sz w:val="24"/>
        </w:rPr>
        <w:t xml:space="preserve"> </w:t>
      </w:r>
      <w:r w:rsidRPr="00B20276">
        <w:rPr>
          <w:sz w:val="24"/>
        </w:rPr>
        <w:t>impact, Italy</w:t>
      </w:r>
    </w:p>
    <w:p w14:paraId="5B15CD09" w14:textId="55528160" w:rsidR="00997B0F" w:rsidRPr="00B20276" w:rsidRDefault="00440AD4" w:rsidP="00A1437A">
      <w:pPr>
        <w:pStyle w:val="Titolo1"/>
        <w:spacing w:before="0" w:after="0" w:line="480" w:lineRule="auto"/>
        <w:rPr>
          <w:szCs w:val="24"/>
        </w:rPr>
      </w:pPr>
      <w:r w:rsidRPr="00B20276">
        <w:rPr>
          <w:szCs w:val="24"/>
        </w:rPr>
        <w:t>Spatial and temporal socio-economic effect</w:t>
      </w:r>
      <w:r w:rsidR="00D82368" w:rsidRPr="00B20276">
        <w:rPr>
          <w:szCs w:val="24"/>
        </w:rPr>
        <w:t>s</w:t>
      </w:r>
      <w:r w:rsidRPr="00B20276">
        <w:rPr>
          <w:szCs w:val="24"/>
        </w:rPr>
        <w:t xml:space="preserve"> of natural disasters</w:t>
      </w:r>
    </w:p>
    <w:p w14:paraId="6E67A80F" w14:textId="32BE987D" w:rsidR="00997B0F" w:rsidRPr="00B20276" w:rsidRDefault="005F3334" w:rsidP="00A1437A">
      <w:pPr>
        <w:pStyle w:val="Paragraph"/>
        <w:spacing w:before="0"/>
      </w:pPr>
      <w:r w:rsidRPr="00B20276">
        <w:t xml:space="preserve">A large strand of economic research points out </w:t>
      </w:r>
      <w:r w:rsidR="00F133D0" w:rsidRPr="00B20276">
        <w:t xml:space="preserve">the role of vulnerability in </w:t>
      </w:r>
      <w:r w:rsidRPr="00B20276">
        <w:t>affect</w:t>
      </w:r>
      <w:r w:rsidR="00F133D0" w:rsidRPr="00B20276">
        <w:t>ing</w:t>
      </w:r>
      <w:r w:rsidRPr="00B20276">
        <w:t xml:space="preserve"> both the amount of damage and the speed and efficiency of the reconstruction process of countries affected by natural disasters (Albala-Bertrand, 1993a; 1993b; Tol </w:t>
      </w:r>
      <w:r w:rsidR="00462626" w:rsidRPr="00B20276">
        <w:t>&amp; Leek, 1999; Benson &amp;</w:t>
      </w:r>
      <w:r w:rsidRPr="00B20276">
        <w:t xml:space="preserve"> Clay, 2004; Strömberg, 2007; UNISDR, </w:t>
      </w:r>
      <w:r w:rsidR="00462626" w:rsidRPr="00B20276">
        <w:t xml:space="preserve">2009; Cuaresma, 2009; Cavallo &amp; </w:t>
      </w:r>
      <w:r w:rsidRPr="00B20276">
        <w:t xml:space="preserve">Noy, </w:t>
      </w:r>
      <w:r w:rsidR="000902A0" w:rsidRPr="00B20276">
        <w:t>2011</w:t>
      </w:r>
      <w:r w:rsidRPr="00B20276">
        <w:t>; Cavallo</w:t>
      </w:r>
      <w:r w:rsidR="00462626" w:rsidRPr="00B20276">
        <w:t>, Powell &amp;</w:t>
      </w:r>
      <w:r w:rsidRPr="00B20276">
        <w:t xml:space="preserve"> </w:t>
      </w:r>
      <w:r w:rsidR="00462626" w:rsidRPr="00B20276">
        <w:t>Becerra</w:t>
      </w:r>
      <w:r w:rsidRPr="00B20276">
        <w:t xml:space="preserve">, 2010; The United Nations </w:t>
      </w:r>
      <w:r w:rsidR="00462626" w:rsidRPr="00B20276">
        <w:t>&amp;</w:t>
      </w:r>
      <w:r w:rsidRPr="00B20276">
        <w:t xml:space="preserve"> The World Bank, 2010). While studies on natural hazards (Kahn, 2003) suggest that different aspects drive the effects produced by an earthquake (e.g. location of the hypocentre, distance from the epicentre, </w:t>
      </w:r>
      <w:r w:rsidR="00F91EB1" w:rsidRPr="00B20276">
        <w:t>geo-</w:t>
      </w:r>
      <w:r w:rsidRPr="00B20276">
        <w:t xml:space="preserve">morphological characteristics of the affected area), economic studies generally focus on the socio-economic effects that an </w:t>
      </w:r>
      <w:r w:rsidRPr="00B20276">
        <w:lastRenderedPageBreak/>
        <w:t>earthquake might produce, according to the initial conditions of the country, the time span</w:t>
      </w:r>
      <w:r w:rsidR="00874D76" w:rsidRPr="00B20276">
        <w:t xml:space="preserve"> of the recovery process</w:t>
      </w:r>
      <w:r w:rsidRPr="00B20276">
        <w:t xml:space="preserve"> and </w:t>
      </w:r>
      <w:r w:rsidR="00874D76" w:rsidRPr="00B20276">
        <w:t xml:space="preserve">the </w:t>
      </w:r>
      <w:r w:rsidRPr="00B20276">
        <w:t>spatial granularity</w:t>
      </w:r>
      <w:r w:rsidR="00D82368" w:rsidRPr="00B20276">
        <w:t xml:space="preserve"> of the analysis</w:t>
      </w:r>
      <w:r w:rsidRPr="00B20276">
        <w:t>.</w:t>
      </w:r>
    </w:p>
    <w:p w14:paraId="19A746D4" w14:textId="69C04479" w:rsidR="00440AD4" w:rsidRPr="00B20276" w:rsidRDefault="005F3334" w:rsidP="00A1437A">
      <w:pPr>
        <w:pStyle w:val="Newparagraph"/>
      </w:pPr>
      <w:r w:rsidRPr="00B20276">
        <w:t xml:space="preserve">Cross-country analyses claim that developing countries suffer worse effects than developed ones, due to: i) their </w:t>
      </w:r>
      <w:r w:rsidR="00D82E6E" w:rsidRPr="00B20276">
        <w:t xml:space="preserve">smaller </w:t>
      </w:r>
      <w:r w:rsidR="002602A3" w:rsidRPr="00B20276">
        <w:t>amount of</w:t>
      </w:r>
      <w:r w:rsidRPr="00B20276">
        <w:t xml:space="preserve"> </w:t>
      </w:r>
      <w:r w:rsidR="002602A3" w:rsidRPr="00B20276">
        <w:t>public investments</w:t>
      </w:r>
      <w:r w:rsidRPr="00B20276">
        <w:t xml:space="preserve">; ii) limited organization in the emergency phase; iii) a lower degree of prevention of natural disasters (Strömberg, 2007). </w:t>
      </w:r>
      <w:r w:rsidR="00F91EB1" w:rsidRPr="00B20276">
        <w:t>When focusing on the institutional setting,</w:t>
      </w:r>
      <w:r w:rsidR="00F91EB1" w:rsidRPr="00B20276" w:rsidDel="00F91EB1">
        <w:t xml:space="preserve"> </w:t>
      </w:r>
      <w:r w:rsidR="00F91EB1" w:rsidRPr="00B20276">
        <w:t xml:space="preserve">the </w:t>
      </w:r>
      <w:r w:rsidRPr="00B20276">
        <w:t>presence of democratic institutions is not a sufficient condition to reduce the adverse effects produced by natural hazards (Kahn, 2003), while the quality - more than the quantity - of public spending (namely,</w:t>
      </w:r>
      <w:r w:rsidR="00D82368" w:rsidRPr="00B20276">
        <w:t xml:space="preserve"> the</w:t>
      </w:r>
      <w:r w:rsidRPr="00B20276">
        <w:t xml:space="preserve"> allocated resources actually spent on the territory) is </w:t>
      </w:r>
      <w:r w:rsidR="002602A3" w:rsidRPr="00B20276">
        <w:t xml:space="preserve">considered as </w:t>
      </w:r>
      <w:r w:rsidRPr="00B20276">
        <w:t xml:space="preserve">a fundamental </w:t>
      </w:r>
      <w:r w:rsidR="002602A3" w:rsidRPr="00B20276">
        <w:t xml:space="preserve">trigger for </w:t>
      </w:r>
      <w:r w:rsidRPr="00B20276">
        <w:t xml:space="preserve">a positive process of reconstruction (Barone </w:t>
      </w:r>
      <w:r w:rsidR="00462626" w:rsidRPr="00B20276">
        <w:t>&amp;</w:t>
      </w:r>
      <w:r w:rsidRPr="00B20276">
        <w:t xml:space="preserve"> Mocetti, 2014)</w:t>
      </w:r>
      <w:r w:rsidR="00440AD4" w:rsidRPr="00B20276">
        <w:t>.</w:t>
      </w:r>
    </w:p>
    <w:p w14:paraId="75A48D32" w14:textId="004CB013" w:rsidR="00440AD4" w:rsidRPr="00B20276" w:rsidRDefault="005F3334" w:rsidP="00A1437A">
      <w:pPr>
        <w:pStyle w:val="Newparagraph"/>
      </w:pPr>
      <w:r w:rsidRPr="00B20276">
        <w:t xml:space="preserve">Economic studies have also tackled the time span issue in considering the effects of an earthquake. </w:t>
      </w:r>
      <w:r w:rsidR="002D595E" w:rsidRPr="00B20276">
        <w:t xml:space="preserve">According to the United Nations and the World Bank (2010), disasters always reduce well-being </w:t>
      </w:r>
      <w:r w:rsidR="00D82E6E" w:rsidRPr="00B20276">
        <w:t xml:space="preserve">in </w:t>
      </w:r>
      <w:r w:rsidR="002D595E" w:rsidRPr="00B20276">
        <w:t xml:space="preserve">affected countries, but they may or may not have a negative impact on output growth in the medium term. </w:t>
      </w:r>
      <w:r w:rsidRPr="00B20276">
        <w:t xml:space="preserve">Although it has been commonly acknowledged that in the long run </w:t>
      </w:r>
      <w:r w:rsidR="002D595E" w:rsidRPr="00B20276">
        <w:t>earthquakes</w:t>
      </w:r>
      <w:r w:rsidRPr="00B20276">
        <w:t xml:space="preserve"> hardly affect the growth path of an economy</w:t>
      </w:r>
      <w:r w:rsidR="000902A0" w:rsidRPr="00B20276">
        <w:t xml:space="preserve"> at country level</w:t>
      </w:r>
      <w:r w:rsidRPr="00B20276">
        <w:t xml:space="preserve"> (Fiske</w:t>
      </w:r>
      <w:r w:rsidR="0001575A" w:rsidRPr="00B20276">
        <w:t>r</w:t>
      </w:r>
      <w:r w:rsidRPr="00B20276">
        <w:t>, 2012), economic conclusions may differ in the short term and when a sub-national unit is considered</w:t>
      </w:r>
      <w:r w:rsidR="007251E8" w:rsidRPr="00B20276">
        <w:t xml:space="preserve"> (Cavallo &amp; Noy, 2011)</w:t>
      </w:r>
      <w:r w:rsidRPr="00B20276">
        <w:t xml:space="preserve">. </w:t>
      </w:r>
      <w:r w:rsidR="000902A0" w:rsidRPr="00B20276">
        <w:t xml:space="preserve">For instance, </w:t>
      </w:r>
      <w:r w:rsidR="00C815BC" w:rsidRPr="00B20276">
        <w:t xml:space="preserve">at local level, </w:t>
      </w:r>
      <w:r w:rsidR="000902A0" w:rsidRPr="00B20276">
        <w:t>earthquake exposure significantly decreases 5-year economic growth</w:t>
      </w:r>
      <w:r w:rsidR="00C815BC" w:rsidRPr="00B20276">
        <w:t xml:space="preserve"> rate of the affected area</w:t>
      </w:r>
      <w:r w:rsidR="000902A0" w:rsidRPr="00B20276">
        <w:t xml:space="preserve">, </w:t>
      </w:r>
      <w:r w:rsidR="00C815BC" w:rsidRPr="00B20276">
        <w:t>while the surrounding regions may benefit, even in the medium term, from positive spillover</w:t>
      </w:r>
      <w:r w:rsidR="00802775" w:rsidRPr="00B20276">
        <w:t xml:space="preserve"> effects</w:t>
      </w:r>
      <w:r w:rsidR="00C815BC" w:rsidRPr="00B20276">
        <w:t xml:space="preserve"> </w:t>
      </w:r>
      <w:r w:rsidR="000902A0" w:rsidRPr="00B20276">
        <w:t xml:space="preserve">(Fisker, 2012). </w:t>
      </w:r>
      <w:r w:rsidR="00802775" w:rsidRPr="00B20276">
        <w:t>A</w:t>
      </w:r>
      <w:r w:rsidRPr="00B20276">
        <w:t xml:space="preserve">t local level, positive effects may be observed </w:t>
      </w:r>
      <w:r w:rsidR="00802775" w:rsidRPr="00B20276">
        <w:t xml:space="preserve">also </w:t>
      </w:r>
      <w:r w:rsidRPr="00B20276">
        <w:t xml:space="preserve">in </w:t>
      </w:r>
      <w:r w:rsidR="00802775" w:rsidRPr="00B20276">
        <w:t xml:space="preserve">the affected area in </w:t>
      </w:r>
      <w:r w:rsidRPr="00B20276">
        <w:t>the short run, because of the large amount of external public resources that flows into a limited area, to support the reconstruction process</w:t>
      </w:r>
      <w:r w:rsidR="00440AD4" w:rsidRPr="00B20276">
        <w:t xml:space="preserve">. </w:t>
      </w:r>
      <w:r w:rsidR="007251E8" w:rsidRPr="00B20276">
        <w:t xml:space="preserve">When focusing on </w:t>
      </w:r>
      <w:r w:rsidR="00CF7F91" w:rsidRPr="00B20276">
        <w:t xml:space="preserve">a </w:t>
      </w:r>
      <w:r w:rsidR="007251E8" w:rsidRPr="00B20276">
        <w:t>sub-national level</w:t>
      </w:r>
      <w:r w:rsidRPr="00B20276">
        <w:t>, a significant contribution comes from DuPont and Noy (2015), who explicitl</w:t>
      </w:r>
      <w:r w:rsidR="00802775" w:rsidRPr="00B20276">
        <w:t>y focus on medium and long term</w:t>
      </w:r>
      <w:r w:rsidRPr="00B20276">
        <w:t xml:space="preserve"> effects of an </w:t>
      </w:r>
      <w:r w:rsidRPr="00B20276">
        <w:lastRenderedPageBreak/>
        <w:t xml:space="preserve">earthquake in a sub-national frame. They suggest that the occurrence of a seismic event might negatively influence the overall path of growth of the affected area, especially in the long run (DuPont </w:t>
      </w:r>
      <w:r w:rsidR="00462626" w:rsidRPr="00B20276">
        <w:t>&amp;</w:t>
      </w:r>
      <w:r w:rsidRPr="00B20276">
        <w:t xml:space="preserve"> Noy, 2015). </w:t>
      </w:r>
      <w:r w:rsidR="00802775" w:rsidRPr="00B20276">
        <w:t>When e</w:t>
      </w:r>
      <w:r w:rsidRPr="00B20276">
        <w:t>arthquake effects are spatially concentrated,</w:t>
      </w:r>
      <w:r w:rsidR="00802775" w:rsidRPr="00B20276">
        <w:t xml:space="preserve"> they</w:t>
      </w:r>
      <w:r w:rsidRPr="00B20276">
        <w:t xml:space="preserve"> show a reduced significance at wider scales. To control for these biases, DuPont and Noy (2015) study the </w:t>
      </w:r>
      <w:r w:rsidR="0001575A" w:rsidRPr="00B20276">
        <w:t xml:space="preserve">1995 </w:t>
      </w:r>
      <w:r w:rsidRPr="00B20276">
        <w:t>Kobe earthquake and its effects on a narrower</w:t>
      </w:r>
      <w:r w:rsidR="0001575A" w:rsidRPr="00B20276">
        <w:t xml:space="preserve"> </w:t>
      </w:r>
      <w:r w:rsidR="00D82E6E" w:rsidRPr="00B20276">
        <w:t>region, but one which is</w:t>
      </w:r>
      <w:r w:rsidR="0001575A" w:rsidRPr="00B20276">
        <w:t xml:space="preserve"> relevant for the Japanese economy</w:t>
      </w:r>
      <w:r w:rsidRPr="00B20276">
        <w:t>. They adopt the methodology of the synthetic control group, suggested by Abadie</w:t>
      </w:r>
      <w:r w:rsidR="00CC6C83" w:rsidRPr="00B20276">
        <w:t>, Diamond and Hainmueller</w:t>
      </w:r>
      <w:r w:rsidRPr="00B20276">
        <w:t xml:space="preserve"> (2010), and they compare economic trends in both the prefecture hit by that earthquake and a so-called 'pseudo-Kobe' (i.e. a comparable prefecture that was not affected by that earthquake)</w:t>
      </w:r>
      <w:r w:rsidR="00DD45E4" w:rsidRPr="00B20276">
        <w:rPr>
          <w:rStyle w:val="Rimandonotadichiusura"/>
        </w:rPr>
        <w:endnoteReference w:id="2"/>
      </w:r>
      <w:r w:rsidR="00DD45E4" w:rsidRPr="00B20276">
        <w:t>.</w:t>
      </w:r>
      <w:r w:rsidR="00440AD4" w:rsidRPr="00B20276">
        <w:t xml:space="preserve"> </w:t>
      </w:r>
      <w:r w:rsidRPr="00B20276">
        <w:t xml:space="preserve">In this </w:t>
      </w:r>
      <w:r w:rsidR="00D82E6E" w:rsidRPr="00B20276">
        <w:t xml:space="preserve">research </w:t>
      </w:r>
      <w:r w:rsidRPr="00B20276">
        <w:t xml:space="preserve">strand, both temporal and spatial granularities </w:t>
      </w:r>
      <w:r w:rsidR="00E46DB5" w:rsidRPr="00B20276">
        <w:t xml:space="preserve">of the analysis </w:t>
      </w:r>
      <w:r w:rsidRPr="00B20276">
        <w:t>matter</w:t>
      </w:r>
      <w:r w:rsidR="00E46DB5" w:rsidRPr="00B20276">
        <w:t xml:space="preserve"> in assess</w:t>
      </w:r>
      <w:r w:rsidR="00D82E6E" w:rsidRPr="00B20276">
        <w:t>ing</w:t>
      </w:r>
      <w:r w:rsidR="00E46DB5" w:rsidRPr="00B20276">
        <w:t xml:space="preserve"> the impact of an earthquake</w:t>
      </w:r>
      <w:r w:rsidRPr="00B20276">
        <w:t>.</w:t>
      </w:r>
    </w:p>
    <w:p w14:paraId="1714A84E" w14:textId="53F60A9A" w:rsidR="00CF7F91" w:rsidRPr="00B20276" w:rsidRDefault="00CF7F91" w:rsidP="00A1437A">
      <w:pPr>
        <w:pStyle w:val="Newparagraph"/>
      </w:pPr>
      <w:r w:rsidRPr="00B20276">
        <w:t xml:space="preserve">At an even </w:t>
      </w:r>
      <w:r w:rsidR="00610FE8" w:rsidRPr="00B20276">
        <w:t>greater spatial granu</w:t>
      </w:r>
      <w:r w:rsidRPr="00B20276">
        <w:t xml:space="preserve">larity, DuPont </w:t>
      </w:r>
      <w:r w:rsidR="00DC7EBC" w:rsidRPr="00B20276">
        <w:rPr>
          <w:i/>
        </w:rPr>
        <w:t>et al.</w:t>
      </w:r>
      <w:r w:rsidRPr="00B20276">
        <w:rPr>
          <w:i/>
        </w:rPr>
        <w:t xml:space="preserve"> </w:t>
      </w:r>
      <w:r w:rsidRPr="00B20276">
        <w:t xml:space="preserve">(2015) also observe long-term effects of the Kobe earthquake at city and ward level. In particular, after a short-term </w:t>
      </w:r>
      <w:r w:rsidR="00EA31C9" w:rsidRPr="00B20276">
        <w:t>decrease</w:t>
      </w:r>
      <w:r w:rsidRPr="00B20276">
        <w:t xml:space="preserve"> in population which was generalised across the whole area nearest to the epicentre, in the longer</w:t>
      </w:r>
      <w:r w:rsidR="00D82E6E" w:rsidRPr="00B20276">
        <w:t xml:space="preserve"> term</w:t>
      </w:r>
      <w:r w:rsidRPr="00B20276">
        <w:t xml:space="preserve">, large heterogeneities in permanent population trends </w:t>
      </w:r>
      <w:r w:rsidR="00D82E6E" w:rsidRPr="00B20276">
        <w:t xml:space="preserve">are </w:t>
      </w:r>
      <w:r w:rsidRPr="00B20276">
        <w:t xml:space="preserve">observed, with some surrounding areas experiencing permanent </w:t>
      </w:r>
      <w:r w:rsidR="00D82E6E" w:rsidRPr="00B20276">
        <w:t xml:space="preserve">positive </w:t>
      </w:r>
      <w:r w:rsidRPr="00B20276">
        <w:t>impacts.</w:t>
      </w:r>
    </w:p>
    <w:p w14:paraId="44C9A7A2" w14:textId="434EE7C0" w:rsidR="00440AD4" w:rsidRPr="00B20276" w:rsidRDefault="00610FE8" w:rsidP="00A1437A">
      <w:pPr>
        <w:pStyle w:val="Newparagraph"/>
      </w:pPr>
      <w:r w:rsidRPr="00B20276">
        <w:t>As far as</w:t>
      </w:r>
      <w:r w:rsidR="00CF7F91" w:rsidRPr="00B20276">
        <w:t xml:space="preserve"> the </w:t>
      </w:r>
      <w:r w:rsidR="00802775" w:rsidRPr="00B20276">
        <w:t xml:space="preserve">2012 </w:t>
      </w:r>
      <w:r w:rsidR="00CF7F91" w:rsidRPr="00B20276">
        <w:t xml:space="preserve">Emilia-Romagna earthquake is concerned, applications </w:t>
      </w:r>
      <w:r w:rsidR="005F3334" w:rsidRPr="00B20276">
        <w:t>of sub-national analyses are proposed by Barone</w:t>
      </w:r>
      <w:r w:rsidR="00EE02BF" w:rsidRPr="00B20276">
        <w:t xml:space="preserve"> </w:t>
      </w:r>
      <w:r w:rsidR="00DC7EBC" w:rsidRPr="00B20276">
        <w:rPr>
          <w:i/>
        </w:rPr>
        <w:t>et al.</w:t>
      </w:r>
      <w:r w:rsidR="005F3334" w:rsidRPr="00B20276">
        <w:t xml:space="preserve"> (2013). The authors assess a limited short-run economic impact of that disaster, a result referr</w:t>
      </w:r>
      <w:r w:rsidR="00D82E6E" w:rsidRPr="00B20276">
        <w:t>ing</w:t>
      </w:r>
      <w:r w:rsidR="005F3334" w:rsidRPr="00B20276">
        <w:t xml:space="preserve"> to the regional economy as a whole compared to similar regions across Italy</w:t>
      </w:r>
      <w:r w:rsidR="0001575A" w:rsidRPr="00B20276">
        <w:t xml:space="preserve">. </w:t>
      </w:r>
      <w:r w:rsidR="002027AC" w:rsidRPr="00B20276">
        <w:t>However</w:t>
      </w:r>
      <w:r w:rsidR="00CB2E0E" w:rsidRPr="00B20276">
        <w:t xml:space="preserve">, is </w:t>
      </w:r>
      <w:r w:rsidR="005F3334" w:rsidRPr="00B20276">
        <w:t xml:space="preserve">that spatial unit of analysis the most appropriate </w:t>
      </w:r>
      <w:r w:rsidR="0001575A" w:rsidRPr="00B20276">
        <w:t xml:space="preserve">one </w:t>
      </w:r>
      <w:r w:rsidR="005F3334" w:rsidRPr="00B20276">
        <w:t xml:space="preserve">to assess the impact of that earthquake? There are two basic reasons to accept it. The </w:t>
      </w:r>
      <w:r w:rsidR="00D82E6E" w:rsidRPr="00B20276">
        <w:t>first</w:t>
      </w:r>
      <w:r w:rsidR="005F3334" w:rsidRPr="00B20276">
        <w:t xml:space="preserve"> is that data with more-detailed spatial granularity may not be available; the </w:t>
      </w:r>
      <w:r w:rsidR="00D82E6E" w:rsidRPr="00B20276">
        <w:t>second</w:t>
      </w:r>
      <w:r w:rsidR="005F3334" w:rsidRPr="00B20276">
        <w:t xml:space="preserve"> is that heterogeneity within the region does not matter and an exogenous shock would be largely compensated by the external resources supporting recovery </w:t>
      </w:r>
      <w:r w:rsidR="00D82E6E" w:rsidRPr="00B20276">
        <w:t xml:space="preserve">in </w:t>
      </w:r>
      <w:r w:rsidR="005F3334" w:rsidRPr="00B20276">
        <w:t xml:space="preserve">that specific affected area. </w:t>
      </w:r>
      <w:r w:rsidR="00243D87" w:rsidRPr="00B20276">
        <w:t>Al</w:t>
      </w:r>
      <w:r w:rsidR="005F3334" w:rsidRPr="00B20276">
        <w:t xml:space="preserve">though the first </w:t>
      </w:r>
      <w:r w:rsidR="00EA31C9" w:rsidRPr="00B20276">
        <w:t xml:space="preserve">issue </w:t>
      </w:r>
      <w:r w:rsidR="005F3334" w:rsidRPr="00B20276">
        <w:t xml:space="preserve">may be </w:t>
      </w:r>
      <w:r w:rsidR="005F3334" w:rsidRPr="00B20276">
        <w:lastRenderedPageBreak/>
        <w:t>critical (and in Ital</w:t>
      </w:r>
      <w:r w:rsidR="00243D87" w:rsidRPr="00B20276">
        <w:t>y</w:t>
      </w:r>
      <w:r w:rsidR="005F3334" w:rsidRPr="00B20276">
        <w:t xml:space="preserve"> </w:t>
      </w:r>
      <w:r w:rsidR="00D82E6E" w:rsidRPr="00B20276">
        <w:t>little</w:t>
      </w:r>
      <w:r w:rsidR="005F3334" w:rsidRPr="00B20276">
        <w:t xml:space="preserve"> socio-economic data </w:t>
      </w:r>
      <w:r w:rsidR="00E0094A" w:rsidRPr="00B20276">
        <w:t xml:space="preserve">is </w:t>
      </w:r>
      <w:r w:rsidR="005F3334" w:rsidRPr="00B20276">
        <w:t xml:space="preserve">available at municipality level), the second </w:t>
      </w:r>
      <w:r w:rsidR="00EA31C9" w:rsidRPr="00B20276">
        <w:t xml:space="preserve">one </w:t>
      </w:r>
      <w:r w:rsidR="005F3334" w:rsidRPr="00B20276">
        <w:t xml:space="preserve">deserves </w:t>
      </w:r>
      <w:r w:rsidR="00EA31C9" w:rsidRPr="00B20276">
        <w:t xml:space="preserve">specific </w:t>
      </w:r>
      <w:r w:rsidR="005F3334" w:rsidRPr="00B20276">
        <w:t>attention. It implicitly assumes that interdependences across</w:t>
      </w:r>
      <w:r w:rsidR="00EA31C9" w:rsidRPr="00B20276">
        <w:t xml:space="preserve"> neighbouring</w:t>
      </w:r>
      <w:r w:rsidR="005F3334" w:rsidRPr="00B20276">
        <w:t xml:space="preserve"> areas </w:t>
      </w:r>
      <w:r w:rsidR="0001575A" w:rsidRPr="00B20276">
        <w:t>are</w:t>
      </w:r>
      <w:r w:rsidR="005F3334" w:rsidRPr="00B20276">
        <w:t xml:space="preserve"> tenuous and </w:t>
      </w:r>
      <w:r w:rsidR="0001575A" w:rsidRPr="00B20276">
        <w:t xml:space="preserve">that </w:t>
      </w:r>
      <w:r w:rsidR="005F3334" w:rsidRPr="00B20276">
        <w:t xml:space="preserve">socio-economic heterogeneity </w:t>
      </w:r>
      <w:r w:rsidR="0001575A" w:rsidRPr="00B20276">
        <w:t xml:space="preserve">is </w:t>
      </w:r>
      <w:r w:rsidR="005F3334" w:rsidRPr="00B20276">
        <w:t>not relevant</w:t>
      </w:r>
      <w:r w:rsidR="0001575A" w:rsidRPr="00B20276">
        <w:t xml:space="preserve"> or</w:t>
      </w:r>
      <w:r w:rsidR="00E0094A" w:rsidRPr="00B20276">
        <w:t xml:space="preserve"> is</w:t>
      </w:r>
      <w:r w:rsidR="0001575A" w:rsidRPr="00B20276">
        <w:t xml:space="preserve"> just compensated by specific policy measures</w:t>
      </w:r>
      <w:r w:rsidR="00440AD4" w:rsidRPr="00B20276">
        <w:t>.</w:t>
      </w:r>
    </w:p>
    <w:p w14:paraId="0730BE0F" w14:textId="4A783311" w:rsidR="00440AD4" w:rsidRPr="00B20276" w:rsidRDefault="005F3334" w:rsidP="00A1437A">
      <w:pPr>
        <w:pStyle w:val="Newparagraph"/>
      </w:pPr>
      <w:r w:rsidRPr="00B20276">
        <w:t>This paper addresses the issue of heterogeneity at sub-regional level as a critical aspect in assessing the impact of an earthquake</w:t>
      </w:r>
      <w:r w:rsidR="00DC29A2" w:rsidRPr="00B20276">
        <w:t xml:space="preserve"> when</w:t>
      </w:r>
      <w:r w:rsidR="00B230EB" w:rsidRPr="00B20276">
        <w:t xml:space="preserve"> </w:t>
      </w:r>
      <w:r w:rsidR="00E8586B" w:rsidRPr="00B20276">
        <w:t xml:space="preserve">implementing </w:t>
      </w:r>
      <w:r w:rsidR="00DC29A2" w:rsidRPr="00B20276">
        <w:t xml:space="preserve">a </w:t>
      </w:r>
      <w:r w:rsidR="00E8586B" w:rsidRPr="00B20276">
        <w:t xml:space="preserve">recovery </w:t>
      </w:r>
      <w:r w:rsidR="00DC29A2" w:rsidRPr="00B20276">
        <w:t xml:space="preserve">programme and an effective monitoring model to support further public policy interventions, if </w:t>
      </w:r>
      <w:r w:rsidR="00E0094A" w:rsidRPr="00B20276">
        <w:t xml:space="preserve">they are </w:t>
      </w:r>
      <w:r w:rsidR="00DC29A2" w:rsidRPr="00B20276">
        <w:t>needed</w:t>
      </w:r>
      <w:r w:rsidR="00440AD4" w:rsidRPr="00B20276">
        <w:t xml:space="preserve">. </w:t>
      </w:r>
    </w:p>
    <w:p w14:paraId="73F7EE82" w14:textId="14BAC653" w:rsidR="00997B0F" w:rsidRPr="00B20276" w:rsidRDefault="005F3334" w:rsidP="00A1437A">
      <w:pPr>
        <w:pStyle w:val="Newparagraph"/>
      </w:pPr>
      <w:r w:rsidRPr="00B20276">
        <w:t xml:space="preserve">This work is structured as follows. </w:t>
      </w:r>
      <w:r w:rsidR="00E8586B" w:rsidRPr="00B20276">
        <w:t>The second s</w:t>
      </w:r>
      <w:r w:rsidRPr="00B20276">
        <w:t>ection presents the case study</w:t>
      </w:r>
      <w:r w:rsidR="00E8586B" w:rsidRPr="00B20276">
        <w:t xml:space="preserve"> and discusses the issues of </w:t>
      </w:r>
      <w:r w:rsidRPr="00B20276">
        <w:t xml:space="preserve">boundaries of the affected area. </w:t>
      </w:r>
      <w:r w:rsidR="00E8586B" w:rsidRPr="00B20276">
        <w:t>The third se</w:t>
      </w:r>
      <w:r w:rsidRPr="00B20276">
        <w:t>ction underlines the methodologies adopted in the paper</w:t>
      </w:r>
      <w:r w:rsidR="00E8586B" w:rsidRPr="00B20276">
        <w:t>,</w:t>
      </w:r>
      <w:r w:rsidRPr="00B20276">
        <w:t xml:space="preserve"> with regard to cluster and counterfactual analysis</w:t>
      </w:r>
      <w:r w:rsidR="00E8586B" w:rsidRPr="00B20276">
        <w:t>, and specifies the available data</w:t>
      </w:r>
      <w:r w:rsidRPr="00B20276">
        <w:t xml:space="preserve">. </w:t>
      </w:r>
      <w:r w:rsidR="00E8586B" w:rsidRPr="00B20276">
        <w:t>The fourth s</w:t>
      </w:r>
      <w:r w:rsidRPr="00B20276">
        <w:t xml:space="preserve">ection returns major results from cluster analysis and counterfactual analysis. </w:t>
      </w:r>
      <w:r w:rsidR="00E8586B" w:rsidRPr="00B20276">
        <w:t>The final s</w:t>
      </w:r>
      <w:r w:rsidRPr="00B20276">
        <w:t xml:space="preserve">ection concludes the work, </w:t>
      </w:r>
      <w:r w:rsidR="00A93AA0" w:rsidRPr="00B20276">
        <w:t>discussing</w:t>
      </w:r>
      <w:r w:rsidR="00E8586B" w:rsidRPr="00B20276">
        <w:t xml:space="preserve"> some</w:t>
      </w:r>
      <w:r w:rsidRPr="00B20276">
        <w:t xml:space="preserve"> methodological issues on monitoring post-earthquake socio-economic effects </w:t>
      </w:r>
      <w:r w:rsidR="00904E98" w:rsidRPr="00B20276">
        <w:t>to support targeted policies</w:t>
      </w:r>
      <w:r w:rsidR="00440AD4" w:rsidRPr="00B20276">
        <w:t>.</w:t>
      </w:r>
    </w:p>
    <w:p w14:paraId="0985DFC0" w14:textId="77777777" w:rsidR="00440AD4" w:rsidRPr="00B20276" w:rsidRDefault="00440AD4" w:rsidP="00A1437A">
      <w:pPr>
        <w:pStyle w:val="Titolo1"/>
        <w:spacing w:before="0" w:after="0" w:line="480" w:lineRule="auto"/>
        <w:rPr>
          <w:szCs w:val="24"/>
        </w:rPr>
      </w:pPr>
      <w:r w:rsidRPr="00B20276">
        <w:rPr>
          <w:szCs w:val="24"/>
        </w:rPr>
        <w:t>The case st</w:t>
      </w:r>
      <w:r w:rsidR="0035014D" w:rsidRPr="00B20276">
        <w:rPr>
          <w:szCs w:val="24"/>
        </w:rPr>
        <w:t>ud</w:t>
      </w:r>
      <w:r w:rsidRPr="00B20276">
        <w:rPr>
          <w:szCs w:val="24"/>
        </w:rPr>
        <w:t>y</w:t>
      </w:r>
    </w:p>
    <w:p w14:paraId="7650AE89" w14:textId="67996DA4" w:rsidR="00DD45E4" w:rsidRPr="00B20276" w:rsidRDefault="005F3334" w:rsidP="00A1437A">
      <w:pPr>
        <w:pStyle w:val="Paragraph"/>
        <w:spacing w:before="0"/>
      </w:pPr>
      <w:r w:rsidRPr="00B20276">
        <w:t xml:space="preserve">In May 2012, a severe earthquake hit a wide area of Northern Italy, across Emilia-Romagna, Veneto and Lombardy. The earthquake left a huge scar on a densely populated and wealthy area. The largest </w:t>
      </w:r>
      <w:r w:rsidR="00E0094A" w:rsidRPr="00B20276">
        <w:t xml:space="preserve">proportion </w:t>
      </w:r>
      <w:r w:rsidRPr="00B20276">
        <w:t xml:space="preserve">of damage </w:t>
      </w:r>
      <w:r w:rsidR="00814EAD" w:rsidRPr="00B20276">
        <w:t>(</w:t>
      </w:r>
      <w:r w:rsidR="002027AC" w:rsidRPr="00B20276">
        <w:t xml:space="preserve">estimated in </w:t>
      </w:r>
      <w:r w:rsidR="00814EAD" w:rsidRPr="00B20276">
        <w:t xml:space="preserve">about </w:t>
      </w:r>
      <w:r w:rsidR="00904E98" w:rsidRPr="00B20276">
        <w:t>€</w:t>
      </w:r>
      <w:r w:rsidR="00814EAD" w:rsidRPr="00B20276">
        <w:t xml:space="preserve">12 billion) </w:t>
      </w:r>
      <w:r w:rsidRPr="00B20276">
        <w:t>occurred in Emilia-Romagna municipalities</w:t>
      </w:r>
      <w:r w:rsidR="00814EAD" w:rsidRPr="00B20276">
        <w:t>.</w:t>
      </w:r>
      <w:r w:rsidRPr="00B20276">
        <w:t xml:space="preserve"> With a population of around 550,000 inhabitants, this area represents one of the country's most productive areas, producing almost 2% of the national GDP and significantly contributing to regional (and national) exports. This area is characteri</w:t>
      </w:r>
      <w:r w:rsidR="00450BBB" w:rsidRPr="00B20276">
        <w:t>z</w:t>
      </w:r>
      <w:r w:rsidRPr="00B20276">
        <w:t>ed by: (i) important industrial districts, which first originated in the 1960s and 1970s (Brusco, 1989)</w:t>
      </w:r>
      <w:r w:rsidR="00314A96" w:rsidRPr="00B20276">
        <w:t>; (ii) high value-added activities in the agro-food system</w:t>
      </w:r>
      <w:r w:rsidR="00DD45E4" w:rsidRPr="00B20276">
        <w:rPr>
          <w:rStyle w:val="Rimandonotadichiusura"/>
        </w:rPr>
        <w:endnoteReference w:id="3"/>
      </w:r>
      <w:r w:rsidR="00DD45E4" w:rsidRPr="00B20276">
        <w:t xml:space="preserve"> (Brasili &amp; Fanfani, 2012) and (iii) local governance </w:t>
      </w:r>
      <w:r w:rsidR="00DD45E4" w:rsidRPr="00B20276">
        <w:lastRenderedPageBreak/>
        <w:t>characterized by a special balance between public and private action, known as the 'Emilia model' (Brusco, 1982).</w:t>
      </w:r>
    </w:p>
    <w:p w14:paraId="6FE5793A" w14:textId="021364CF" w:rsidR="00DD45E4" w:rsidRPr="00B20276" w:rsidRDefault="00DD45E4" w:rsidP="00A1437A">
      <w:pPr>
        <w:pStyle w:val="Paragraph"/>
        <w:spacing w:before="0"/>
      </w:pPr>
      <w:r w:rsidRPr="00B20276">
        <w:t xml:space="preserve">In addition to human losses, the earthquake caused extensive damage to both material infrastructures and immaterial socio-cultural components. The former mainly concerned houses (around 31,000 were left unfit for habitation), historical and cultural buildings, commercial and industrial structures, buildings for health and social services (Russo &amp; Silvestri, 2016), agricultural holdings and food firms (Pagliacci &amp; Bertolini, 2016; Fanfani </w:t>
      </w:r>
      <w:r w:rsidRPr="00B20276">
        <w:rPr>
          <w:i/>
        </w:rPr>
        <w:t>et al.</w:t>
      </w:r>
      <w:r w:rsidRPr="00B20276">
        <w:t xml:space="preserve">, 2014). </w:t>
      </w:r>
      <w:r w:rsidRPr="00B20276">
        <w:rPr>
          <w:lang w:val="en-US"/>
        </w:rPr>
        <w:t>Immaterial damage mostly refers to the immaterial fractures to the local social and cultural system (comprising businesses, public administrations, families and their networks), whose re-composition is neither easy to estimate nor to predict.</w:t>
      </w:r>
    </w:p>
    <w:p w14:paraId="1A287F09" w14:textId="5936E7A9" w:rsidR="00DD45E4" w:rsidRPr="00B20276" w:rsidRDefault="00DD45E4" w:rsidP="00A1437A">
      <w:pPr>
        <w:pStyle w:val="Newparagraph"/>
      </w:pPr>
      <w:r w:rsidRPr="00B20276">
        <w:t>Assessing the medium-long term impact of the earthquake requires both a clear definition of the spatial unit of analysis (capturing all the aforementioned dimensions) and an effective counterfactual analysis.</w:t>
      </w:r>
    </w:p>
    <w:p w14:paraId="1E9E301F" w14:textId="1C6EBB89" w:rsidR="0035014D" w:rsidRPr="00B20276" w:rsidRDefault="00DD45E4" w:rsidP="00A1437A">
      <w:pPr>
        <w:pStyle w:val="Newparagraph"/>
      </w:pPr>
      <w:r w:rsidRPr="00B20276">
        <w:t>Boundaries of the affected area are likely to be blurred: besides physical and geographic features, policy negotiation plays a key role in defining beneficiaries to be admitted to funding schemes. In the Italian case, previous reconstruction processes, such as those following the Belice (1968), Friuli (1976) and Irpinia (1980) earthquakes, have all been characterized by the widening of the 'affected' areas, so as to include a plethora of beneficiaries (Chubb, 2002)</w:t>
      </w:r>
      <w:r w:rsidRPr="00B20276">
        <w:rPr>
          <w:rStyle w:val="Rimandonotadichiusura"/>
        </w:rPr>
        <w:endnoteReference w:id="4"/>
      </w:r>
      <w:r w:rsidRPr="00B20276">
        <w:t>.</w:t>
      </w:r>
      <w:r w:rsidR="005F3334" w:rsidRPr="00B20276">
        <w:t xml:space="preserve"> Conversely, in Emilia-Romagna, policymakers have not only tried to strictly define boundaries </w:t>
      </w:r>
      <w:r w:rsidR="001D1DCE" w:rsidRPr="00B20276">
        <w:t>to the significantly affected</w:t>
      </w:r>
      <w:r w:rsidR="005F3334" w:rsidRPr="00B20276">
        <w:t xml:space="preserve"> municipalit</w:t>
      </w:r>
      <w:r w:rsidR="001D1DCE" w:rsidRPr="00B20276">
        <w:t>ies</w:t>
      </w:r>
      <w:r w:rsidR="005F3334" w:rsidRPr="00B20276">
        <w:t xml:space="preserve">, they also tailored interventions to take into account the different needs and </w:t>
      </w:r>
      <w:r w:rsidR="002F6FA4" w:rsidRPr="00B20276">
        <w:t xml:space="preserve">the </w:t>
      </w:r>
      <w:r w:rsidR="005F3334" w:rsidRPr="00B20276">
        <w:t xml:space="preserve">specific </w:t>
      </w:r>
      <w:r w:rsidR="002F6FA4" w:rsidRPr="00B20276">
        <w:t>intensities of the effects</w:t>
      </w:r>
      <w:r w:rsidR="005F3334" w:rsidRPr="00B20276">
        <w:t>, trying to make the recovery effort more effective.</w:t>
      </w:r>
    </w:p>
    <w:p w14:paraId="2B291E4B" w14:textId="387E60F8" w:rsidR="00CB2E0E" w:rsidRPr="00B20276" w:rsidRDefault="00CB2E0E" w:rsidP="00A1437A">
      <w:pPr>
        <w:pStyle w:val="Newparagraph"/>
      </w:pPr>
      <w:r w:rsidRPr="00B20276">
        <w:t xml:space="preserve">In 2012, regional and national policymakers, in collaboration with the national department of Civil Protection, explicitly debated the issue of identifying the boundaries </w:t>
      </w:r>
      <w:r w:rsidRPr="00B20276">
        <w:lastRenderedPageBreak/>
        <w:t>of the affected area, as part of policy negotiation with stakeholders at municipality and regional level (e.g., mayors, health services CEOs, general managers responsible for cultural heritage) (Ranuzzini</w:t>
      </w:r>
      <w:r w:rsidR="00462626" w:rsidRPr="00B20276">
        <w:t>, Pagliacci &amp; Russo</w:t>
      </w:r>
      <w:r w:rsidRPr="00B20276">
        <w:t>, 2015)</w:t>
      </w:r>
      <w:r w:rsidR="001D1DCE" w:rsidRPr="00B20276">
        <w:t>:</w:t>
      </w:r>
      <w:r w:rsidR="002F6FA4" w:rsidRPr="00B20276">
        <w:t xml:space="preserve"> the</w:t>
      </w:r>
      <w:r w:rsidR="001D1DCE" w:rsidRPr="00B20276">
        <w:t>se are the</w:t>
      </w:r>
      <w:r w:rsidR="002F6FA4" w:rsidRPr="00B20276">
        <w:t xml:space="preserve"> </w:t>
      </w:r>
      <w:r w:rsidRPr="00B20276">
        <w:t>boundaries</w:t>
      </w:r>
      <w:r w:rsidR="001D1DCE" w:rsidRPr="00B20276">
        <w:t>, defined</w:t>
      </w:r>
      <w:r w:rsidRPr="00B20276">
        <w:t xml:space="preserve"> according to ‘technical’ and institutional criteria</w:t>
      </w:r>
      <w:bookmarkStart w:id="1" w:name="_Ref469431163"/>
      <w:r w:rsidR="00DD45E4" w:rsidRPr="00B20276">
        <w:rPr>
          <w:rStyle w:val="Rimandonotadichiusura"/>
        </w:rPr>
        <w:endnoteReference w:id="5"/>
      </w:r>
      <w:bookmarkEnd w:id="1"/>
      <w:r w:rsidR="00DD45E4" w:rsidRPr="00B20276">
        <w:t>,</w:t>
      </w:r>
      <w:r w:rsidR="001D1DCE" w:rsidRPr="00B20276">
        <w:t xml:space="preserve"> that are adopted in this paper</w:t>
      </w:r>
      <w:r w:rsidR="001F3344" w:rsidRPr="00B20276">
        <w:t>.</w:t>
      </w:r>
      <w:r w:rsidR="002F6FA4" w:rsidRPr="00B20276">
        <w:t xml:space="preserve"> </w:t>
      </w:r>
      <w:r w:rsidRPr="00B20276">
        <w:t xml:space="preserve">Drawing from the list provided by D.L. no. 74/2012, with the exclusion of one NUTS-3 level capital city (the city of Ferrara), </w:t>
      </w:r>
      <w:r w:rsidR="001D1DCE" w:rsidRPr="00B20276">
        <w:t>this analysis</w:t>
      </w:r>
      <w:r w:rsidRPr="00B20276">
        <w:t xml:space="preserve"> considers 32 municipalities as the area affected by the 2012 earthquake. These municipalities are all </w:t>
      </w:r>
      <w:r w:rsidR="00E0094A" w:rsidRPr="00B20276">
        <w:t xml:space="preserve">relatively </w:t>
      </w:r>
      <w:r w:rsidRPr="00B20276">
        <w:t xml:space="preserve">close to the earthquake’s epicentre </w:t>
      </w:r>
      <w:r w:rsidR="00E948DB" w:rsidRPr="00B20276">
        <w:t>(30 kilometres maximum)</w:t>
      </w:r>
      <w:r w:rsidRPr="00B20276">
        <w:t xml:space="preserve"> (</w:t>
      </w:r>
      <w:r w:rsidR="00645B6F" w:rsidRPr="00B20276">
        <w:t>Supplementary</w:t>
      </w:r>
      <w:r w:rsidR="00B2745C" w:rsidRPr="00B20276">
        <w:t xml:space="preserve"> material</w:t>
      </w:r>
      <w:r w:rsidR="00645B6F" w:rsidRPr="00B20276">
        <w:t xml:space="preserve"> </w:t>
      </w:r>
      <w:r w:rsidRPr="00B20276">
        <w:t xml:space="preserve">Figure </w:t>
      </w:r>
      <w:r w:rsidR="00A5663F">
        <w:t>A</w:t>
      </w:r>
      <w:r w:rsidRPr="00B20276">
        <w:t>1)</w:t>
      </w:r>
    </w:p>
    <w:p w14:paraId="5F5F4725" w14:textId="004A2EC9" w:rsidR="009F3521" w:rsidRPr="00B20276" w:rsidRDefault="009F3521" w:rsidP="00A1437A">
      <w:pPr>
        <w:pStyle w:val="Newparagraph"/>
        <w:ind w:firstLine="0"/>
      </w:pPr>
    </w:p>
    <w:p w14:paraId="372AB282" w14:textId="735614C9" w:rsidR="00DD45E4" w:rsidRPr="00B20276" w:rsidRDefault="00893BC1" w:rsidP="00A1437A">
      <w:pPr>
        <w:pStyle w:val="Newparagraph"/>
      </w:pPr>
      <w:r w:rsidRPr="00B20276">
        <w:t xml:space="preserve">The affected municipalities represent </w:t>
      </w:r>
      <w:r w:rsidR="001D1DCE" w:rsidRPr="00B20276">
        <w:t>about</w:t>
      </w:r>
      <w:r w:rsidR="001F3344" w:rsidRPr="00B20276">
        <w:t xml:space="preserve"> </w:t>
      </w:r>
      <w:r w:rsidR="006618D6" w:rsidRPr="00B20276">
        <w:t>9</w:t>
      </w:r>
      <w:r w:rsidRPr="00B20276">
        <w:t>% of the region (</w:t>
      </w:r>
      <w:r w:rsidR="001D1DCE" w:rsidRPr="00B20276">
        <w:t xml:space="preserve">both </w:t>
      </w:r>
      <w:r w:rsidRPr="00B20276">
        <w:t xml:space="preserve">in terms </w:t>
      </w:r>
      <w:r w:rsidR="006618D6" w:rsidRPr="00B20276">
        <w:t xml:space="preserve">of </w:t>
      </w:r>
      <w:r w:rsidR="001D1DCE" w:rsidRPr="00B20276">
        <w:t xml:space="preserve">municipalities and </w:t>
      </w:r>
      <w:r w:rsidRPr="00B20276">
        <w:t xml:space="preserve">population) and, after the earthquake, they underperformed compared to the non-affected ones in the rest of the region, </w:t>
      </w:r>
      <w:r w:rsidR="00E0094A" w:rsidRPr="00B20276">
        <w:t>in terms of</w:t>
      </w:r>
      <w:r w:rsidRPr="00B20276">
        <w:t xml:space="preserve"> changes in population, number of foreigners, employment in manufacturing </w:t>
      </w:r>
      <w:r w:rsidR="00543433" w:rsidRPr="00B20276">
        <w:t>industry</w:t>
      </w:r>
      <w:r w:rsidR="00F90E7E" w:rsidRPr="00B20276">
        <w:t xml:space="preserve"> in </w:t>
      </w:r>
      <w:r w:rsidR="00DC29A2" w:rsidRPr="00B20276">
        <w:t xml:space="preserve">the periods </w:t>
      </w:r>
      <w:r w:rsidR="00F90E7E" w:rsidRPr="00B20276">
        <w:t>2011-2013 and 2011-2015</w:t>
      </w:r>
      <w:r w:rsidR="00DC29A2" w:rsidRPr="00B20276">
        <w:t>,</w:t>
      </w:r>
      <w:r w:rsidR="00E0094A" w:rsidRPr="00B20276">
        <w:t xml:space="preserve"> which were considered in order</w:t>
      </w:r>
      <w:r w:rsidR="00DC29A2" w:rsidRPr="00B20276">
        <w:t xml:space="preserve"> to detect the </w:t>
      </w:r>
      <w:r w:rsidR="00543433" w:rsidRPr="00B20276">
        <w:t xml:space="preserve">effects </w:t>
      </w:r>
      <w:r w:rsidR="00DC29A2" w:rsidRPr="00B20276">
        <w:t>one year and two years after the 2012 earthquake</w:t>
      </w:r>
      <w:r w:rsidRPr="00B20276">
        <w:t>. When considering the employment in small and medium size enterprises</w:t>
      </w:r>
      <w:r w:rsidR="00DD45E4" w:rsidRPr="00B20276">
        <w:rPr>
          <w:rStyle w:val="Rimandonotadichiusura"/>
        </w:rPr>
        <w:endnoteReference w:id="6"/>
      </w:r>
      <w:r w:rsidR="00DD45E4" w:rsidRPr="00B20276">
        <w:t xml:space="preserve"> (SMEs) in manufacturing industry, the affected area shows a smaller decrease compared to the non-affected one, both in the region and in the country in both time spans (see Table 1). These results suggest that a focus on a sub-regional area is relevant when monitoring the socio-economic dynamics of the reconstruction phase.</w:t>
      </w:r>
    </w:p>
    <w:p w14:paraId="7C0EEBCE" w14:textId="77777777" w:rsidR="00DD45E4" w:rsidRPr="00B20276" w:rsidRDefault="00DD45E4" w:rsidP="00A1437A">
      <w:pPr>
        <w:pStyle w:val="Newparagraph"/>
        <w:rPr>
          <w:lang w:val="en-US"/>
        </w:rPr>
      </w:pPr>
      <w:r w:rsidRPr="00B20276">
        <w:rPr>
          <w:lang w:val="en-US"/>
        </w:rPr>
        <w:t>[Table 1 here]</w:t>
      </w:r>
    </w:p>
    <w:p w14:paraId="0CFCB4DC" w14:textId="4C0F893E" w:rsidR="00DD45E4" w:rsidRPr="00B20276" w:rsidRDefault="00DD45E4" w:rsidP="00A1437A">
      <w:pPr>
        <w:pStyle w:val="Newparagraph"/>
      </w:pPr>
      <w:r w:rsidRPr="00B20276">
        <w:t xml:space="preserve">Even when a restricted area is affected by an earthquake, as in the Emilia-Romagna case, this area does not necessarily represent a unit of analysis of the socio-economic effects of an earthquake. As far as the 2012 earthquake is concerned, within the restricted group of the most affected municipalities, there are both manufacturing </w:t>
      </w:r>
      <w:r w:rsidRPr="00B20276">
        <w:lastRenderedPageBreak/>
        <w:t xml:space="preserve">municipalities and more agricultural ones, together with tiny rural towns and medium-sized urban poles. According to ISTAT (2011a), as far as population and employment are concerned, the 32 affected municipalities belong to seven Local Labour Systems (LLSs). These LLSs show wide differences: LLS of Bologna, where there is the regional capital city, is characterised by a large presence of services; others are more manufacturing (e.g. the LLSs of Mirandola and Correggio). With regard to manufacturing LLSs, ISTAT (2011a) classifies three of them as industrial districts: Carpi, Guastalla and Mirandola. Even their industrial specialisations highlight heterogeneity: Carpi is a textile industrial district, while the industrial districts of Guastalla and Mirandola both show a specialisation in mechanics (ISTAT, 2011a). Conversely, electromed activities represent a key specialisation in Mirandola LLS (Supplementary material Figure </w:t>
      </w:r>
      <w:r w:rsidR="00A5663F">
        <w:t>A</w:t>
      </w:r>
      <w:r w:rsidRPr="00B20276">
        <w:t>2).</w:t>
      </w:r>
    </w:p>
    <w:p w14:paraId="09BCA014" w14:textId="3FDC1D6C" w:rsidR="00DD45E4" w:rsidRPr="00B20276" w:rsidRDefault="00DD45E4" w:rsidP="00A1437A">
      <w:pPr>
        <w:pStyle w:val="Newparagraph"/>
        <w:ind w:firstLine="0"/>
        <w:rPr>
          <w:lang w:val="en-US"/>
        </w:rPr>
      </w:pPr>
      <w:r w:rsidRPr="00B20276">
        <w:t xml:space="preserve">Boundaries of the LLSs of Carpi and Mirandola are completely bounded within the affected area, while the LLS of Bologna has only a small share of municipalities, population and employment hit by the 2012 earthquake, but these shares represent a significant part of the affected area (Supplementary material Table </w:t>
      </w:r>
      <w:r w:rsidR="00A5663F">
        <w:t>A</w:t>
      </w:r>
      <w:r w:rsidRPr="00B20276">
        <w:t>1)</w:t>
      </w:r>
      <w:r w:rsidRPr="00B20276">
        <w:rPr>
          <w:lang w:val="en-US"/>
        </w:rPr>
        <w:t>.</w:t>
      </w:r>
    </w:p>
    <w:p w14:paraId="4B79C142" w14:textId="5BA17CE3" w:rsidR="00DD45E4" w:rsidRPr="00B20276" w:rsidRDefault="00DD45E4" w:rsidP="00A1437A">
      <w:pPr>
        <w:pStyle w:val="Newparagraph"/>
      </w:pPr>
      <w:r w:rsidRPr="00B20276">
        <w:rPr>
          <w:lang w:val="en-US"/>
        </w:rPr>
        <w:t xml:space="preserve">Therefore, LLSs cannot be used for the analysis, although they are useful in order to single out some structural features, at local level (Piazzi </w:t>
      </w:r>
      <w:r w:rsidRPr="00B20276">
        <w:rPr>
          <w:i/>
          <w:lang w:val="en-US"/>
        </w:rPr>
        <w:t>et al.</w:t>
      </w:r>
      <w:r w:rsidRPr="00B20276">
        <w:rPr>
          <w:lang w:val="en-US"/>
        </w:rPr>
        <w:t xml:space="preserve">, 2015), such as the manufacturing specialization that clearly differentiates the set of affected municipalities. Nevertheless, LLSs do not help in highlighting the multidimensional heterogeneity, occurring across the 32 municipalities. In this respect, cluster analysis at municipality level is particularly useful. </w:t>
      </w:r>
    </w:p>
    <w:p w14:paraId="24750B51" w14:textId="5C2DCEDC" w:rsidR="00DD45E4" w:rsidRPr="00B20276" w:rsidRDefault="00DD45E4" w:rsidP="00A1437A">
      <w:pPr>
        <w:pStyle w:val="Titolo1"/>
        <w:spacing w:before="0" w:after="0" w:line="480" w:lineRule="auto"/>
        <w:rPr>
          <w:szCs w:val="24"/>
        </w:rPr>
      </w:pPr>
      <w:r w:rsidRPr="00B20276">
        <w:rPr>
          <w:szCs w:val="24"/>
        </w:rPr>
        <w:t>Methodology and data</w:t>
      </w:r>
    </w:p>
    <w:p w14:paraId="393FEA35" w14:textId="5D40FF35" w:rsidR="00DD45E4" w:rsidRPr="00B20276" w:rsidRDefault="00DD45E4" w:rsidP="00A1437A">
      <w:pPr>
        <w:pStyle w:val="Paragraph"/>
        <w:spacing w:before="0"/>
      </w:pPr>
      <w:r w:rsidRPr="00B20276">
        <w:t>Despite a severe lack of available data at municipality level, this paper first undertakes a cluster analysis to tackle the heterogeneity issue. Then, a counterfactual ‘difference-in-</w:t>
      </w:r>
      <w:r w:rsidRPr="00B20276">
        <w:lastRenderedPageBreak/>
        <w:t>differences’ analysis compares the pre- and post- earthquake situation between the group of affected municipalities and a control group of non-affected ones. In particular, the paper focuses on changes to population and employment.</w:t>
      </w:r>
    </w:p>
    <w:p w14:paraId="6408CD8A" w14:textId="77777777" w:rsidR="00DD45E4" w:rsidRPr="00B20276" w:rsidRDefault="00DD45E4" w:rsidP="00A1437A">
      <w:pPr>
        <w:pStyle w:val="Titolo2"/>
        <w:spacing w:before="0" w:after="0" w:line="480" w:lineRule="auto"/>
        <w:rPr>
          <w:szCs w:val="24"/>
        </w:rPr>
      </w:pPr>
      <w:r w:rsidRPr="00B20276">
        <w:rPr>
          <w:szCs w:val="24"/>
        </w:rPr>
        <w:t>Cluster analysis</w:t>
      </w:r>
    </w:p>
    <w:p w14:paraId="40C2229D" w14:textId="218B7FEE" w:rsidR="00DD45E4" w:rsidRPr="00B20276" w:rsidRDefault="00DD45E4" w:rsidP="00A1437A">
      <w:pPr>
        <w:pStyle w:val="Paragraph"/>
        <w:spacing w:before="0"/>
        <w:rPr>
          <w:rFonts w:cs="Arial"/>
        </w:rPr>
      </w:pPr>
      <w:r w:rsidRPr="00B20276">
        <w:t>A cluster analysis has been performed</w:t>
      </w:r>
      <w:r w:rsidRPr="00B20276">
        <w:rPr>
          <w:rFonts w:eastAsia="SimSun" w:cs="Calibri"/>
          <w:color w:val="00000A"/>
          <w:kern w:val="1"/>
        </w:rPr>
        <w:t xml:space="preserve"> </w:t>
      </w:r>
      <w:r w:rsidRPr="00B20276">
        <w:rPr>
          <w:lang w:val="en-US"/>
        </w:rPr>
        <w:t>at national level: all municipalities with the exception of 110 NUTS-3 level capital cities are considered (</w:t>
      </w:r>
      <w:r w:rsidRPr="00B20276">
        <w:rPr>
          <w:lang w:eastAsia="it-IT"/>
        </w:rPr>
        <w:t>7,982 observations</w:t>
      </w:r>
      <w:r w:rsidRPr="00B20276">
        <w:rPr>
          <w:lang w:val="en-US"/>
        </w:rPr>
        <w:t xml:space="preserve">). </w:t>
      </w:r>
      <w:r w:rsidRPr="00B20276">
        <w:rPr>
          <w:rFonts w:eastAsia="SimSun" w:cs="Calibri"/>
          <w:color w:val="00000A"/>
          <w:kern w:val="1"/>
        </w:rPr>
        <w:t xml:space="preserve">Given the problem set and the structure of data, a hierarchical approach is preferred here </w:t>
      </w:r>
      <w:r w:rsidRPr="00B20276">
        <w:rPr>
          <w:rFonts w:cs="Arial"/>
          <w:lang w:eastAsia="zh-TW"/>
        </w:rPr>
        <w:t>(</w:t>
      </w:r>
      <w:r w:rsidRPr="00B20276">
        <w:rPr>
          <w:rFonts w:cs="Arial"/>
          <w:color w:val="000000"/>
        </w:rPr>
        <w:t xml:space="preserve">Kaufmann &amp; Rousseeuw, 1990), using the </w:t>
      </w:r>
      <w:r w:rsidRPr="00B20276">
        <w:rPr>
          <w:rFonts w:cs="Arial"/>
        </w:rPr>
        <w:t>Euclidean distance to compute dissimilarity matrix and Ward’s method to assess distances between clusters (Lance &amp; Williams, 1966; Ward, 1963)</w:t>
      </w:r>
      <w:r w:rsidRPr="00B20276">
        <w:rPr>
          <w:rStyle w:val="Rimandonotadichiusura"/>
          <w:rFonts w:cs="Arial"/>
        </w:rPr>
        <w:endnoteReference w:id="7"/>
      </w:r>
      <w:r w:rsidRPr="00B20276">
        <w:rPr>
          <w:rFonts w:cs="Arial"/>
        </w:rPr>
        <w:t>.</w:t>
      </w:r>
    </w:p>
    <w:p w14:paraId="72B6C80F" w14:textId="7FB7819C" w:rsidR="00DD45E4" w:rsidRPr="00B20276" w:rsidRDefault="00DD45E4" w:rsidP="00A1437A">
      <w:pPr>
        <w:pStyle w:val="Newparagraph"/>
      </w:pPr>
      <w:r w:rsidRPr="00B20276">
        <w:t xml:space="preserve">Cluster analysis considers socio-economic variables, at municipality level, which refer to the Italian pre-earthquake situation (years 2010-2011). Variables focus on demography, industrial sectoral employment, geographical remoteness and farming activities (crops and animals). Thus, they mostly focus on the structural features of municipalities and highlight their structural heterogeneity in terms of population and economic activities. Variables have been elaborated from the </w:t>
      </w:r>
      <w:hyperlink r:id="rId8" w:tooltip="Agricoltura 2010" w:history="1">
        <w:r w:rsidRPr="00B20276">
          <w:t>6</w:t>
        </w:r>
        <w:r w:rsidRPr="00B20276">
          <w:rPr>
            <w:vertAlign w:val="superscript"/>
          </w:rPr>
          <w:t>th</w:t>
        </w:r>
        <w:r w:rsidRPr="00B20276">
          <w:t xml:space="preserve"> General Census of Agriculture (Istat, 2010</w:t>
        </w:r>
      </w:hyperlink>
      <w:r w:rsidRPr="00B20276">
        <w:t>), the 15</w:t>
      </w:r>
      <w:r w:rsidRPr="00B20276">
        <w:rPr>
          <w:vertAlign w:val="superscript"/>
        </w:rPr>
        <w:t>th</w:t>
      </w:r>
      <w:r w:rsidRPr="00B20276">
        <w:t xml:space="preserve"> General Census of Population and Housing (Istat, 2011a), the 9</w:t>
      </w:r>
      <w:r w:rsidRPr="00B20276">
        <w:rPr>
          <w:vertAlign w:val="superscript"/>
        </w:rPr>
        <w:t>th</w:t>
      </w:r>
      <w:r w:rsidRPr="00B20276">
        <w:t xml:space="preserve"> General Census of Industry and Services (Istat, 2011b)</w:t>
      </w:r>
      <w:r w:rsidRPr="00B20276">
        <w:rPr>
          <w:rFonts w:cs="Arial"/>
        </w:rPr>
        <w:t xml:space="preserve"> and the Italian National Strategy for Inner Areas,</w:t>
      </w:r>
      <w:r w:rsidRPr="00B20276">
        <w:t xml:space="preserve"> as shown in Table 2. All these variables have been standardised. </w:t>
      </w:r>
    </w:p>
    <w:p w14:paraId="4B17D409" w14:textId="05207E56" w:rsidR="00DD45E4" w:rsidRPr="00B20276" w:rsidRDefault="00DD45E4" w:rsidP="00A1437A">
      <w:pPr>
        <w:pStyle w:val="Newparagraph"/>
      </w:pPr>
      <w:r w:rsidRPr="00B20276">
        <w:t>[Table 2 here]</w:t>
      </w:r>
    </w:p>
    <w:p w14:paraId="0ACA9CFA" w14:textId="75DAD8E7" w:rsidR="00DD45E4" w:rsidRPr="00B20276" w:rsidRDefault="00DD45E4" w:rsidP="00A1437A">
      <w:pPr>
        <w:pStyle w:val="Newparagraph"/>
        <w:rPr>
          <w:rFonts w:cs="Arial"/>
        </w:rPr>
      </w:pPr>
    </w:p>
    <w:p w14:paraId="6925DE49" w14:textId="2966BDDC" w:rsidR="00DD45E4" w:rsidRPr="00B20276" w:rsidRDefault="00DD45E4" w:rsidP="00A1437A">
      <w:pPr>
        <w:pStyle w:val="Newparagraph"/>
      </w:pPr>
      <w:r w:rsidRPr="00B20276">
        <w:rPr>
          <w:rFonts w:cs="Arial"/>
        </w:rPr>
        <w:t>For each of the 16 aforementioned variables, large differences characterise</w:t>
      </w:r>
      <w:r w:rsidRPr="00B20276">
        <w:t xml:space="preserve"> affected municipalities (32 observations) and non-affected ones (by considering both 110 NUTS-3 level capital cities and remaining municipalities). The affected area is </w:t>
      </w:r>
      <w:r w:rsidRPr="00B20276">
        <w:lastRenderedPageBreak/>
        <w:t xml:space="preserve">characterized by a larger share of both foreigners and manufacturing employees than the non-affected one (Supplementary material Table </w:t>
      </w:r>
      <w:r w:rsidR="00A5663F">
        <w:t>A</w:t>
      </w:r>
      <w:r w:rsidRPr="00B20276">
        <w:t>2).</w:t>
      </w:r>
    </w:p>
    <w:p w14:paraId="4758C21A" w14:textId="0CB3D39D" w:rsidR="00DD45E4" w:rsidRPr="00B20276" w:rsidRDefault="00DD45E4" w:rsidP="00A1437A">
      <w:pPr>
        <w:pStyle w:val="Newparagraph"/>
      </w:pPr>
    </w:p>
    <w:p w14:paraId="641B9C39" w14:textId="2BFEA3B2" w:rsidR="00DD45E4" w:rsidRPr="00B20276" w:rsidRDefault="00DD45E4" w:rsidP="00A1437A">
      <w:pPr>
        <w:pStyle w:val="Titolo2"/>
        <w:spacing w:before="0" w:after="0" w:line="480" w:lineRule="auto"/>
        <w:rPr>
          <w:szCs w:val="24"/>
        </w:rPr>
      </w:pPr>
      <w:r w:rsidRPr="00B20276">
        <w:rPr>
          <w:szCs w:val="24"/>
        </w:rPr>
        <w:t>Counterfactual analysis</w:t>
      </w:r>
    </w:p>
    <w:p w14:paraId="1245332B" w14:textId="69C9EE06" w:rsidR="00DD45E4" w:rsidRPr="00B20276" w:rsidRDefault="00DD45E4" w:rsidP="00A1437A">
      <w:pPr>
        <w:pStyle w:val="Paragraph"/>
        <w:spacing w:before="0"/>
      </w:pPr>
      <w:r w:rsidRPr="00B20276">
        <w:t>From a theoretical perspective, the effect of a treatment refers to the overall variation in the outcome that is explicitly driven by it. To assess the impact of the treatment, here the 2012 earthquake, the Italian municipalities under study could be split into a treated group and a control one: if two groups are statistically equivalent, observed effects in the control group will represent a good proxy of what would have occurred in the absence of the treatment (Campbell &amp; Stanley, 1966). The critical issue here is twofold: (a) how to select statistically equivalent groups according to the specific conditions of heterogeneity in the affected area and (b) how to control for spatial inter-dependence between neighbouring affected and non-affected observations.</w:t>
      </w:r>
    </w:p>
    <w:p w14:paraId="03C8A0C9" w14:textId="5CD549AB" w:rsidR="00DD45E4" w:rsidRPr="00B20276" w:rsidRDefault="00DD45E4" w:rsidP="00A1437A">
      <w:pPr>
        <w:pStyle w:val="Newparagraph"/>
      </w:pPr>
      <w:r w:rsidRPr="00B20276">
        <w:t xml:space="preserve">The economic literature has suggested alternative techniques. Unfortunately, in this case study, neither the synthetic control method, suggested by Abadie </w:t>
      </w:r>
      <w:r w:rsidRPr="00B20276">
        <w:rPr>
          <w:i/>
        </w:rPr>
        <w:t>et al.</w:t>
      </w:r>
      <w:r w:rsidRPr="00B20276">
        <w:t xml:space="preserve"> (2010) and insightfully adopted by DuPont &amp; Noy (2015) with regard to the Kobe earthquake, nor the Propensity Score Matching (PSM) can be applied. </w:t>
      </w:r>
    </w:p>
    <w:p w14:paraId="42CD0048" w14:textId="77777777" w:rsidR="00DD45E4" w:rsidRPr="00B20276" w:rsidRDefault="00DD45E4" w:rsidP="00A1437A">
      <w:pPr>
        <w:pStyle w:val="Newparagraph"/>
      </w:pPr>
      <w:r w:rsidRPr="00B20276">
        <w:t>The former returns poor fits because no long-term time series data are available at municipal level</w:t>
      </w:r>
      <w:r w:rsidRPr="00B20276">
        <w:rPr>
          <w:rStyle w:val="Rimandonotadichiusura"/>
        </w:rPr>
        <w:endnoteReference w:id="8"/>
      </w:r>
      <w:r w:rsidRPr="00B20276">
        <w:t>. The latter</w:t>
      </w:r>
      <w:r w:rsidRPr="00B20276">
        <w:rPr>
          <w:lang w:eastAsia="it-IT"/>
        </w:rPr>
        <w:t xml:space="preserve"> returns non-applicable </w:t>
      </w:r>
      <w:r w:rsidRPr="00B20276">
        <w:t>results</w:t>
      </w:r>
      <w:r w:rsidRPr="00B20276">
        <w:rPr>
          <w:rStyle w:val="Rimandonotadichiusura"/>
        </w:rPr>
        <w:endnoteReference w:id="9"/>
      </w:r>
      <w:r w:rsidRPr="00B20276">
        <w:t>.</w:t>
      </w:r>
    </w:p>
    <w:p w14:paraId="4D90AC03" w14:textId="44ADB546" w:rsidR="00DD45E4" w:rsidRPr="00B20276" w:rsidRDefault="00DD45E4" w:rsidP="00A1437A">
      <w:pPr>
        <w:pStyle w:val="Newparagraph"/>
        <w:rPr>
          <w:lang w:eastAsia="it-IT"/>
        </w:rPr>
      </w:pPr>
      <w:r w:rsidRPr="00B20276">
        <w:rPr>
          <w:lang w:eastAsia="it-IT"/>
        </w:rPr>
        <w:t xml:space="preserve">In this work, heterogeneity in the affected area has been controlled by selecting </w:t>
      </w:r>
      <w:r w:rsidRPr="00B20276">
        <w:t xml:space="preserve">statically equivalent groups at municipality level </w:t>
      </w:r>
      <w:r w:rsidRPr="00B20276">
        <w:rPr>
          <w:lang w:eastAsia="it-IT"/>
        </w:rPr>
        <w:t>according to the following procedure. First of all, Euclidean distances</w:t>
      </w:r>
      <w:r w:rsidRPr="00B20276">
        <w:rPr>
          <w:rStyle w:val="Rimandonotadichiusura"/>
          <w:lang w:eastAsia="it-IT"/>
        </w:rPr>
        <w:endnoteReference w:id="10"/>
      </w:r>
      <w:r w:rsidRPr="00B20276">
        <w:rPr>
          <w:lang w:eastAsia="it-IT"/>
        </w:rPr>
        <w:t xml:space="preserve"> between each pair of observations (</w:t>
      </w:r>
      <m:oMath>
        <m:sSub>
          <m:sSubPr>
            <m:ctrlPr>
              <w:rPr>
                <w:rFonts w:ascii="Cambria Math" w:hAnsi="Cambria Math"/>
                <w:i/>
                <w:lang w:eastAsia="it-IT"/>
              </w:rPr>
            </m:ctrlPr>
          </m:sSubPr>
          <m:e>
            <m:r>
              <w:rPr>
                <w:rFonts w:ascii="Cambria Math" w:hAnsi="Cambria Math"/>
                <w:lang w:eastAsia="it-IT"/>
              </w:rPr>
              <m:t>d</m:t>
            </m:r>
          </m:e>
          <m:sub>
            <m:r>
              <w:rPr>
                <w:rFonts w:ascii="Cambria Math" w:hAnsi="Cambria Math"/>
                <w:lang w:eastAsia="it-IT"/>
              </w:rPr>
              <m:t>ij</m:t>
            </m:r>
          </m:sub>
        </m:sSub>
      </m:oMath>
      <w:r w:rsidRPr="00B20276">
        <w:rPr>
          <w:lang w:eastAsia="it-IT"/>
        </w:rPr>
        <w:t>) are computed according to the following formula:</w:t>
      </w:r>
    </w:p>
    <w:p w14:paraId="4223D179" w14:textId="57100CF4" w:rsidR="00DD45E4" w:rsidRPr="00B20276" w:rsidRDefault="00DD45E4" w:rsidP="00A1437A">
      <w:pPr>
        <w:pStyle w:val="Displayedequation"/>
        <w:spacing w:before="0" w:after="0"/>
      </w:pPr>
      <w:r w:rsidRPr="00B20276">
        <w:tab/>
      </w:r>
      <m:oMath>
        <m:sSub>
          <m:sSubPr>
            <m:ctrlPr>
              <w:rPr>
                <w:rFonts w:ascii="Cambria Math" w:hAnsi="Cambria Math"/>
                <w:i/>
                <w:lang w:eastAsia="it-IT"/>
              </w:rPr>
            </m:ctrlPr>
          </m:sSubPr>
          <m:e>
            <m:r>
              <w:rPr>
                <w:rFonts w:ascii="Cambria Math" w:hAnsi="Cambria Math"/>
                <w:lang w:eastAsia="it-IT"/>
              </w:rPr>
              <m:t>d</m:t>
            </m:r>
          </m:e>
          <m:sub>
            <m:r>
              <w:rPr>
                <w:rFonts w:ascii="Cambria Math" w:hAnsi="Cambria Math"/>
                <w:lang w:eastAsia="it-IT"/>
              </w:rPr>
              <m:t>ij</m:t>
            </m:r>
          </m:sub>
        </m:sSub>
        <m:r>
          <w:rPr>
            <w:rFonts w:ascii="Cambria Math" w:hAnsi="Cambria Math"/>
            <w:lang w:eastAsia="it-IT"/>
          </w:rPr>
          <m:t>=</m:t>
        </m:r>
        <m:rad>
          <m:radPr>
            <m:degHide m:val="1"/>
            <m:ctrlPr>
              <w:rPr>
                <w:rFonts w:ascii="Cambria Math" w:hAnsi="Cambria Math"/>
                <w:i/>
                <w:lang w:eastAsia="it-IT"/>
              </w:rPr>
            </m:ctrlPr>
          </m:radPr>
          <m:deg/>
          <m:e>
            <m:nary>
              <m:naryPr>
                <m:chr m:val="∑"/>
                <m:limLoc m:val="undOvr"/>
                <m:ctrlPr>
                  <w:rPr>
                    <w:rFonts w:ascii="Cambria Math" w:hAnsi="Cambria Math"/>
                    <w:i/>
                    <w:lang w:eastAsia="it-IT"/>
                  </w:rPr>
                </m:ctrlPr>
              </m:naryPr>
              <m:sub>
                <m:r>
                  <w:rPr>
                    <w:rFonts w:ascii="Cambria Math" w:hAnsi="Cambria Math"/>
                    <w:lang w:eastAsia="it-IT"/>
                  </w:rPr>
                  <m:t>p=1</m:t>
                </m:r>
              </m:sub>
              <m:sup>
                <m:r>
                  <w:rPr>
                    <w:rFonts w:ascii="Cambria Math" w:hAnsi="Cambria Math"/>
                    <w:lang w:eastAsia="it-IT"/>
                  </w:rPr>
                  <m:t>16</m:t>
                </m:r>
              </m:sup>
              <m:e>
                <m:sSup>
                  <m:sSupPr>
                    <m:ctrlPr>
                      <w:rPr>
                        <w:rFonts w:ascii="Cambria Math" w:hAnsi="Cambria Math"/>
                        <w:i/>
                        <w:lang w:eastAsia="it-IT"/>
                      </w:rPr>
                    </m:ctrlPr>
                  </m:sSupPr>
                  <m:e>
                    <m:d>
                      <m:dPr>
                        <m:ctrlPr>
                          <w:rPr>
                            <w:rFonts w:ascii="Cambria Math" w:hAnsi="Cambria Math"/>
                            <w:i/>
                            <w:lang w:eastAsia="it-IT"/>
                          </w:rPr>
                        </m:ctrlPr>
                      </m:dPr>
                      <m:e>
                        <m:sSub>
                          <m:sSubPr>
                            <m:ctrlPr>
                              <w:rPr>
                                <w:rFonts w:ascii="Cambria Math" w:hAnsi="Cambria Math"/>
                                <w:i/>
                                <w:lang w:eastAsia="it-IT"/>
                              </w:rPr>
                            </m:ctrlPr>
                          </m:sSubPr>
                          <m:e>
                            <m:r>
                              <w:rPr>
                                <w:rFonts w:ascii="Cambria Math" w:hAnsi="Cambria Math"/>
                                <w:lang w:eastAsia="it-IT"/>
                              </w:rPr>
                              <m:t>x</m:t>
                            </m:r>
                          </m:e>
                          <m:sub>
                            <m:r>
                              <w:rPr>
                                <w:rFonts w:ascii="Cambria Math" w:hAnsi="Cambria Math"/>
                                <w:lang w:eastAsia="it-IT"/>
                              </w:rPr>
                              <m:t>ip</m:t>
                            </m:r>
                          </m:sub>
                        </m:sSub>
                        <m:r>
                          <w:rPr>
                            <w:rFonts w:ascii="Cambria Math" w:hAnsi="Cambria Math"/>
                            <w:lang w:eastAsia="it-IT"/>
                          </w:rPr>
                          <m:t>-</m:t>
                        </m:r>
                        <m:sSub>
                          <m:sSubPr>
                            <m:ctrlPr>
                              <w:rPr>
                                <w:rFonts w:ascii="Cambria Math" w:hAnsi="Cambria Math"/>
                                <w:i/>
                                <w:lang w:eastAsia="it-IT"/>
                              </w:rPr>
                            </m:ctrlPr>
                          </m:sSubPr>
                          <m:e>
                            <m:r>
                              <w:rPr>
                                <w:rFonts w:ascii="Cambria Math" w:hAnsi="Cambria Math"/>
                                <w:lang w:eastAsia="it-IT"/>
                              </w:rPr>
                              <m:t>x</m:t>
                            </m:r>
                          </m:e>
                          <m:sub>
                            <m:r>
                              <w:rPr>
                                <w:rFonts w:ascii="Cambria Math" w:hAnsi="Cambria Math"/>
                                <w:lang w:eastAsia="it-IT"/>
                              </w:rPr>
                              <m:t>jp</m:t>
                            </m:r>
                          </m:sub>
                        </m:sSub>
                      </m:e>
                    </m:d>
                  </m:e>
                  <m:sup>
                    <m:r>
                      <w:rPr>
                        <w:rFonts w:ascii="Cambria Math" w:hAnsi="Cambria Math"/>
                        <w:lang w:eastAsia="it-IT"/>
                      </w:rPr>
                      <m:t>2</m:t>
                    </m:r>
                  </m:sup>
                </m:sSup>
              </m:e>
            </m:nary>
          </m:e>
        </m:rad>
      </m:oMath>
      <w:r w:rsidRPr="00B20276">
        <w:rPr>
          <w:lang w:eastAsia="it-IT"/>
        </w:rPr>
        <w:t xml:space="preserve">,   </w:t>
      </w:r>
      <w:r w:rsidRPr="00B20276">
        <w:rPr>
          <w:lang w:eastAsia="it-IT"/>
        </w:rPr>
        <w:sym w:font="Symbol" w:char="F022"/>
      </w:r>
      <w:r w:rsidRPr="00B20276">
        <w:rPr>
          <w:lang w:eastAsia="it-IT"/>
        </w:rPr>
        <w:t xml:space="preserve"> </w:t>
      </w:r>
      <w:r w:rsidRPr="00B20276">
        <w:rPr>
          <w:i/>
          <w:lang w:eastAsia="it-IT"/>
        </w:rPr>
        <w:t xml:space="preserve">i </w:t>
      </w:r>
      <w:r w:rsidRPr="00B20276">
        <w:rPr>
          <w:lang w:eastAsia="it-IT"/>
        </w:rPr>
        <w:t>and</w:t>
      </w:r>
      <w:r w:rsidRPr="00B20276">
        <w:rPr>
          <w:i/>
          <w:lang w:eastAsia="it-IT"/>
        </w:rPr>
        <w:t xml:space="preserve"> j =</w:t>
      </w:r>
      <w:r w:rsidRPr="00B20276">
        <w:rPr>
          <w:lang w:eastAsia="it-IT"/>
        </w:rPr>
        <w:t>1,…,</w:t>
      </w:r>
      <w:r w:rsidRPr="00B20276">
        <w:rPr>
          <w:i/>
          <w:lang w:eastAsia="it-IT"/>
        </w:rPr>
        <w:t xml:space="preserve"> n</w:t>
      </w:r>
      <w:r w:rsidRPr="00B20276">
        <w:tab/>
        <w:t>(1)</w:t>
      </w:r>
    </w:p>
    <w:p w14:paraId="7327D563" w14:textId="35F19EBF" w:rsidR="00DD45E4" w:rsidRPr="00B20276" w:rsidRDefault="00DD45E4" w:rsidP="00A1437A">
      <w:pPr>
        <w:pStyle w:val="Paragraph"/>
        <w:spacing w:before="0"/>
        <w:rPr>
          <w:lang w:eastAsia="it-IT"/>
        </w:rPr>
      </w:pPr>
      <w:r w:rsidRPr="00B20276">
        <w:rPr>
          <w:lang w:eastAsia="it-IT"/>
        </w:rPr>
        <w:t xml:space="preserve">where: </w:t>
      </w:r>
      <m:oMath>
        <m:r>
          <w:rPr>
            <w:rFonts w:ascii="Cambria Math" w:hAnsi="Cambria Math"/>
            <w:lang w:eastAsia="it-IT"/>
          </w:rPr>
          <m:t>i</m:t>
        </m:r>
      </m:oMath>
      <w:r w:rsidRPr="00B20276">
        <w:rPr>
          <w:lang w:eastAsia="it-IT"/>
        </w:rPr>
        <w:t xml:space="preserve"> and </w:t>
      </w:r>
      <m:oMath>
        <m:r>
          <w:rPr>
            <w:rFonts w:ascii="Cambria Math" w:hAnsi="Cambria Math"/>
            <w:lang w:eastAsia="it-IT"/>
          </w:rPr>
          <m:t>j</m:t>
        </m:r>
      </m:oMath>
      <w:r w:rsidRPr="00B20276">
        <w:rPr>
          <w:lang w:eastAsia="it-IT"/>
        </w:rPr>
        <w:t xml:space="preserve"> represent Italian municipalities, </w:t>
      </w:r>
      <w:r w:rsidRPr="00B20276">
        <w:rPr>
          <w:i/>
          <w:lang w:eastAsia="it-IT"/>
        </w:rPr>
        <w:t>n</w:t>
      </w:r>
      <w:r w:rsidRPr="00B20276">
        <w:rPr>
          <w:lang w:eastAsia="it-IT"/>
        </w:rPr>
        <w:t xml:space="preserve"> is the number of Italian municipalities </w:t>
      </w:r>
      <w:r w:rsidRPr="00B20276">
        <w:rPr>
          <w:lang w:eastAsia="it-IT"/>
        </w:rPr>
        <w:lastRenderedPageBreak/>
        <w:t xml:space="preserve">excluding NUTS-3 level capital cities (7,982), and </w:t>
      </w:r>
      <m:oMath>
        <m:r>
          <w:rPr>
            <w:rFonts w:ascii="Cambria Math" w:hAnsi="Cambria Math"/>
            <w:lang w:eastAsia="it-IT"/>
          </w:rPr>
          <m:t>p</m:t>
        </m:r>
      </m:oMath>
      <w:r w:rsidRPr="00B20276">
        <w:rPr>
          <w:lang w:eastAsia="it-IT"/>
        </w:rPr>
        <w:t xml:space="preserve"> represents each of the aforementioned 16 variables, used to perform the cluster analysis. For each of the 32 affected municipalities, the set of </w:t>
      </w:r>
      <w:r w:rsidRPr="00B20276">
        <w:rPr>
          <w:i/>
          <w:lang w:eastAsia="it-IT"/>
        </w:rPr>
        <w:t>n</w:t>
      </w:r>
      <w:r w:rsidRPr="00B20276">
        <w:rPr>
          <w:lang w:eastAsia="it-IT"/>
        </w:rPr>
        <w:t xml:space="preserve"> distances is sorted increasingly. Then, each municipality’s 'nearest neighbour' (i.e. the most similar municipality, according to the selected variables) composes the control group.</w:t>
      </w:r>
      <w:r w:rsidRPr="00B20276">
        <w:t xml:space="preserve"> Replacement </w:t>
      </w:r>
      <w:r w:rsidRPr="00B20276" w:rsidDel="00B84F5F">
        <w:t>across control municipalities is allowed</w:t>
      </w:r>
      <w:r w:rsidRPr="00B20276">
        <w:t xml:space="preserve"> (occurring</w:t>
      </w:r>
      <w:r w:rsidRPr="00B20276" w:rsidDel="00B84F5F">
        <w:t xml:space="preserve"> only once</w:t>
      </w:r>
      <w:r w:rsidRPr="00B20276">
        <w:t>)</w:t>
      </w:r>
      <w:r w:rsidRPr="00B20276" w:rsidDel="00B84F5F">
        <w:t>.</w:t>
      </w:r>
    </w:p>
    <w:p w14:paraId="5A322D46" w14:textId="3362F3F0" w:rsidR="00DD45E4" w:rsidRPr="00B20276" w:rsidRDefault="00DD45E4" w:rsidP="00A1437A">
      <w:pPr>
        <w:pStyle w:val="Newparagraph"/>
      </w:pPr>
      <w:r w:rsidRPr="00B20276">
        <w:t xml:space="preserve">To control for spatial inter-dependence between neighbouring affected and non-affected observations, </w:t>
      </w:r>
      <w:r w:rsidRPr="00B20276">
        <w:rPr>
          <w:lang w:eastAsia="it-IT"/>
        </w:rPr>
        <w:t>77 municipalities lying spatially close to the 32 affected ones have been excluded from the set of potential control groups. In fact, they were listed in the larger sets of those municipalities that were only partially affected by the earthquake</w:t>
      </w:r>
      <w:r w:rsidRPr="00B20276">
        <w:rPr>
          <w:rStyle w:val="Rimandonotadichiusura"/>
          <w:lang w:eastAsia="it-IT"/>
        </w:rPr>
        <w:endnoteReference w:id="11"/>
      </w:r>
      <w:r w:rsidRPr="00B20276">
        <w:rPr>
          <w:lang w:eastAsia="it-IT"/>
        </w:rPr>
        <w:t xml:space="preserve">. Moreover, a further check on the results returned by the identification of the nearest neighbours will be done also for the municipalities contiguous to the 32 affected ones. </w:t>
      </w:r>
      <w:r w:rsidRPr="00B20276">
        <w:t>This decision is grounded on the assumption that most similar observations are expected to be found within the neighbouring ones (Tobler, 1970).</w:t>
      </w:r>
    </w:p>
    <w:p w14:paraId="51FFCF70" w14:textId="2A7A6607" w:rsidR="00DD45E4" w:rsidRPr="00B20276" w:rsidRDefault="00DD45E4" w:rsidP="00A1437A">
      <w:pPr>
        <w:pStyle w:val="Newparagraph"/>
      </w:pPr>
      <w:r w:rsidRPr="00B20276">
        <w:rPr>
          <w:lang w:eastAsia="it-IT"/>
        </w:rPr>
        <w:t xml:space="preserve">Moving from this identification of the control set of observations (according to a one-to-one matching), difference-in-differences (DID) is adopted to disentangle the treatment effect, comparing both pre/post situations and treated/non-treated observations. </w:t>
      </w:r>
      <w:r w:rsidRPr="00B20276">
        <w:t>DID results are computed for the overall affected area, for each cluster and at municipality level.</w:t>
      </w:r>
    </w:p>
    <w:p w14:paraId="38025849" w14:textId="32591EEB" w:rsidR="00DD45E4" w:rsidRPr="00B20276" w:rsidRDefault="00DD45E4" w:rsidP="00A1437A">
      <w:pPr>
        <w:pStyle w:val="Newparagraph"/>
      </w:pPr>
      <w:r w:rsidRPr="00B20276">
        <w:rPr>
          <w:rFonts w:cs="Arial"/>
        </w:rPr>
        <w:t xml:space="preserve">In the </w:t>
      </w:r>
      <w:r w:rsidRPr="00B20276">
        <w:rPr>
          <w:lang w:eastAsia="it-IT"/>
        </w:rPr>
        <w:t>difference-in-differences</w:t>
      </w:r>
      <w:r w:rsidRPr="00B20276">
        <w:rPr>
          <w:rFonts w:cs="Arial"/>
        </w:rPr>
        <w:t xml:space="preserve"> analysis, the following variables are considered in order to assess the overall effect of the earthquake at a municipality level: i) total population; ii) total number of foreigners; iii) total employment in manufacturing local units; iv) total employment in SMEs manufacturing local units. Pre-post comparison refers to two different time spans: (a) 2011 Census to 2013 and (b) 2011 Census to 2015</w:t>
      </w:r>
      <w:r w:rsidRPr="00B20276">
        <w:rPr>
          <w:rStyle w:val="Rimandonotadichiusura"/>
          <w:rFonts w:cs="Arial"/>
        </w:rPr>
        <w:endnoteReference w:id="12"/>
      </w:r>
      <w:r w:rsidRPr="00B20276">
        <w:rPr>
          <w:rFonts w:cs="Arial"/>
        </w:rPr>
        <w:t>.</w:t>
      </w:r>
    </w:p>
    <w:p w14:paraId="0133041B" w14:textId="50DBFBC3" w:rsidR="00DD45E4" w:rsidRPr="00B20276" w:rsidRDefault="00DD45E4" w:rsidP="00A1437A">
      <w:pPr>
        <w:pStyle w:val="Newparagraph"/>
        <w:rPr>
          <w:lang w:eastAsia="it-IT"/>
        </w:rPr>
      </w:pPr>
      <w:r w:rsidRPr="00B20276">
        <w:rPr>
          <w:lang w:eastAsia="it-IT"/>
        </w:rPr>
        <w:lastRenderedPageBreak/>
        <w:t xml:space="preserve">To assess the impact, counterfactual analysis compares the current situation with the </w:t>
      </w:r>
      <w:r w:rsidRPr="00B20276">
        <w:rPr>
          <w:i/>
          <w:lang w:eastAsia="it-IT"/>
        </w:rPr>
        <w:t>ex-ante</w:t>
      </w:r>
      <w:r w:rsidRPr="00B20276">
        <w:rPr>
          <w:lang w:eastAsia="it-IT"/>
        </w:rPr>
        <w:t xml:space="preserve"> one in the same municipality, with the analogous change in the nearest neighbour non-treated observation. This comparison moves from the assumption of equal starting conditions among compared municipalities and it is grounded on the idea that changes in the variables under study would not have been different, if the event had not occurred</w:t>
      </w:r>
      <w:r w:rsidRPr="00B20276">
        <w:rPr>
          <w:rStyle w:val="Rimandonotadichiusura"/>
          <w:lang w:eastAsia="it-IT"/>
        </w:rPr>
        <w:endnoteReference w:id="13"/>
      </w:r>
      <w:r w:rsidRPr="00B20276">
        <w:rPr>
          <w:lang w:eastAsia="it-IT"/>
        </w:rPr>
        <w:t>.</w:t>
      </w:r>
    </w:p>
    <w:p w14:paraId="12C2E94D" w14:textId="77777777" w:rsidR="00DD45E4" w:rsidRPr="00B20276" w:rsidRDefault="00DD45E4" w:rsidP="00A1437A">
      <w:pPr>
        <w:pStyle w:val="Titolo1"/>
        <w:spacing w:before="0" w:after="0" w:line="480" w:lineRule="auto"/>
        <w:rPr>
          <w:szCs w:val="24"/>
        </w:rPr>
      </w:pPr>
      <w:r w:rsidRPr="00B20276">
        <w:rPr>
          <w:szCs w:val="24"/>
        </w:rPr>
        <w:t>Results</w:t>
      </w:r>
    </w:p>
    <w:p w14:paraId="61F04374" w14:textId="5AA3B267" w:rsidR="00DD45E4" w:rsidRPr="00B20276" w:rsidRDefault="00DD45E4" w:rsidP="00A1437A">
      <w:pPr>
        <w:pStyle w:val="Paragraph"/>
        <w:spacing w:before="0"/>
        <w:rPr>
          <w:lang w:eastAsia="it-IT"/>
        </w:rPr>
      </w:pPr>
      <w:r w:rsidRPr="00B20276">
        <w:rPr>
          <w:lang w:eastAsia="it-IT"/>
        </w:rPr>
        <w:t>This section focuses on both cluster and counterfactual analyses results. Firstly, cluster analysis tackles the heterogeneity issue, occurring within the area affected by the 2012 earthquake. Results from counterfactual analysis highlight the existence of different types of affected municipalities, whose performance after the earthquake has been rather different. To this extent, even when aggregated into clusters, differences at municipality level are only partially co</w:t>
      </w:r>
      <w:r w:rsidRPr="00B20276">
        <w:t>mpensated.</w:t>
      </w:r>
    </w:p>
    <w:p w14:paraId="069789F7" w14:textId="77777777" w:rsidR="00DD45E4" w:rsidRPr="00B20276" w:rsidRDefault="00DD45E4" w:rsidP="00A1437A">
      <w:pPr>
        <w:pStyle w:val="Titolo2"/>
        <w:spacing w:before="0" w:after="0" w:line="480" w:lineRule="auto"/>
        <w:rPr>
          <w:szCs w:val="24"/>
        </w:rPr>
      </w:pPr>
      <w:r w:rsidRPr="00B20276">
        <w:rPr>
          <w:szCs w:val="24"/>
        </w:rPr>
        <w:t>The results of cluster analysis</w:t>
      </w:r>
    </w:p>
    <w:p w14:paraId="7E948F3C" w14:textId="24270855" w:rsidR="00DD45E4" w:rsidRPr="00B20276" w:rsidRDefault="00DD45E4" w:rsidP="00A1437A">
      <w:pPr>
        <w:pStyle w:val="Paragraph"/>
        <w:spacing w:before="0"/>
      </w:pPr>
      <w:r w:rsidRPr="00B20276">
        <w:t>T</w:t>
      </w:r>
      <w:r w:rsidRPr="00B20276">
        <w:rPr>
          <w:rFonts w:cs="Arial"/>
          <w:lang w:eastAsia="zh-TW"/>
        </w:rPr>
        <w:t xml:space="preserve">he output of the hierarchical </w:t>
      </w:r>
      <w:r w:rsidRPr="00B20276">
        <w:rPr>
          <w:lang w:eastAsia="it-IT"/>
        </w:rPr>
        <w:t>cluster analysis</w:t>
      </w:r>
      <w:r w:rsidRPr="00B20276">
        <w:rPr>
          <w:rFonts w:cs="Arial"/>
          <w:lang w:eastAsia="zh-TW"/>
        </w:rPr>
        <w:t xml:space="preserve"> has been analysed by applying </w:t>
      </w:r>
      <w:r w:rsidRPr="00B20276">
        <w:t>the Calinski–Harabasz Index (</w:t>
      </w:r>
      <w:r w:rsidRPr="00B20276">
        <w:rPr>
          <w:lang w:eastAsia="it-IT"/>
        </w:rPr>
        <w:t>Caliński &amp; Harabasz, 1974) to single out local optima: the only one is found with a nine-cluster classification, besides the global one found with two clusters. According to this local optimum</w:t>
      </w:r>
      <w:r w:rsidRPr="00B20276">
        <w:t>, seven clusters out of nine occur within the affected area.</w:t>
      </w:r>
    </w:p>
    <w:p w14:paraId="2447EE14" w14:textId="311A2F9D" w:rsidR="00DD45E4" w:rsidRPr="00B20276" w:rsidRDefault="00DD45E4" w:rsidP="00A1437A">
      <w:pPr>
        <w:pStyle w:val="Newparagraph"/>
      </w:pPr>
      <w:r w:rsidRPr="00B20276">
        <w:t>Table 3 shows the main characteristics of each cluster, together with the group of NUTS 3 level capital cities (excluded from this analysis)</w:t>
      </w:r>
      <w:r w:rsidRPr="00B20276">
        <w:rPr>
          <w:rStyle w:val="Rimandonotadichiusura"/>
        </w:rPr>
        <w:endnoteReference w:id="14"/>
      </w:r>
      <w:r w:rsidRPr="00B20276">
        <w:t>. Clusters are listed by average population, in decreasing order.</w:t>
      </w:r>
    </w:p>
    <w:p w14:paraId="768543B6" w14:textId="04471282" w:rsidR="00DD45E4" w:rsidRPr="00B20276" w:rsidRDefault="00DD45E4" w:rsidP="00A1437A">
      <w:pPr>
        <w:pStyle w:val="Newparagraph"/>
      </w:pPr>
      <w:r w:rsidRPr="00B20276">
        <w:t xml:space="preserve">As far as the affected area is concerned (Figure 1), clusters highlight the heterogeneity that can be observed within it: there is just one cluster of cities, five </w:t>
      </w:r>
      <w:r w:rsidRPr="00B20276">
        <w:lastRenderedPageBreak/>
        <w:t>clusters of medium-sized towns and just one city belonging to the group of small towns. In particular, the nine clusters are:</w:t>
      </w:r>
    </w:p>
    <w:p w14:paraId="61A94DAB" w14:textId="55C6A26B" w:rsidR="00DD45E4" w:rsidRPr="00B20276" w:rsidRDefault="00DD45E4" w:rsidP="00A1437A">
      <w:pPr>
        <w:pStyle w:val="Numberedlist"/>
        <w:spacing w:before="0" w:after="0"/>
      </w:pPr>
      <w:r w:rsidRPr="00B20276">
        <w:rPr>
          <w:i/>
        </w:rPr>
        <w:t>'Urban poles'</w:t>
      </w:r>
      <w:r w:rsidRPr="00B20276">
        <w:t>: the most populous municipalities, besides NUTS 3 level capital cities, with a below-the-average share of manufacturing activities out of the total;</w:t>
      </w:r>
    </w:p>
    <w:p w14:paraId="37157476" w14:textId="1ED6EBC8" w:rsidR="00DD45E4" w:rsidRPr="00B20276" w:rsidRDefault="00DD45E4" w:rsidP="00A1437A">
      <w:pPr>
        <w:pStyle w:val="Numberedlist"/>
        <w:spacing w:before="0" w:after="0"/>
      </w:pPr>
      <w:r w:rsidRPr="00B20276">
        <w:rPr>
          <w:i/>
        </w:rPr>
        <w:t>'electromeds'</w:t>
      </w:r>
      <w:r w:rsidRPr="00B20276">
        <w:t>: a cluster characterised by 39% of manufacturing employment employed in the electromedical industry and an above-the-average share of foreigners;</w:t>
      </w:r>
    </w:p>
    <w:p w14:paraId="1C95B3D7" w14:textId="79F31ED8" w:rsidR="00DD45E4" w:rsidRPr="00B20276" w:rsidRDefault="00DD45E4" w:rsidP="00A1437A">
      <w:pPr>
        <w:pStyle w:val="Numberedlist"/>
        <w:spacing w:before="0" w:after="0"/>
      </w:pPr>
      <w:r w:rsidRPr="00B20276">
        <w:rPr>
          <w:i/>
        </w:rPr>
        <w:t>'agriculture with Ltd. companies'</w:t>
      </w:r>
      <w:r w:rsidRPr="00B20276">
        <w:t>: characterised by a large share of utilised agricultural area (UAA) owned by limited companies;</w:t>
      </w:r>
    </w:p>
    <w:p w14:paraId="3620EE76" w14:textId="7EF33D8D" w:rsidR="00DD45E4" w:rsidRPr="00B20276" w:rsidRDefault="00DD45E4" w:rsidP="00A1437A">
      <w:pPr>
        <w:pStyle w:val="Numberedlist"/>
        <w:spacing w:before="0" w:after="0"/>
      </w:pPr>
      <w:r w:rsidRPr="00B20276">
        <w:rPr>
          <w:i/>
        </w:rPr>
        <w:t>'much manufacturing (mechanics); farms; foreigners'</w:t>
      </w:r>
      <w:r w:rsidRPr="00B20276">
        <w:t xml:space="preserve">: the most manufacturing cluster (39.6% on average), specialised in mechanics, with the largest average concentration of foreigners (10%) as well as animal breeding (cow and pig farms); </w:t>
      </w:r>
    </w:p>
    <w:p w14:paraId="761A7A75" w14:textId="548D3871" w:rsidR="00DD45E4" w:rsidRPr="00B20276" w:rsidRDefault="00DD45E4" w:rsidP="00A1437A">
      <w:pPr>
        <w:pStyle w:val="Numberedlist"/>
        <w:spacing w:before="0" w:after="0"/>
      </w:pPr>
      <w:r w:rsidRPr="00B20276">
        <w:rPr>
          <w:i/>
        </w:rPr>
        <w:t>'much manufacturing (mechanics), with relatively larger enterprises'</w:t>
      </w:r>
      <w:r w:rsidRPr="00B20276">
        <w:t>: this cluster is similar to cluster #4, being largely manufacturing and specialised in mechanics. However, here SMEs account only for 45% of total manufacturing employment.</w:t>
      </w:r>
    </w:p>
    <w:p w14:paraId="2868F6EA" w14:textId="0D4BCE1E" w:rsidR="00DD45E4" w:rsidRPr="00B20276" w:rsidRDefault="00DD45E4" w:rsidP="00A1437A">
      <w:pPr>
        <w:pStyle w:val="Numberedlist"/>
        <w:spacing w:before="0" w:after="0"/>
      </w:pPr>
      <w:r w:rsidRPr="00B20276">
        <w:rPr>
          <w:i/>
        </w:rPr>
        <w:t>'textiles'</w:t>
      </w:r>
      <w:r w:rsidRPr="00B20276">
        <w:t>: municipalities with a specialization in textile (46.6% of total employment, on average);</w:t>
      </w:r>
    </w:p>
    <w:p w14:paraId="5DD544E0" w14:textId="48BB2862" w:rsidR="00DD45E4" w:rsidRPr="00B20276" w:rsidRDefault="00DD45E4" w:rsidP="00A1437A">
      <w:pPr>
        <w:pStyle w:val="Numberedlist"/>
        <w:spacing w:before="0" w:after="0"/>
      </w:pPr>
      <w:r w:rsidRPr="00B20276">
        <w:rPr>
          <w:i/>
        </w:rPr>
        <w:t>‘remote; with little manufacturing (mostly SMEs)’</w:t>
      </w:r>
      <w:r w:rsidRPr="00B20276">
        <w:t>: a cluster including remote municipalities, with a small presence of manufacturing activities (just SMEs);</w:t>
      </w:r>
    </w:p>
    <w:p w14:paraId="7875BE34" w14:textId="4F090F91" w:rsidR="00DD45E4" w:rsidRPr="00B20276" w:rsidRDefault="00DD45E4" w:rsidP="00A1437A">
      <w:pPr>
        <w:pStyle w:val="Numberedlist"/>
        <w:spacing w:before="0" w:after="0"/>
      </w:pPr>
      <w:r w:rsidRPr="00B20276">
        <w:rPr>
          <w:i/>
        </w:rPr>
        <w:t>‘remote; with little manufacturing (food industry)’</w:t>
      </w:r>
      <w:r w:rsidRPr="00B20276">
        <w:t>: a cluster including remote municipalities, where the food industry plays a key role within local manufacturing;</w:t>
      </w:r>
    </w:p>
    <w:p w14:paraId="59C0255B" w14:textId="29E51DF9" w:rsidR="00DD45E4" w:rsidRPr="00B20276" w:rsidRDefault="00DD45E4" w:rsidP="00A1437A">
      <w:pPr>
        <w:pStyle w:val="Numberedlist"/>
        <w:spacing w:before="0" w:after="0"/>
      </w:pPr>
      <w:r w:rsidRPr="00B20276">
        <w:rPr>
          <w:i/>
        </w:rPr>
        <w:lastRenderedPageBreak/>
        <w:t xml:space="preserve">'mountain areas with no manufacturing': </w:t>
      </w:r>
      <w:r w:rsidRPr="00B20276">
        <w:t>a cluster including tiny municipalities in mountain areas, with a negligible presence of manufacturing activities</w:t>
      </w:r>
      <w:r w:rsidRPr="00B20276">
        <w:rPr>
          <w:i/>
        </w:rPr>
        <w:t>.</w:t>
      </w:r>
    </w:p>
    <w:p w14:paraId="6666D890" w14:textId="06B97526" w:rsidR="00DD45E4" w:rsidRPr="00B20276" w:rsidRDefault="00DD45E4" w:rsidP="00A1437A">
      <w:pPr>
        <w:pStyle w:val="Newparagraph"/>
      </w:pPr>
      <w:bookmarkStart w:id="2" w:name="_Ref468529051"/>
      <w:r w:rsidRPr="00B20276">
        <w:t>[Table 3 here]</w:t>
      </w:r>
    </w:p>
    <w:bookmarkEnd w:id="2"/>
    <w:p w14:paraId="26E913F3" w14:textId="0294445E" w:rsidR="00DD45E4" w:rsidRPr="00B20276" w:rsidRDefault="00DD45E4" w:rsidP="00A1437A">
      <w:pPr>
        <w:pStyle w:val="Newparagraph"/>
      </w:pPr>
      <w:r w:rsidRPr="00B20276">
        <w:t>[Figure 1 here]</w:t>
      </w:r>
    </w:p>
    <w:p w14:paraId="28B55839" w14:textId="6F8D2E66" w:rsidR="00DD45E4" w:rsidRPr="00B20276" w:rsidRDefault="00DD45E4" w:rsidP="00A1437A">
      <w:pPr>
        <w:pStyle w:val="Newparagraph"/>
        <w:ind w:firstLine="0"/>
      </w:pPr>
    </w:p>
    <w:p w14:paraId="170DA6FB" w14:textId="29A710F5" w:rsidR="00DD45E4" w:rsidRPr="00B20276" w:rsidRDefault="00DD45E4" w:rsidP="00A1437A">
      <w:pPr>
        <w:pStyle w:val="Newparagraph"/>
      </w:pPr>
      <w:r w:rsidRPr="00B20276">
        <w:t>As shown in Figure 1, the area affected by the 2012 earthquake comprises all the clusters with the exception of clusters #8 and #9 (namely, urban poles and medium-sized towns, but not the smallest towns). Thus, this cluster analysis significantly highlights differences within the affected area. Referring to its economic structure, it has sharp manufacturing traits, with prevailing specialization in mechanics, in the production of electro-medical devices (having the highest concentration in Italy in the two municipalities of Medolla and Mirandola) and in textiles (five municipalities). In addition to specific territorial location, specializations show particular industrial and market structures and different networks of relationships, at local and global level. These findings – that are consistent with the analysis performed at LLS level – confirm the idea that the affected area is not a unit of analysis as a whole. In particular, the cluster analysis performed in this paper points out which dimensions characterize the heterogeneity within the affected area.</w:t>
      </w:r>
    </w:p>
    <w:p w14:paraId="01CBAF39" w14:textId="77777777" w:rsidR="00DD45E4" w:rsidRPr="00B20276" w:rsidRDefault="00DD45E4" w:rsidP="00A1437A">
      <w:pPr>
        <w:pStyle w:val="Titolo2"/>
        <w:spacing w:before="0" w:after="0" w:line="480" w:lineRule="auto"/>
        <w:rPr>
          <w:szCs w:val="24"/>
        </w:rPr>
      </w:pPr>
      <w:r w:rsidRPr="00B20276">
        <w:rPr>
          <w:szCs w:val="24"/>
        </w:rPr>
        <w:t>Estimating counterfactual effects of the 2012 earthquake</w:t>
      </w:r>
    </w:p>
    <w:p w14:paraId="7D47B0C9" w14:textId="16766BCA" w:rsidR="00DD45E4" w:rsidRPr="00B20276" w:rsidRDefault="00DD45E4" w:rsidP="00A1437A">
      <w:pPr>
        <w:pStyle w:val="Newparagraph"/>
      </w:pPr>
      <w:r w:rsidRPr="00B20276">
        <w:t xml:space="preserve">By applying the nearest neighbour matching, Supplementary material Table </w:t>
      </w:r>
      <w:r w:rsidR="00A5663F">
        <w:t>A</w:t>
      </w:r>
      <w:r w:rsidRPr="00B20276">
        <w:t xml:space="preserve">3 returns the complete set of treated and control observations and their relative distances. </w:t>
      </w:r>
      <w:r w:rsidRPr="00B20276" w:rsidDel="00B84F5F">
        <w:t>In general, control observations occur throughout Northern and Central Italy.</w:t>
      </w:r>
      <w:r w:rsidRPr="00B20276">
        <w:t xml:space="preserve"> In addition to the selected nearest neighbour, Supplementary material Table </w:t>
      </w:r>
      <w:r w:rsidR="00A5663F">
        <w:t>A</w:t>
      </w:r>
      <w:r w:rsidRPr="00B20276">
        <w:t xml:space="preserve">3 also shows the distances between each treated municipality and the five nearest ones (in the space of the selected variables). Two important findings emerge. First, similar municipalities </w:t>
      </w:r>
      <w:r w:rsidRPr="00B20276">
        <w:lastRenderedPageBreak/>
        <w:t>are also spatially close to each other. In 38 cases (out of 160 total five-nearest neighbours), they belong to the larger sets of municipalities hit (totally or partially) by the earthquake. This is why they cannot be considered as control observations. Second, large variability occurs in terms of relative distances. For some single municipalities (Mirandola and Medolla, in the electromed cluster, Carpi and Cavezzo), d</w:t>
      </w:r>
      <w:r w:rsidRPr="00B20276">
        <w:rPr>
          <w:vertAlign w:val="subscript"/>
        </w:rPr>
        <w:t>ij</w:t>
      </w:r>
      <w:r w:rsidRPr="00B20276">
        <w:t xml:space="preserve"> for the nearest neighbour is larger than 3, and this distance significantly increases when considering the other ones. Thus, given these features, taking more than one control municipality would not improve results. </w:t>
      </w:r>
    </w:p>
    <w:p w14:paraId="45058BF8" w14:textId="77777777" w:rsidR="00DD45E4" w:rsidRPr="00B20276" w:rsidRDefault="00DD45E4" w:rsidP="00A1437A">
      <w:pPr>
        <w:pStyle w:val="Newparagraph"/>
      </w:pPr>
    </w:p>
    <w:p w14:paraId="16A0A8D6" w14:textId="6EDB8E95" w:rsidR="00DD45E4" w:rsidRPr="00B20276" w:rsidRDefault="00DD45E4" w:rsidP="00A1437A">
      <w:pPr>
        <w:pStyle w:val="Newparagraph"/>
      </w:pPr>
      <w:bookmarkStart w:id="3" w:name="_Ref468529592"/>
      <w:r w:rsidRPr="00B20276">
        <w:t xml:space="preserve">Table 4 returns DID results, by respectively considering global level (the whole 32-municipality area), cluster level and single municipality level. In all cases, the percentage change in the treated observation is compared with the percentage change in the control one, with regard to population, foreigners, employment in manufacturing and employment in manufacturing SMEs. Both 2011-2013 and 2011-2015 time spans are considered. Results confirm the under-performance of the affected area as a whole with regard to population and foreigners. Employment and employment in local SMEs have grown more in the treated sample than in the control one in the shorter run, but in 2015 no differences can be appreciated by comparing the treated and the control area. At cluster level, performances are quite different when considering both time spans. Two clusters ('agriculture with Ltd. companies; food industry' and 'electromeds') perform poorly: in the first, all selected variables show a negative trend (in both the 2011-2013 and 2011-2015 periods), in the second, only employment dynamics is particularly negative in the shorter period, but almost comparable to the control group in the 2015 timeline. In contrast, 'urban poles', which benefited from a positive performance in employment terms in the shorter run, have suffered a fall compared to </w:t>
      </w:r>
      <w:r w:rsidRPr="00B20276">
        <w:lastRenderedPageBreak/>
        <w:t>the treated group as far as the 2011-2015 time span is concerned. Conversely, the cluster 'very manufacturing (mechanics); farms; foreigners' shows a generally positive performance in comparison to its control group, with the only exception of population dynamics (even in the 2011-2015 time span). Thus, heterogeneity clearly matters when considering the effects of the 2012 earthquake in Emilia-Romagna and cluster classification is useful to single it out, at least partially</w:t>
      </w:r>
      <w:r w:rsidRPr="00B20276" w:rsidDel="007D2046">
        <w:t>.</w:t>
      </w:r>
      <w:r w:rsidRPr="00B20276">
        <w:t xml:space="preserve"> Indeed, this analysis suggests that the evolution of the affected area has been particularly heterogeneous. If overall effects are not extreme, composition of the single effects at local level matters.</w:t>
      </w:r>
    </w:p>
    <w:p w14:paraId="74F9BC54" w14:textId="128D201B" w:rsidR="00DD45E4" w:rsidRPr="00B20276" w:rsidRDefault="00DD45E4" w:rsidP="00A1437A">
      <w:pPr>
        <w:pStyle w:val="Newparagraph"/>
      </w:pPr>
      <w:r w:rsidRPr="00B20276">
        <w:t>[Table 4 here]</w:t>
      </w:r>
      <w:bookmarkEnd w:id="3"/>
    </w:p>
    <w:p w14:paraId="1DB3E8C0" w14:textId="77777777" w:rsidR="00DD45E4" w:rsidRPr="00B20276" w:rsidRDefault="00DD45E4" w:rsidP="00A1437A">
      <w:pPr>
        <w:pStyle w:val="Newparagraph"/>
      </w:pPr>
    </w:p>
    <w:p w14:paraId="03EF6D5A" w14:textId="4D1695FB" w:rsidR="00DD45E4" w:rsidRPr="00B20276" w:rsidRDefault="00DD45E4" w:rsidP="00A1437A">
      <w:pPr>
        <w:pStyle w:val="Newparagraph"/>
      </w:pPr>
      <w:r w:rsidRPr="00B20276">
        <w:t xml:space="preserve">In addition, cluster classification does not completely eliminate the observed heterogeneity, as already discussed. In fact, even within a single cluster, effects largely vary. </w:t>
      </w:r>
    </w:p>
    <w:p w14:paraId="372C53C1" w14:textId="2C6EBB54" w:rsidR="00A71FFE" w:rsidRPr="00B20276" w:rsidRDefault="00DD45E4" w:rsidP="00A1437A">
      <w:pPr>
        <w:pStyle w:val="Newparagraph"/>
      </w:pPr>
      <w:r w:rsidRPr="00B20276">
        <w:t>Even when testing for the distance from the epicentres (a variable that could play a role)</w:t>
      </w:r>
      <w:r w:rsidRPr="00B20276">
        <w:rPr>
          <w:rStyle w:val="Rimandonotadichiusura"/>
        </w:rPr>
        <w:endnoteReference w:id="15"/>
      </w:r>
      <w:r w:rsidRPr="00B20276">
        <w:t xml:space="preserve"> results may be quite different. Other related dimensions, such as the specific geological, morphological and lithological conditions, exposure and vulnerability or other structural conditions</w:t>
      </w:r>
      <w:r w:rsidRPr="00B20276">
        <w:rPr>
          <w:rStyle w:val="Rimandonotadichiusura"/>
        </w:rPr>
        <w:endnoteReference w:id="16"/>
      </w:r>
      <w:r w:rsidRPr="00B20276">
        <w:t>,</w:t>
      </w:r>
      <w:r w:rsidR="00A71FFE" w:rsidRPr="00B20276">
        <w:t xml:space="preserve"> </w:t>
      </w:r>
      <w:r w:rsidR="003A6D71" w:rsidRPr="00B20276">
        <w:t>c</w:t>
      </w:r>
      <w:r w:rsidR="009E5F54" w:rsidRPr="00B20276">
        <w:t>ould</w:t>
      </w:r>
      <w:r w:rsidR="00047308" w:rsidRPr="00B20276">
        <w:t xml:space="preserve"> </w:t>
      </w:r>
      <w:r w:rsidR="003A6D71" w:rsidRPr="00B20276">
        <w:t>improve the explanation of the observed impact</w:t>
      </w:r>
      <w:r w:rsidR="00D42278" w:rsidRPr="00B20276">
        <w:t>.</w:t>
      </w:r>
      <w:r w:rsidR="0002284E" w:rsidRPr="00B20276">
        <w:t xml:space="preserve"> </w:t>
      </w:r>
      <w:r w:rsidR="00D42278" w:rsidRPr="00B20276">
        <w:t xml:space="preserve">These dimensions </w:t>
      </w:r>
      <w:r w:rsidR="00A71FFE" w:rsidRPr="00B20276">
        <w:t xml:space="preserve">vary case by case. </w:t>
      </w:r>
    </w:p>
    <w:p w14:paraId="4B4B6D8D" w14:textId="1639F991" w:rsidR="0002284E" w:rsidRPr="00B20276" w:rsidRDefault="0002284E" w:rsidP="00A1437A">
      <w:pPr>
        <w:pStyle w:val="Newparagraph"/>
        <w:ind w:firstLine="0"/>
      </w:pPr>
      <w:r w:rsidRPr="00B20276">
        <w:fldChar w:fldCharType="begin"/>
      </w:r>
      <w:r w:rsidRPr="00B20276">
        <w:fldChar w:fldCharType="end"/>
      </w:r>
    </w:p>
    <w:p w14:paraId="24991F59" w14:textId="77777777" w:rsidR="00A71FFE" w:rsidRPr="00B20276" w:rsidRDefault="00A71FFE" w:rsidP="00A1437A">
      <w:pPr>
        <w:pStyle w:val="Titolo1"/>
        <w:spacing w:before="0" w:after="0" w:line="480" w:lineRule="auto"/>
        <w:rPr>
          <w:szCs w:val="24"/>
        </w:rPr>
      </w:pPr>
      <w:r w:rsidRPr="00B20276">
        <w:rPr>
          <w:szCs w:val="24"/>
        </w:rPr>
        <w:t>Conclusions</w:t>
      </w:r>
    </w:p>
    <w:p w14:paraId="21546D54" w14:textId="572DB6D6" w:rsidR="00A71FFE" w:rsidRPr="00B20276" w:rsidRDefault="00AE18EB" w:rsidP="00A1437A">
      <w:pPr>
        <w:pStyle w:val="Paragraph"/>
        <w:spacing w:before="0"/>
      </w:pPr>
      <w:r w:rsidRPr="00B20276">
        <w:t>Despite some important examples</w:t>
      </w:r>
      <w:r w:rsidR="0084553F" w:rsidRPr="00B20276">
        <w:t>, such as the one returned by</w:t>
      </w:r>
      <w:r w:rsidR="009E5F54" w:rsidRPr="00B20276">
        <w:t xml:space="preserve"> DuPont &amp; Noy </w:t>
      </w:r>
      <w:r w:rsidR="0084553F" w:rsidRPr="00B20276">
        <w:t>(</w:t>
      </w:r>
      <w:r w:rsidR="009E5F54" w:rsidRPr="00B20276">
        <w:t>2015)</w:t>
      </w:r>
      <w:r w:rsidRPr="00B20276">
        <w:t xml:space="preserve">, studies </w:t>
      </w:r>
      <w:r w:rsidR="00A71FFE" w:rsidRPr="00B20276">
        <w:t xml:space="preserve">that analyse the impact of natural disaster generally overlook the issue of heterogeneity within affected areas (as in Barone </w:t>
      </w:r>
      <w:r w:rsidR="00DC7EBC" w:rsidRPr="00B20276">
        <w:rPr>
          <w:i/>
        </w:rPr>
        <w:t>et al.</w:t>
      </w:r>
      <w:r w:rsidR="00A71FFE" w:rsidRPr="00B20276">
        <w:t xml:space="preserve"> 2013). This paper highlights which problems arise when assessing an appropriate counterfactual analysis with regard to: the definition of the boundaries of the affected area, the selection of the most </w:t>
      </w:r>
      <w:r w:rsidR="00A71FFE" w:rsidRPr="00B20276">
        <w:lastRenderedPageBreak/>
        <w:t xml:space="preserve">appropriate unit of analysis (especially, according to different government levels), the time series </w:t>
      </w:r>
      <w:r w:rsidR="009E5F54" w:rsidRPr="00B20276">
        <w:t xml:space="preserve">of </w:t>
      </w:r>
      <w:r w:rsidR="00A71FFE" w:rsidRPr="00B20276">
        <w:t>data available at a greater spatial granularity</w:t>
      </w:r>
      <w:r w:rsidR="002F027B" w:rsidRPr="00B20276">
        <w:t xml:space="preserve"> and </w:t>
      </w:r>
      <w:r w:rsidR="00A71FFE" w:rsidRPr="00B20276">
        <w:t xml:space="preserve">the ways to take into account heterogeneity at </w:t>
      </w:r>
      <w:r w:rsidR="002F027B" w:rsidRPr="00B20276">
        <w:t>this</w:t>
      </w:r>
      <w:r w:rsidR="00A71FFE" w:rsidRPr="00B20276">
        <w:t xml:space="preserve"> territorial level. </w:t>
      </w:r>
    </w:p>
    <w:p w14:paraId="3EF2FABE" w14:textId="1F6FC074" w:rsidR="00A71FFE" w:rsidRPr="00B20276" w:rsidRDefault="00A71FFE" w:rsidP="00A1437A">
      <w:pPr>
        <w:pStyle w:val="Newparagraph"/>
      </w:pPr>
      <w:r w:rsidRPr="00B20276">
        <w:t xml:space="preserve">To assess sub-regional impacts of an earthquake, this paper </w:t>
      </w:r>
      <w:r w:rsidR="00AE18EB" w:rsidRPr="00B20276">
        <w:t>focuses on</w:t>
      </w:r>
      <w:r w:rsidRPr="00B20276">
        <w:t xml:space="preserve"> the 2012 Emilia earthquake, which hit a wide area with large socio-economic differences </w:t>
      </w:r>
      <w:r w:rsidR="00A0070A" w:rsidRPr="00B20276">
        <w:t xml:space="preserve">both </w:t>
      </w:r>
      <w:r w:rsidRPr="00B20276">
        <w:t xml:space="preserve">within </w:t>
      </w:r>
      <w:r w:rsidR="00A0070A" w:rsidRPr="00B20276">
        <w:t>it</w:t>
      </w:r>
      <w:r w:rsidRPr="00B20276">
        <w:t xml:space="preserve"> and</w:t>
      </w:r>
      <w:r w:rsidR="00CD2D1E" w:rsidRPr="00B20276">
        <w:t xml:space="preserve"> </w:t>
      </w:r>
      <w:r w:rsidR="002F027B" w:rsidRPr="00B20276">
        <w:t xml:space="preserve">in comparison </w:t>
      </w:r>
      <w:r w:rsidR="00CD2D1E" w:rsidRPr="00B20276">
        <w:t>with</w:t>
      </w:r>
      <w:r w:rsidRPr="00B20276">
        <w:t xml:space="preserve"> the rest of the region</w:t>
      </w:r>
      <w:r w:rsidR="00A0070A" w:rsidRPr="00B20276">
        <w:t>,</w:t>
      </w:r>
      <w:r w:rsidRPr="00B20276">
        <w:t xml:space="preserve"> in terms of intensity and types of manufacturing </w:t>
      </w:r>
      <w:r w:rsidR="00A85C25" w:rsidRPr="00B20276">
        <w:t xml:space="preserve">and agricultural </w:t>
      </w:r>
      <w:r w:rsidRPr="00B20276">
        <w:t>activities and</w:t>
      </w:r>
      <w:r w:rsidR="00CD2D1E" w:rsidRPr="00B20276">
        <w:t xml:space="preserve"> </w:t>
      </w:r>
      <w:r w:rsidR="009E5F54" w:rsidRPr="00B20276">
        <w:t xml:space="preserve">with regard to the </w:t>
      </w:r>
      <w:r w:rsidR="00CD2D1E" w:rsidRPr="00B20276">
        <w:t>share</w:t>
      </w:r>
      <w:r w:rsidRPr="00B20276">
        <w:t xml:space="preserve"> of foreign</w:t>
      </w:r>
      <w:r w:rsidR="00CD2D1E" w:rsidRPr="00B20276">
        <w:t>ers</w:t>
      </w:r>
      <w:r w:rsidRPr="00B20276">
        <w:t xml:space="preserve">. </w:t>
      </w:r>
      <w:r w:rsidR="00CD2D1E" w:rsidRPr="00B20276">
        <w:t>These heterogeneous characteristics</w:t>
      </w:r>
      <w:r w:rsidRPr="00B20276">
        <w:t xml:space="preserve"> may affect long-term dynamics of recovery of the affected area and also of non-affected municipalities that are economically and socially interrelated to it.</w:t>
      </w:r>
    </w:p>
    <w:p w14:paraId="04C2039B" w14:textId="0A42FD9D" w:rsidR="00CF5C2F" w:rsidRPr="00B20276" w:rsidRDefault="00A71FFE" w:rsidP="00A1437A">
      <w:pPr>
        <w:pStyle w:val="Newparagraph"/>
      </w:pPr>
      <w:r w:rsidRPr="00B20276">
        <w:t>Heterogeneity within the affected area has been tackled by</w:t>
      </w:r>
      <w:r w:rsidR="00E136AE" w:rsidRPr="00B20276">
        <w:t xml:space="preserve"> means of municipality</w:t>
      </w:r>
      <w:r w:rsidR="00A85C25" w:rsidRPr="00B20276">
        <w:t>-level</w:t>
      </w:r>
      <w:r w:rsidR="00E136AE" w:rsidRPr="00B20276">
        <w:t xml:space="preserve"> data. A</w:t>
      </w:r>
      <w:r w:rsidRPr="00B20276">
        <w:t xml:space="preserve"> cluster analysis</w:t>
      </w:r>
      <w:r w:rsidR="00E136AE" w:rsidRPr="00B20276">
        <w:t xml:space="preserve"> has pointed out major differences among municipalities, in terms of population size, </w:t>
      </w:r>
      <w:r w:rsidR="00282224" w:rsidRPr="00B20276">
        <w:t xml:space="preserve">manufacturing </w:t>
      </w:r>
      <w:r w:rsidR="00E136AE" w:rsidRPr="00B20276">
        <w:t>specialisation</w:t>
      </w:r>
      <w:r w:rsidR="002F027B" w:rsidRPr="00B20276">
        <w:t xml:space="preserve"> and </w:t>
      </w:r>
      <w:r w:rsidR="00E136AE" w:rsidRPr="00B20276">
        <w:t>presence of agricultural activities</w:t>
      </w:r>
      <w:r w:rsidRPr="00B20276">
        <w:t xml:space="preserve">. Then, a selection of counterfactual observations has been modelled, by considering a </w:t>
      </w:r>
      <w:r w:rsidR="00E136AE" w:rsidRPr="00B20276">
        <w:t>one</w:t>
      </w:r>
      <w:r w:rsidRPr="00B20276">
        <w:t xml:space="preserve">-to-one matching, according to the Euclidean distance in the space of the </w:t>
      </w:r>
      <w:r w:rsidR="00A85C25" w:rsidRPr="00B20276">
        <w:t xml:space="preserve">16 </w:t>
      </w:r>
      <w:r w:rsidRPr="00B20276">
        <w:t xml:space="preserve">variables used in the cluster analysis. The DID counterfactual analysis confirms that socio-economic performance varies </w:t>
      </w:r>
      <w:r w:rsidR="00E136AE" w:rsidRPr="00B20276">
        <w:t>not only among clusters, but also within them (at municipality level)</w:t>
      </w:r>
      <w:r w:rsidR="00101EA8" w:rsidRPr="00B20276">
        <w:t>, as a large variety of local features may play a role in shaping the effects</w:t>
      </w:r>
      <w:r w:rsidR="00144149" w:rsidRPr="00B20276">
        <w:t xml:space="preserve"> of the earthquake</w:t>
      </w:r>
      <w:r w:rsidRPr="00B20276">
        <w:t xml:space="preserve">. These kinds of </w:t>
      </w:r>
      <w:r w:rsidR="00101EA8" w:rsidRPr="00B20276">
        <w:t xml:space="preserve">local-level </w:t>
      </w:r>
      <w:r w:rsidRPr="00B20276">
        <w:t xml:space="preserve">compensation effects emerge when considering sub-regional units of analysis. In fact, at an even greater scale of analysis (such as the regional one), </w:t>
      </w:r>
      <w:r w:rsidR="00FC3DAA" w:rsidRPr="00B20276">
        <w:t xml:space="preserve">they </w:t>
      </w:r>
      <w:r w:rsidRPr="00B20276">
        <w:t xml:space="preserve">may even disappear (Barone </w:t>
      </w:r>
      <w:r w:rsidR="00DC7EBC" w:rsidRPr="00B20276">
        <w:rPr>
          <w:i/>
        </w:rPr>
        <w:t>et al.</w:t>
      </w:r>
      <w:r w:rsidRPr="00B20276">
        <w:t xml:space="preserve">, 2013). </w:t>
      </w:r>
      <w:r w:rsidR="00FC3DAA" w:rsidRPr="00B20276">
        <w:t>D</w:t>
      </w:r>
      <w:r w:rsidRPr="00B20276">
        <w:t xml:space="preserve">isaggregated results may highlight </w:t>
      </w:r>
      <w:r w:rsidR="00282224" w:rsidRPr="00B20276">
        <w:t xml:space="preserve">both </w:t>
      </w:r>
      <w:r w:rsidRPr="00B20276">
        <w:t>different paths of recovery and</w:t>
      </w:r>
      <w:r w:rsidR="00282224" w:rsidRPr="00B20276">
        <w:t>,</w:t>
      </w:r>
      <w:r w:rsidRPr="00B20276">
        <w:t xml:space="preserve"> in the medium term, a divergence from </w:t>
      </w:r>
      <w:r w:rsidR="00FC3DAA" w:rsidRPr="00B20276">
        <w:t xml:space="preserve">the pace of growth that </w:t>
      </w:r>
      <w:r w:rsidRPr="00B20276">
        <w:t xml:space="preserve">the area would have </w:t>
      </w:r>
      <w:r w:rsidR="00FC3DAA" w:rsidRPr="00B20276">
        <w:t xml:space="preserve">experienced </w:t>
      </w:r>
      <w:r w:rsidRPr="00B20276">
        <w:t>if not affected by the natural disaster.</w:t>
      </w:r>
      <w:r w:rsidR="0084553F" w:rsidRPr="00B20276">
        <w:t xml:space="preserve"> </w:t>
      </w:r>
      <w:r w:rsidR="00CF5C2F" w:rsidRPr="00B20276">
        <w:t xml:space="preserve">Because of the existence of these place-specific composition effects, </w:t>
      </w:r>
      <w:r w:rsidR="00D551DD" w:rsidRPr="00B20276">
        <w:t xml:space="preserve">which may eventually change the overall evolution </w:t>
      </w:r>
      <w:r w:rsidR="00D551DD" w:rsidRPr="00B20276">
        <w:lastRenderedPageBreak/>
        <w:t xml:space="preserve">path </w:t>
      </w:r>
      <w:r w:rsidR="00DC29A2" w:rsidRPr="00B20276">
        <w:t xml:space="preserve">of </w:t>
      </w:r>
      <w:r w:rsidR="00D551DD" w:rsidRPr="00B20276">
        <w:t>the affected area, it is crucial to carefully monitor them, over time.</w:t>
      </w:r>
      <w:r w:rsidR="00F40726" w:rsidRPr="00B20276">
        <w:t xml:space="preserve"> In particular, when planning </w:t>
      </w:r>
      <w:r w:rsidR="00FC3DAA" w:rsidRPr="00B20276">
        <w:t xml:space="preserve">interventions to restore </w:t>
      </w:r>
      <w:r w:rsidR="00F40726" w:rsidRPr="00B20276">
        <w:t xml:space="preserve">services to </w:t>
      </w:r>
      <w:r w:rsidR="002F027B" w:rsidRPr="00B20276">
        <w:t xml:space="preserve">the </w:t>
      </w:r>
      <w:r w:rsidR="00F40726" w:rsidRPr="00B20276">
        <w:t xml:space="preserve">population (e.g. rebuilding schools, hospitals, and other local services), it is essential to know </w:t>
      </w:r>
      <w:r w:rsidR="002F027B" w:rsidRPr="00B20276">
        <w:t xml:space="preserve">what </w:t>
      </w:r>
      <w:r w:rsidR="00F40726" w:rsidRPr="00B20276">
        <w:t>the evolution of resident population and the demography of local activities</w:t>
      </w:r>
      <w:r w:rsidR="002F027B" w:rsidRPr="00B20276">
        <w:t xml:space="preserve"> might be</w:t>
      </w:r>
      <w:r w:rsidR="00F40726" w:rsidRPr="00B20276">
        <w:t xml:space="preserve">. </w:t>
      </w:r>
    </w:p>
    <w:p w14:paraId="0A8A32F4" w14:textId="4830F71D" w:rsidR="00A71FFE" w:rsidRPr="00B20276" w:rsidRDefault="00F40726" w:rsidP="00A1437A">
      <w:pPr>
        <w:pStyle w:val="Newparagraph"/>
      </w:pPr>
      <w:r w:rsidRPr="00B20276">
        <w:t>In more general terms, s</w:t>
      </w:r>
      <w:r w:rsidR="00D551DD" w:rsidRPr="00B20276">
        <w:t>uch</w:t>
      </w:r>
      <w:r w:rsidR="0084553F" w:rsidRPr="00B20276">
        <w:t xml:space="preserve"> monitoring </w:t>
      </w:r>
      <w:r w:rsidR="00FC3DAA" w:rsidRPr="00B20276">
        <w:t>would</w:t>
      </w:r>
      <w:r w:rsidR="007A2DCA" w:rsidRPr="00B20276">
        <w:t xml:space="preserve"> be essential in building a robust</w:t>
      </w:r>
      <w:r w:rsidR="00EF2D13" w:rsidRPr="00B20276">
        <w:t xml:space="preserve"> recovery path in the medium-to-long run</w:t>
      </w:r>
      <w:r w:rsidR="0084553F" w:rsidRPr="00B20276">
        <w:t xml:space="preserve">. In particular, </w:t>
      </w:r>
      <w:r w:rsidR="00EF2D13" w:rsidRPr="00B20276">
        <w:t xml:space="preserve">with regard </w:t>
      </w:r>
      <w:r w:rsidR="0084553F" w:rsidRPr="00B20276">
        <w:t xml:space="preserve">to the set of </w:t>
      </w:r>
      <w:r w:rsidR="00DC29A2" w:rsidRPr="00B20276">
        <w:t xml:space="preserve">affected </w:t>
      </w:r>
      <w:r w:rsidRPr="00B20276">
        <w:t xml:space="preserve">and control </w:t>
      </w:r>
      <w:r w:rsidR="00DC29A2" w:rsidRPr="00B20276">
        <w:t xml:space="preserve">municipalities </w:t>
      </w:r>
      <w:r w:rsidR="0084553F" w:rsidRPr="00B20276">
        <w:t>singled out</w:t>
      </w:r>
      <w:r w:rsidR="005D3D8F" w:rsidRPr="00B20276">
        <w:t xml:space="preserve"> here</w:t>
      </w:r>
      <w:r w:rsidR="0084553F" w:rsidRPr="00B20276">
        <w:t xml:space="preserve">, further information </w:t>
      </w:r>
      <w:r w:rsidR="00FC3DAA" w:rsidRPr="00B20276">
        <w:t>on</w:t>
      </w:r>
      <w:r w:rsidR="0084553F" w:rsidRPr="00B20276">
        <w:t xml:space="preserve"> fiscal data, on economic activities, </w:t>
      </w:r>
      <w:r w:rsidR="002F027B" w:rsidRPr="00B20276">
        <w:t xml:space="preserve">and </w:t>
      </w:r>
      <w:r w:rsidR="0084553F" w:rsidRPr="00B20276">
        <w:t>on the provision of local public services</w:t>
      </w:r>
      <w:r w:rsidR="00FC3DAA" w:rsidRPr="00B20276">
        <w:t xml:space="preserve"> would </w:t>
      </w:r>
      <w:r w:rsidR="00EF2D13" w:rsidRPr="00B20276">
        <w:t>contribute to monitor</w:t>
      </w:r>
      <w:r w:rsidR="002F027B" w:rsidRPr="00B20276">
        <w:t>ing</w:t>
      </w:r>
      <w:r w:rsidR="00EF2D13" w:rsidRPr="00B20276">
        <w:t xml:space="preserve"> the recovery path </w:t>
      </w:r>
      <w:r w:rsidR="002F027B" w:rsidRPr="00B20276">
        <w:t xml:space="preserve">over </w:t>
      </w:r>
      <w:r w:rsidR="00EF2D13" w:rsidRPr="00B20276">
        <w:t>a longer time</w:t>
      </w:r>
      <w:r w:rsidR="00091742" w:rsidRPr="00B20276">
        <w:t xml:space="preserve"> </w:t>
      </w:r>
      <w:r w:rsidR="00EF2D13" w:rsidRPr="00B20276">
        <w:t>span</w:t>
      </w:r>
      <w:r w:rsidR="0084553F" w:rsidRPr="00B20276">
        <w:t>.</w:t>
      </w:r>
    </w:p>
    <w:p w14:paraId="72D16BA4" w14:textId="1E0E90F8" w:rsidR="00A71FFE" w:rsidRPr="00B20276" w:rsidRDefault="0084553F" w:rsidP="00A1437A">
      <w:pPr>
        <w:pStyle w:val="Newparagraph"/>
      </w:pPr>
      <w:r w:rsidRPr="00B20276">
        <w:t xml:space="preserve">However, </w:t>
      </w:r>
      <w:r w:rsidR="00557221" w:rsidRPr="00B20276">
        <w:t>a monitoring model should acknowledge that a</w:t>
      </w:r>
      <w:r w:rsidR="00A71FFE" w:rsidRPr="00B20276">
        <w:t xml:space="preserve">lso vulnerability may affect both the initial amount of damage and the recovery path. Indeed, vulnerability is affected by </w:t>
      </w:r>
      <w:r w:rsidR="00CD2D1E" w:rsidRPr="00B20276">
        <w:t xml:space="preserve">the </w:t>
      </w:r>
      <w:r w:rsidR="00A71FFE" w:rsidRPr="00B20276">
        <w:t xml:space="preserve">local economic structure, </w:t>
      </w:r>
      <w:r w:rsidR="00CD2D1E" w:rsidRPr="00B20276">
        <w:t xml:space="preserve">the </w:t>
      </w:r>
      <w:r w:rsidR="00A71FFE" w:rsidRPr="00B20276">
        <w:t>spatial distribution of population and</w:t>
      </w:r>
      <w:r w:rsidR="00CD2D1E" w:rsidRPr="00B20276">
        <w:t xml:space="preserve"> the characteristics of</w:t>
      </w:r>
      <w:r w:rsidR="00A71FFE" w:rsidRPr="00B20276">
        <w:t xml:space="preserve"> urban fabric</w:t>
      </w:r>
      <w:r w:rsidR="00557221" w:rsidRPr="00B20276">
        <w:t xml:space="preserve"> as a path-dependent result</w:t>
      </w:r>
      <w:r w:rsidR="00CD2D1E" w:rsidRPr="00B20276">
        <w:t>.</w:t>
      </w:r>
      <w:r w:rsidR="00A71FFE" w:rsidRPr="00B20276">
        <w:t xml:space="preserve"> Hence, sub-regional analyses </w:t>
      </w:r>
      <w:r w:rsidRPr="00B20276">
        <w:t xml:space="preserve">(and in particular the implementation of a monitoring model) </w:t>
      </w:r>
      <w:r w:rsidR="00A71FFE" w:rsidRPr="00B20276">
        <w:t xml:space="preserve">are particularly important </w:t>
      </w:r>
      <w:r w:rsidR="00CD2D1E" w:rsidRPr="00B20276">
        <w:t>for</w:t>
      </w:r>
      <w:r w:rsidR="00A71FFE" w:rsidRPr="00B20276">
        <w:t xml:space="preserve"> policymakers, as no one-size-fits-all policies are expected to be effective after natural disasters. </w:t>
      </w:r>
    </w:p>
    <w:p w14:paraId="671B6AD6" w14:textId="3A472400" w:rsidR="00A71FFE" w:rsidRPr="00B20276" w:rsidRDefault="00A71FFE" w:rsidP="00A1437A">
      <w:pPr>
        <w:pStyle w:val="Newparagraph"/>
      </w:pPr>
      <w:r w:rsidRPr="00B20276">
        <w:t xml:space="preserve">For instance, it is easy to forecast that the long-term effects of the latest 2016 series of earthquakes in Central Italy will be completely different compared to the effects of the Emilia earthquake. </w:t>
      </w:r>
      <w:r w:rsidR="00BF31D8" w:rsidRPr="00B20276">
        <w:t>T</w:t>
      </w:r>
      <w:r w:rsidRPr="00B20276">
        <w:t>hat area is completely different: it comprises low-</w:t>
      </w:r>
      <w:r w:rsidR="002F027B" w:rsidRPr="00B20276">
        <w:t xml:space="preserve">density </w:t>
      </w:r>
      <w:r w:rsidRPr="00B20276">
        <w:t>populated municipalities, with a large number of tiny historical villages spread across a mountainous area</w:t>
      </w:r>
      <w:r w:rsidR="00CD2D1E" w:rsidRPr="00B20276">
        <w:t>, a less important industrial sector</w:t>
      </w:r>
      <w:r w:rsidRPr="00B20276">
        <w:t xml:space="preserve"> </w:t>
      </w:r>
      <w:r w:rsidR="00CD2D1E" w:rsidRPr="00B20276">
        <w:t>and a</w:t>
      </w:r>
      <w:r w:rsidRPr="00B20276">
        <w:t xml:space="preserve"> large</w:t>
      </w:r>
      <w:r w:rsidR="00CD2D1E" w:rsidRPr="00B20276">
        <w:t>r</w:t>
      </w:r>
      <w:r w:rsidRPr="00B20276">
        <w:t xml:space="preserve"> presence of agricultural and livestock activities</w:t>
      </w:r>
      <w:r w:rsidR="00ED18B2" w:rsidRPr="00B20276">
        <w:t xml:space="preserve"> (Pagliacci and Russo, 2017)</w:t>
      </w:r>
      <w:r w:rsidRPr="00B20276">
        <w:t xml:space="preserve">. </w:t>
      </w:r>
      <w:r w:rsidR="00BF31D8" w:rsidRPr="00B20276">
        <w:t>Besides</w:t>
      </w:r>
      <w:r w:rsidR="00CD2D1E" w:rsidRPr="00B20276">
        <w:t xml:space="preserve"> heterogeneity, v</w:t>
      </w:r>
      <w:r w:rsidRPr="00B20276">
        <w:t>ulnerability affect</w:t>
      </w:r>
      <w:r w:rsidR="00CD2D1E" w:rsidRPr="00B20276">
        <w:t>s</w:t>
      </w:r>
      <w:r w:rsidRPr="00B20276">
        <w:t xml:space="preserve"> the spatial distribution of damage and casualties. For instance, the small towns of Amatrice and Norcia, </w:t>
      </w:r>
      <w:r w:rsidR="002F027B" w:rsidRPr="00B20276">
        <w:t xml:space="preserve">which have </w:t>
      </w:r>
      <w:r w:rsidRPr="00B20276">
        <w:t>a similar urban fabric, dat</w:t>
      </w:r>
      <w:r w:rsidR="002F027B" w:rsidRPr="00B20276">
        <w:t>ing</w:t>
      </w:r>
      <w:r w:rsidRPr="00B20276">
        <w:t xml:space="preserve"> back to the Middle Ages, and </w:t>
      </w:r>
      <w:r w:rsidR="002F027B" w:rsidRPr="00B20276">
        <w:t xml:space="preserve">are </w:t>
      </w:r>
      <w:r w:rsidRPr="00B20276">
        <w:t xml:space="preserve">almost the same distance from the major epicentres of the </w:t>
      </w:r>
      <w:r w:rsidRPr="00B20276">
        <w:lastRenderedPageBreak/>
        <w:t xml:space="preserve">2016 Central Italy earthquake, experienced very different effects. The former </w:t>
      </w:r>
      <w:r w:rsidR="002F027B" w:rsidRPr="00B20276">
        <w:t>was</w:t>
      </w:r>
      <w:r w:rsidRPr="00B20276">
        <w:t xml:space="preserve"> razed to the ground, suffering more than 200 casualties; in the latter no one died, despite severe damage to the urban fabric and the destruction of the Basilica of St. Benedict. Indeed, Norcia was largely rebuilt after the 1859 earthquake with anti-seismic criteria</w:t>
      </w:r>
      <w:r w:rsidR="00BF31D8" w:rsidRPr="00B20276">
        <w:t>,</w:t>
      </w:r>
      <w:r w:rsidRPr="00B20276">
        <w:t xml:space="preserve"> with further interventions after the 1979 earthquake</w:t>
      </w:r>
      <w:r w:rsidR="006A1A0A">
        <w:rPr>
          <w:rStyle w:val="Rimandonotadichiusura"/>
        </w:rPr>
        <w:endnoteReference w:id="17"/>
      </w:r>
      <w:r w:rsidRPr="00B20276">
        <w:t xml:space="preserve">. </w:t>
      </w:r>
    </w:p>
    <w:p w14:paraId="70325B5D" w14:textId="52F81981" w:rsidR="00A71FFE" w:rsidRPr="00B20276" w:rsidRDefault="00A71FFE" w:rsidP="00A1437A">
      <w:pPr>
        <w:pStyle w:val="Newparagraph"/>
      </w:pPr>
      <w:r w:rsidRPr="00B20276">
        <w:t xml:space="preserve">It is clear that other characteristics, besides distances, matter in assessing local vulnerabilities. Thus, with regard to </w:t>
      </w:r>
      <w:r w:rsidR="009E5F54" w:rsidRPr="00B20276">
        <w:t xml:space="preserve">the ongoing </w:t>
      </w:r>
      <w:r w:rsidR="003A6D71" w:rsidRPr="00B20276">
        <w:t>design</w:t>
      </w:r>
      <w:r w:rsidR="009E5F54" w:rsidRPr="00B20276">
        <w:t xml:space="preserve"> </w:t>
      </w:r>
      <w:r w:rsidR="003A6D71" w:rsidRPr="00B20276">
        <w:t>of programmes for</w:t>
      </w:r>
      <w:r w:rsidR="004A5CF0" w:rsidRPr="00B20276">
        <w:t xml:space="preserve"> </w:t>
      </w:r>
      <w:r w:rsidR="007A2DCA" w:rsidRPr="00B20276">
        <w:t xml:space="preserve">both </w:t>
      </w:r>
      <w:r w:rsidRPr="00B20276">
        <w:t xml:space="preserve">post-earthquake recovery </w:t>
      </w:r>
      <w:r w:rsidR="00A85C5D" w:rsidRPr="00B20276">
        <w:t xml:space="preserve">and </w:t>
      </w:r>
      <w:r w:rsidR="003A6D71" w:rsidRPr="00B20276">
        <w:t xml:space="preserve">risk and </w:t>
      </w:r>
      <w:r w:rsidR="00A85C5D" w:rsidRPr="00B20276">
        <w:t xml:space="preserve">vulnerability </w:t>
      </w:r>
      <w:r w:rsidR="003A6D71" w:rsidRPr="00B20276">
        <w:t>reduction</w:t>
      </w:r>
      <w:r w:rsidR="00A85C5D" w:rsidRPr="00B20276">
        <w:t xml:space="preserve"> </w:t>
      </w:r>
      <w:r w:rsidR="007A2DCA" w:rsidRPr="00B20276">
        <w:t xml:space="preserve">in Italy </w:t>
      </w:r>
      <w:r w:rsidR="00A85C5D" w:rsidRPr="00B20276">
        <w:t xml:space="preserve">(Pagliacci </w:t>
      </w:r>
      <w:r w:rsidR="00DC7EBC" w:rsidRPr="00B20276">
        <w:rPr>
          <w:i/>
        </w:rPr>
        <w:t>et al.</w:t>
      </w:r>
      <w:r w:rsidR="00A85C5D" w:rsidRPr="00B20276">
        <w:t>, 2017)</w:t>
      </w:r>
      <w:r w:rsidRPr="00B20276">
        <w:t>, two aspects must be preliminar</w:t>
      </w:r>
      <w:r w:rsidR="002F027B" w:rsidRPr="00B20276">
        <w:t>il</w:t>
      </w:r>
      <w:r w:rsidRPr="00B20276">
        <w:t xml:space="preserve">y addressed: the need </w:t>
      </w:r>
      <w:r w:rsidR="00A85C5D" w:rsidRPr="00B20276">
        <w:t xml:space="preserve">for </w:t>
      </w:r>
      <w:r w:rsidRPr="00B20276">
        <w:t>data with greater spatial granularity and the creation of appropriate models of sub-regional path dynamics to outline scenarios for policy interventions.</w:t>
      </w:r>
    </w:p>
    <w:p w14:paraId="12F73C36" w14:textId="77777777" w:rsidR="00212707" w:rsidRPr="00B20276" w:rsidRDefault="00212707" w:rsidP="00A1437A">
      <w:pPr>
        <w:pStyle w:val="Newparagraph"/>
      </w:pPr>
    </w:p>
    <w:p w14:paraId="2015D4D2" w14:textId="77777777" w:rsidR="00212707" w:rsidRPr="00B20276" w:rsidRDefault="00212707" w:rsidP="00A1437A">
      <w:pPr>
        <w:pStyle w:val="Titolo1"/>
        <w:spacing w:before="0" w:after="0" w:line="480" w:lineRule="auto"/>
        <w:rPr>
          <w:szCs w:val="24"/>
        </w:rPr>
      </w:pPr>
      <w:r w:rsidRPr="00B20276">
        <w:rPr>
          <w:szCs w:val="24"/>
        </w:rPr>
        <w:t>Acknowledgemnts</w:t>
      </w:r>
    </w:p>
    <w:p w14:paraId="73EAAE9C" w14:textId="38FB50F2" w:rsidR="00212707" w:rsidRPr="001C289C" w:rsidRDefault="00212707" w:rsidP="001C289C">
      <w:pPr>
        <w:pStyle w:val="Riferimentibibliografici"/>
        <w:spacing w:line="480" w:lineRule="auto"/>
        <w:ind w:left="0" w:firstLine="0"/>
        <w:rPr>
          <w:sz w:val="24"/>
          <w:szCs w:val="24"/>
          <w:lang w:val="en-GB"/>
        </w:rPr>
      </w:pPr>
      <w:r w:rsidRPr="00B20276">
        <w:rPr>
          <w:sz w:val="24"/>
          <w:szCs w:val="24"/>
          <w:lang w:val="en-GB"/>
        </w:rPr>
        <w:t xml:space="preserve">The authors would like to thank </w:t>
      </w:r>
      <w:r w:rsidR="001C289C">
        <w:rPr>
          <w:sz w:val="24"/>
          <w:szCs w:val="24"/>
          <w:lang w:val="en-GB"/>
        </w:rPr>
        <w:t xml:space="preserve">Doriano Castaldini, </w:t>
      </w:r>
      <w:r w:rsidRPr="00B20276">
        <w:rPr>
          <w:sz w:val="24"/>
          <w:szCs w:val="24"/>
          <w:lang w:val="en-GB"/>
        </w:rPr>
        <w:t xml:space="preserve">Patrizio Frederic, Michele Lalla, </w:t>
      </w:r>
      <w:r w:rsidR="001C289C" w:rsidRPr="00B20276">
        <w:rPr>
          <w:sz w:val="24"/>
          <w:szCs w:val="24"/>
          <w:lang w:val="en-GB"/>
        </w:rPr>
        <w:t>Marco Mariani, Luca Mo Costabella, Silvia Muzzioli, Sergio Paba, Vittorio Piazzi, Riccardo Righi</w:t>
      </w:r>
      <w:r w:rsidR="001C289C">
        <w:rPr>
          <w:sz w:val="24"/>
          <w:szCs w:val="24"/>
          <w:lang w:val="en-GB"/>
        </w:rPr>
        <w:t>,</w:t>
      </w:r>
      <w:r w:rsidR="001C289C" w:rsidRPr="00B20276">
        <w:rPr>
          <w:sz w:val="24"/>
          <w:szCs w:val="24"/>
          <w:lang w:val="en-GB"/>
        </w:rPr>
        <w:t xml:space="preserve"> </w:t>
      </w:r>
      <w:r w:rsidRPr="00B20276">
        <w:rPr>
          <w:sz w:val="24"/>
          <w:szCs w:val="24"/>
          <w:lang w:val="en-GB"/>
        </w:rPr>
        <w:t xml:space="preserve">Paolo Silvestri, Mauro Soldati, the organisers of the 2016 ERSA Special Session "Counterfactual methods for regional policy evaluation", the participants at the DEMB seminar, held at University of Modena and Reggio Emilia, on November 7th, 2017, and the anonymous referees </w:t>
      </w:r>
      <w:r w:rsidR="001C289C">
        <w:rPr>
          <w:sz w:val="24"/>
          <w:szCs w:val="24"/>
          <w:lang w:val="en-GB"/>
        </w:rPr>
        <w:t xml:space="preserve">and the editor </w:t>
      </w:r>
      <w:r w:rsidRPr="00B20276">
        <w:rPr>
          <w:sz w:val="24"/>
          <w:szCs w:val="24"/>
          <w:lang w:val="en-GB"/>
        </w:rPr>
        <w:t>for their insightful suggestions.</w:t>
      </w:r>
    </w:p>
    <w:p w14:paraId="0D398EB6" w14:textId="77777777" w:rsidR="00212707" w:rsidRPr="00B20276" w:rsidRDefault="00212707" w:rsidP="00A1437A">
      <w:pPr>
        <w:pStyle w:val="Riferimentibibliografici"/>
        <w:spacing w:line="480" w:lineRule="auto"/>
        <w:ind w:left="0" w:firstLine="0"/>
        <w:rPr>
          <w:sz w:val="24"/>
          <w:szCs w:val="24"/>
          <w:lang w:val="it-IT"/>
        </w:rPr>
      </w:pPr>
      <w:r w:rsidRPr="00B20276">
        <w:rPr>
          <w:sz w:val="24"/>
          <w:szCs w:val="24"/>
        </w:rPr>
        <w:t xml:space="preserve">This paper has been realized within the research project Energie Sisma Emilia (www.energie.unimore.it) of the University of Modena and Reggio Emilia (Italy). </w:t>
      </w:r>
      <w:r w:rsidRPr="00B20276">
        <w:rPr>
          <w:sz w:val="24"/>
          <w:szCs w:val="24"/>
          <w:lang w:val="it-IT"/>
        </w:rPr>
        <w:t>The project is co-funded by Fondazione Cassa di Risparmio di Modena, Azienda Unità Sanitaria Locale di Modena and Università di Modena e Reggio Emilia.</w:t>
      </w:r>
    </w:p>
    <w:p w14:paraId="4CC0DA33" w14:textId="77777777" w:rsidR="00A71FFE" w:rsidRPr="00B20276" w:rsidRDefault="00A71FFE" w:rsidP="00A1437A">
      <w:pPr>
        <w:pStyle w:val="Titolo1"/>
        <w:spacing w:before="0" w:after="0" w:line="480" w:lineRule="auto"/>
        <w:rPr>
          <w:szCs w:val="24"/>
        </w:rPr>
      </w:pPr>
      <w:r w:rsidRPr="00B20276">
        <w:rPr>
          <w:szCs w:val="24"/>
        </w:rPr>
        <w:lastRenderedPageBreak/>
        <w:t>References</w:t>
      </w:r>
    </w:p>
    <w:p w14:paraId="1D7FC653" w14:textId="48E252F3" w:rsidR="00A71FFE" w:rsidRPr="00B20276" w:rsidRDefault="00A71FFE" w:rsidP="00A1437A">
      <w:pPr>
        <w:pStyle w:val="References"/>
        <w:spacing w:before="0" w:line="480" w:lineRule="auto"/>
        <w:rPr>
          <w:lang w:val="en-US"/>
        </w:rPr>
      </w:pPr>
      <w:r w:rsidRPr="00B20276">
        <w:t xml:space="preserve">Abadie, A., Diamond, A., </w:t>
      </w:r>
      <w:r w:rsidR="004022AB" w:rsidRPr="00B20276">
        <w:t>&amp;</w:t>
      </w:r>
      <w:r w:rsidRPr="00B20276">
        <w:t xml:space="preserve"> Hainmueller J. (2010). Synthetic Control Methods for Comparative Case Studies: Estimating the Effect of California’s Tobacco Control Program. </w:t>
      </w:r>
      <w:r w:rsidRPr="00B20276">
        <w:rPr>
          <w:i/>
          <w:lang w:val="en-US"/>
        </w:rPr>
        <w:t>Journal of the American Statistical Association</w:t>
      </w:r>
      <w:r w:rsidRPr="00B20276">
        <w:rPr>
          <w:lang w:val="en-US"/>
        </w:rPr>
        <w:t>, 105(490)</w:t>
      </w:r>
      <w:r w:rsidR="004022AB" w:rsidRPr="00B20276">
        <w:rPr>
          <w:lang w:val="en-US"/>
        </w:rPr>
        <w:t>,</w:t>
      </w:r>
      <w:r w:rsidRPr="00B20276">
        <w:rPr>
          <w:lang w:val="en-US"/>
        </w:rPr>
        <w:t xml:space="preserve"> 493-505.</w:t>
      </w:r>
    </w:p>
    <w:p w14:paraId="67049EA4" w14:textId="77777777" w:rsidR="00A71FFE" w:rsidRPr="00B20276" w:rsidRDefault="00A71FFE" w:rsidP="00A1437A">
      <w:pPr>
        <w:pStyle w:val="References"/>
        <w:spacing w:before="0" w:line="480" w:lineRule="auto"/>
      </w:pPr>
      <w:r w:rsidRPr="00B20276">
        <w:t xml:space="preserve">Albala-Bertrand, J.M. (1993a). </w:t>
      </w:r>
      <w:r w:rsidRPr="00B20276">
        <w:rPr>
          <w:i/>
        </w:rPr>
        <w:t>Political Economy of Large Natural Disasters: With Special Reference to Developing Countries</w:t>
      </w:r>
      <w:r w:rsidRPr="00B20276">
        <w:t>. Oxford: Oxford University Press.</w:t>
      </w:r>
    </w:p>
    <w:p w14:paraId="3746E8D9" w14:textId="6DE7C63B" w:rsidR="00A71FFE" w:rsidRPr="00B20276" w:rsidRDefault="00A71FFE" w:rsidP="00A1437A">
      <w:pPr>
        <w:pStyle w:val="References"/>
        <w:spacing w:before="0" w:line="480" w:lineRule="auto"/>
        <w:rPr>
          <w:lang w:val="it-IT"/>
        </w:rPr>
      </w:pPr>
      <w:r w:rsidRPr="00B20276">
        <w:t xml:space="preserve">Albala-Bertrand, J.M. (1993b). Natural Disaster Situations and Growth: A Macroeconomic Model for Sudden Disaster Impacts. </w:t>
      </w:r>
      <w:r w:rsidRPr="00B20276">
        <w:rPr>
          <w:i/>
          <w:lang w:val="it-IT"/>
        </w:rPr>
        <w:t>World Development</w:t>
      </w:r>
      <w:r w:rsidRPr="00B20276">
        <w:rPr>
          <w:lang w:val="it-IT"/>
        </w:rPr>
        <w:t>, 21(9)</w:t>
      </w:r>
      <w:r w:rsidR="004022AB" w:rsidRPr="00B20276">
        <w:rPr>
          <w:lang w:val="it-IT"/>
        </w:rPr>
        <w:t>,</w:t>
      </w:r>
      <w:r w:rsidRPr="00B20276">
        <w:rPr>
          <w:lang w:val="it-IT"/>
        </w:rPr>
        <w:t xml:space="preserve"> 1417–</w:t>
      </w:r>
      <w:r w:rsidR="004022AB" w:rsidRPr="00B20276">
        <w:rPr>
          <w:lang w:val="it-IT"/>
        </w:rPr>
        <w:t>14</w:t>
      </w:r>
      <w:r w:rsidRPr="00B20276">
        <w:rPr>
          <w:lang w:val="it-IT"/>
        </w:rPr>
        <w:t xml:space="preserve">34. </w:t>
      </w:r>
    </w:p>
    <w:p w14:paraId="52C79196" w14:textId="3FB10268" w:rsidR="00A71FFE" w:rsidRPr="00B20276" w:rsidRDefault="00A71FFE" w:rsidP="00A1437A">
      <w:pPr>
        <w:pStyle w:val="References"/>
        <w:spacing w:before="0" w:line="480" w:lineRule="auto"/>
        <w:rPr>
          <w:lang w:val="en-US" w:eastAsia="it-IT"/>
        </w:rPr>
      </w:pPr>
      <w:r w:rsidRPr="00B20276">
        <w:rPr>
          <w:lang w:val="it-IT" w:eastAsia="it-IT"/>
        </w:rPr>
        <w:t xml:space="preserve">Barone, G., Benni F., Brasili C., </w:t>
      </w:r>
      <w:r w:rsidR="004022AB" w:rsidRPr="00B20276">
        <w:rPr>
          <w:lang w:val="it-IT" w:eastAsia="it-IT"/>
        </w:rPr>
        <w:t>&amp;</w:t>
      </w:r>
      <w:r w:rsidRPr="00B20276">
        <w:rPr>
          <w:lang w:val="it-IT" w:eastAsia="it-IT"/>
        </w:rPr>
        <w:t xml:space="preserve"> Mocetti S. (2013). Una stima degli effetti economici di breve periodo del terremoto in Emilia-Romagna. </w:t>
      </w:r>
      <w:r w:rsidRPr="00B20276">
        <w:rPr>
          <w:i/>
          <w:iCs/>
          <w:lang w:val="en-US" w:eastAsia="it-IT"/>
        </w:rPr>
        <w:t xml:space="preserve">Politica </w:t>
      </w:r>
      <w:r w:rsidR="004022AB" w:rsidRPr="00B20276">
        <w:rPr>
          <w:i/>
          <w:iCs/>
          <w:lang w:val="en-US" w:eastAsia="it-IT"/>
        </w:rPr>
        <w:t>E</w:t>
      </w:r>
      <w:r w:rsidRPr="00B20276">
        <w:rPr>
          <w:i/>
          <w:iCs/>
          <w:lang w:val="en-US" w:eastAsia="it-IT"/>
        </w:rPr>
        <w:t>conomica</w:t>
      </w:r>
      <w:r w:rsidR="004022AB" w:rsidRPr="00B20276">
        <w:rPr>
          <w:lang w:val="en-US" w:eastAsia="it-IT"/>
        </w:rPr>
        <w:t xml:space="preserve">, </w:t>
      </w:r>
      <w:r w:rsidRPr="00B20276">
        <w:rPr>
          <w:lang w:val="en-US" w:eastAsia="it-IT"/>
        </w:rPr>
        <w:t>2</w:t>
      </w:r>
      <w:r w:rsidR="004022AB" w:rsidRPr="00B20276">
        <w:rPr>
          <w:lang w:val="en-US" w:eastAsia="it-IT"/>
        </w:rPr>
        <w:t>,</w:t>
      </w:r>
      <w:r w:rsidRPr="00B20276">
        <w:rPr>
          <w:lang w:val="en-US" w:eastAsia="it-IT"/>
        </w:rPr>
        <w:t xml:space="preserve"> 199–214.</w:t>
      </w:r>
    </w:p>
    <w:p w14:paraId="4D29024E" w14:textId="5D10F74B" w:rsidR="00A71FFE" w:rsidRPr="00B20276" w:rsidRDefault="00A71FFE" w:rsidP="00A1437A">
      <w:pPr>
        <w:pStyle w:val="References"/>
        <w:spacing w:before="0" w:line="480" w:lineRule="auto"/>
      </w:pPr>
      <w:r w:rsidRPr="00B20276">
        <w:t xml:space="preserve">Barone, G. </w:t>
      </w:r>
      <w:r w:rsidR="004022AB" w:rsidRPr="00B20276">
        <w:t>&amp;</w:t>
      </w:r>
      <w:r w:rsidRPr="00B20276">
        <w:t xml:space="preserve"> Mocetti, S. (2014). Natural disasters, growth and institutions: A tale of two earthquakes. </w:t>
      </w:r>
      <w:hyperlink r:id="rId9" w:history="1">
        <w:r w:rsidRPr="00B20276">
          <w:rPr>
            <w:i/>
          </w:rPr>
          <w:t>Journal of Urban Economics</w:t>
        </w:r>
      </w:hyperlink>
      <w:r w:rsidRPr="00B20276">
        <w:t>, 84</w:t>
      </w:r>
      <w:r w:rsidR="004022AB" w:rsidRPr="00B20276">
        <w:t>,</w:t>
      </w:r>
      <w:r w:rsidRPr="00B20276">
        <w:t xml:space="preserve"> 52-66.</w:t>
      </w:r>
    </w:p>
    <w:p w14:paraId="394A49DF" w14:textId="7DDD4150" w:rsidR="00A71FFE" w:rsidRPr="00B20276" w:rsidRDefault="00A71FFE" w:rsidP="00A1437A">
      <w:pPr>
        <w:pStyle w:val="References"/>
        <w:spacing w:before="0" w:line="480" w:lineRule="auto"/>
      </w:pPr>
      <w:r w:rsidRPr="00B20276">
        <w:t xml:space="preserve">Benson, C. </w:t>
      </w:r>
      <w:r w:rsidR="004022AB" w:rsidRPr="00B20276">
        <w:t>&amp;</w:t>
      </w:r>
      <w:r w:rsidRPr="00B20276">
        <w:t xml:space="preserve"> Clay, E.J. (2004). Understanding the Economic and Financial Impacts of Natural Disasters. 28406. Disaster Risk Management Working Papers 4. Washington, D.C.: The World Bank.</w:t>
      </w:r>
    </w:p>
    <w:p w14:paraId="2C1F9AA4" w14:textId="07801DDC" w:rsidR="003B6A93" w:rsidRPr="00B20276" w:rsidRDefault="003B6A93" w:rsidP="00A1437A">
      <w:pPr>
        <w:pStyle w:val="References"/>
        <w:spacing w:before="0" w:line="480" w:lineRule="auto"/>
        <w:rPr>
          <w:lang w:val="it-IT"/>
        </w:rPr>
      </w:pPr>
      <w:r w:rsidRPr="00A5663F">
        <w:rPr>
          <w:lang w:val="it-IT"/>
        </w:rPr>
        <w:t>Brasili, C. &amp; Fanfani,</w:t>
      </w:r>
      <w:r w:rsidR="00DD7E65" w:rsidRPr="00A5663F">
        <w:rPr>
          <w:lang w:val="it-IT"/>
        </w:rPr>
        <w:t xml:space="preserve"> R. (2012).</w:t>
      </w:r>
      <w:r w:rsidRPr="00A5663F">
        <w:rPr>
          <w:lang w:val="it-IT"/>
        </w:rPr>
        <w:t xml:space="preserve"> </w:t>
      </w:r>
      <w:r w:rsidRPr="00B20276">
        <w:rPr>
          <w:lang w:val="it-IT"/>
        </w:rPr>
        <w:t>I "nuovi" distretti agroalimentari tra i "nuovi" distretti industriali. In</w:t>
      </w:r>
      <w:r w:rsidR="00DD7E65" w:rsidRPr="00B20276">
        <w:rPr>
          <w:lang w:val="it-IT"/>
        </w:rPr>
        <w:t xml:space="preserve"> Mosconi, F. (ed.)</w:t>
      </w:r>
      <w:r w:rsidRPr="00B20276">
        <w:rPr>
          <w:lang w:val="it-IT"/>
        </w:rPr>
        <w:t xml:space="preserve"> </w:t>
      </w:r>
      <w:r w:rsidRPr="00B20276">
        <w:rPr>
          <w:i/>
          <w:lang w:val="it-IT"/>
        </w:rPr>
        <w:t>La metamorfosi del "Modello emiliano"</w:t>
      </w:r>
      <w:r w:rsidR="00DD7E65" w:rsidRPr="00B20276">
        <w:rPr>
          <w:i/>
          <w:lang w:val="it-IT"/>
        </w:rPr>
        <w:t>: l'Emilia-Romagna e i distretti industriali che cambiano</w:t>
      </w:r>
      <w:r w:rsidR="00DD7E65" w:rsidRPr="00B20276">
        <w:rPr>
          <w:lang w:val="it-IT"/>
        </w:rPr>
        <w:t>. Bologna: Il Mulino.</w:t>
      </w:r>
    </w:p>
    <w:p w14:paraId="7200BA30" w14:textId="79F9C077" w:rsidR="00A71FFE" w:rsidRPr="00B20276" w:rsidRDefault="00A71FFE" w:rsidP="00A1437A">
      <w:pPr>
        <w:pStyle w:val="References"/>
        <w:spacing w:before="0" w:line="480" w:lineRule="auto"/>
        <w:rPr>
          <w:lang w:val="it-IT"/>
        </w:rPr>
      </w:pPr>
      <w:r w:rsidRPr="00B20276">
        <w:rPr>
          <w:lang w:val="it-IT"/>
        </w:rPr>
        <w:t xml:space="preserve">Brusco, S. (1982). The Emilian model: productive decentralisation and social integration, </w:t>
      </w:r>
      <w:r w:rsidRPr="00B20276">
        <w:rPr>
          <w:i/>
          <w:lang w:val="it-IT"/>
        </w:rPr>
        <w:t>Cambridge Journal of Economics</w:t>
      </w:r>
      <w:r w:rsidRPr="00B20276">
        <w:rPr>
          <w:lang w:val="it-IT"/>
        </w:rPr>
        <w:t>, VI, n. 2</w:t>
      </w:r>
      <w:r w:rsidR="004022AB" w:rsidRPr="00B20276">
        <w:rPr>
          <w:lang w:val="it-IT"/>
        </w:rPr>
        <w:t>,</w:t>
      </w:r>
      <w:r w:rsidRPr="00B20276">
        <w:rPr>
          <w:lang w:val="it-IT"/>
        </w:rPr>
        <w:t xml:space="preserve"> 167-184.</w:t>
      </w:r>
    </w:p>
    <w:p w14:paraId="20F3BCE6" w14:textId="77777777" w:rsidR="00A71FFE" w:rsidRPr="00B20276" w:rsidRDefault="00A71FFE" w:rsidP="00A1437A">
      <w:pPr>
        <w:pStyle w:val="References"/>
        <w:spacing w:before="0" w:line="480" w:lineRule="auto"/>
        <w:rPr>
          <w:lang w:val="it-IT"/>
        </w:rPr>
      </w:pPr>
      <w:r w:rsidRPr="00B20276">
        <w:rPr>
          <w:lang w:val="it-IT"/>
        </w:rPr>
        <w:t xml:space="preserve">Brusco, S. (1989). </w:t>
      </w:r>
      <w:r w:rsidRPr="00B20276">
        <w:rPr>
          <w:i/>
          <w:lang w:val="it-IT"/>
        </w:rPr>
        <w:t>Piccole imprese e distretti industriali</w:t>
      </w:r>
      <w:r w:rsidRPr="00B20276">
        <w:rPr>
          <w:lang w:val="it-IT"/>
        </w:rPr>
        <w:t>. Torino: Rosemberg &amp; Sellier.</w:t>
      </w:r>
    </w:p>
    <w:p w14:paraId="1346E25A" w14:textId="04C1EF5C" w:rsidR="00EB40BF" w:rsidRPr="00B20276" w:rsidRDefault="00EB40BF" w:rsidP="00A1437A">
      <w:pPr>
        <w:pStyle w:val="References"/>
        <w:spacing w:before="0" w:line="480" w:lineRule="auto"/>
      </w:pPr>
      <w:r w:rsidRPr="00B20276">
        <w:rPr>
          <w:lang w:val="it-IT"/>
        </w:rPr>
        <w:lastRenderedPageBreak/>
        <w:t xml:space="preserve">Caliński, T. </w:t>
      </w:r>
      <w:r w:rsidR="004022AB" w:rsidRPr="00B20276">
        <w:rPr>
          <w:lang w:val="it-IT"/>
        </w:rPr>
        <w:t>&amp;</w:t>
      </w:r>
      <w:r w:rsidRPr="00B20276">
        <w:rPr>
          <w:lang w:val="it-IT"/>
        </w:rPr>
        <w:t xml:space="preserve"> Harabasz, J. (1974). </w:t>
      </w:r>
      <w:r w:rsidRPr="00B20276">
        <w:t xml:space="preserve">A dendrite method for cluster analysis. </w:t>
      </w:r>
      <w:r w:rsidRPr="00B20276">
        <w:rPr>
          <w:i/>
        </w:rPr>
        <w:t>Communications in Statistics</w:t>
      </w:r>
      <w:r w:rsidR="004022AB" w:rsidRPr="00B20276">
        <w:t xml:space="preserve">, </w:t>
      </w:r>
      <w:r w:rsidRPr="00B20276">
        <w:t>3(1)</w:t>
      </w:r>
      <w:r w:rsidR="004022AB" w:rsidRPr="00B20276">
        <w:t>,</w:t>
      </w:r>
      <w:r w:rsidRPr="00B20276">
        <w:t xml:space="preserve"> 1–27. </w:t>
      </w:r>
    </w:p>
    <w:p w14:paraId="21666572" w14:textId="1F49A112" w:rsidR="00A71FFE" w:rsidRPr="00B20276" w:rsidRDefault="00A71FFE" w:rsidP="00A1437A">
      <w:pPr>
        <w:pStyle w:val="References"/>
        <w:spacing w:before="0" w:line="480" w:lineRule="auto"/>
      </w:pPr>
      <w:r w:rsidRPr="00B20276">
        <w:t>Campbell</w:t>
      </w:r>
      <w:r w:rsidRPr="00B20276">
        <w:rPr>
          <w:rFonts w:eastAsiaTheme="minorHAnsi"/>
        </w:rPr>
        <w:t>, D.T.,</w:t>
      </w:r>
      <w:r w:rsidRPr="00B20276">
        <w:t xml:space="preserve"> </w:t>
      </w:r>
      <w:r w:rsidR="004022AB" w:rsidRPr="00B20276">
        <w:rPr>
          <w:rFonts w:eastAsiaTheme="minorHAnsi"/>
        </w:rPr>
        <w:t>&amp;</w:t>
      </w:r>
      <w:r w:rsidRPr="00B20276">
        <w:rPr>
          <w:rFonts w:eastAsiaTheme="minorHAnsi"/>
        </w:rPr>
        <w:t xml:space="preserve"> Stanley, J. </w:t>
      </w:r>
      <w:r w:rsidRPr="00B20276">
        <w:t xml:space="preserve">(1966). </w:t>
      </w:r>
      <w:r w:rsidRPr="00B20276">
        <w:rPr>
          <w:i/>
        </w:rPr>
        <w:t>Experimental and Quasi-experimental Designs for Research</w:t>
      </w:r>
      <w:r w:rsidRPr="00B20276">
        <w:t>. Chicago: Rand McNally.</w:t>
      </w:r>
    </w:p>
    <w:p w14:paraId="2D562977" w14:textId="135BE631" w:rsidR="004319B6" w:rsidRPr="00B20276" w:rsidRDefault="004319B6" w:rsidP="00A1437A">
      <w:pPr>
        <w:pStyle w:val="Riferimentibibliografici"/>
        <w:spacing w:line="480" w:lineRule="auto"/>
        <w:rPr>
          <w:sz w:val="24"/>
          <w:szCs w:val="24"/>
        </w:rPr>
      </w:pPr>
      <w:r w:rsidRPr="00B20276">
        <w:rPr>
          <w:sz w:val="24"/>
          <w:szCs w:val="24"/>
        </w:rPr>
        <w:t>Cavallo</w:t>
      </w:r>
      <w:r w:rsidR="000902A0" w:rsidRPr="00B20276">
        <w:rPr>
          <w:sz w:val="24"/>
          <w:szCs w:val="24"/>
        </w:rPr>
        <w:t>,</w:t>
      </w:r>
      <w:r w:rsidRPr="00B20276">
        <w:rPr>
          <w:sz w:val="24"/>
          <w:szCs w:val="24"/>
        </w:rPr>
        <w:t xml:space="preserve"> E. &amp; Noy</w:t>
      </w:r>
      <w:r w:rsidR="000902A0" w:rsidRPr="00B20276">
        <w:rPr>
          <w:sz w:val="24"/>
          <w:szCs w:val="24"/>
        </w:rPr>
        <w:t>,</w:t>
      </w:r>
      <w:r w:rsidRPr="00B20276">
        <w:rPr>
          <w:sz w:val="24"/>
          <w:szCs w:val="24"/>
        </w:rPr>
        <w:t xml:space="preserve"> I. (2011). The Economics of Natural Disasters – A Survey. </w:t>
      </w:r>
      <w:r w:rsidRPr="00B20276">
        <w:rPr>
          <w:i/>
          <w:sz w:val="24"/>
          <w:szCs w:val="24"/>
        </w:rPr>
        <w:t>International Review of Environmental and Resource Economics</w:t>
      </w:r>
      <w:r w:rsidRPr="00B20276">
        <w:rPr>
          <w:sz w:val="24"/>
          <w:szCs w:val="24"/>
        </w:rPr>
        <w:t>. 5(1), 63-102.</w:t>
      </w:r>
    </w:p>
    <w:p w14:paraId="12D9D5A0" w14:textId="4AF1B749" w:rsidR="00A71FFE" w:rsidRPr="00B20276" w:rsidRDefault="00A71FFE" w:rsidP="00A1437A">
      <w:pPr>
        <w:pStyle w:val="Riferimentibibliografici"/>
        <w:spacing w:line="480" w:lineRule="auto"/>
        <w:rPr>
          <w:sz w:val="24"/>
          <w:szCs w:val="24"/>
          <w:lang w:val="it-IT"/>
        </w:rPr>
      </w:pPr>
      <w:r w:rsidRPr="00B20276">
        <w:rPr>
          <w:sz w:val="24"/>
          <w:szCs w:val="24"/>
        </w:rPr>
        <w:t xml:space="preserve">Cavallo, E., Powell, A. </w:t>
      </w:r>
      <w:r w:rsidR="004022AB" w:rsidRPr="00B20276">
        <w:rPr>
          <w:sz w:val="24"/>
          <w:szCs w:val="24"/>
        </w:rPr>
        <w:t>&amp;</w:t>
      </w:r>
      <w:r w:rsidRPr="00B20276">
        <w:rPr>
          <w:sz w:val="24"/>
          <w:szCs w:val="24"/>
        </w:rPr>
        <w:t xml:space="preserve"> Becerra, O. (2010). </w:t>
      </w:r>
      <w:r w:rsidRPr="00B20276">
        <w:rPr>
          <w:sz w:val="24"/>
          <w:szCs w:val="24"/>
          <w:lang w:val="en-GB"/>
        </w:rPr>
        <w:t xml:space="preserve">Estimating the Direct Economic Damages of the Earthquake in Haiti. </w:t>
      </w:r>
      <w:r w:rsidRPr="00B20276">
        <w:rPr>
          <w:i/>
          <w:iCs/>
          <w:sz w:val="24"/>
          <w:szCs w:val="24"/>
          <w:lang w:val="it-IT"/>
        </w:rPr>
        <w:t>The Economic Journal</w:t>
      </w:r>
      <w:r w:rsidRPr="00B20276">
        <w:rPr>
          <w:sz w:val="24"/>
          <w:szCs w:val="24"/>
          <w:lang w:val="it-IT"/>
        </w:rPr>
        <w:t xml:space="preserve"> 120 (546)</w:t>
      </w:r>
      <w:r w:rsidR="004022AB" w:rsidRPr="00B20276">
        <w:rPr>
          <w:sz w:val="24"/>
          <w:szCs w:val="24"/>
          <w:lang w:val="it-IT"/>
        </w:rPr>
        <w:t>,</w:t>
      </w:r>
      <w:r w:rsidRPr="00B20276">
        <w:rPr>
          <w:sz w:val="24"/>
          <w:szCs w:val="24"/>
          <w:lang w:val="it-IT"/>
        </w:rPr>
        <w:t xml:space="preserve"> 298–312.</w:t>
      </w:r>
    </w:p>
    <w:p w14:paraId="49E51857" w14:textId="77777777" w:rsidR="00A71FFE" w:rsidRPr="00B20276" w:rsidRDefault="00A71FFE" w:rsidP="00A1437A">
      <w:pPr>
        <w:pStyle w:val="Riferimentibibliografici"/>
        <w:spacing w:line="480" w:lineRule="auto"/>
        <w:rPr>
          <w:sz w:val="24"/>
          <w:szCs w:val="24"/>
          <w:lang w:val="en-GB"/>
        </w:rPr>
      </w:pPr>
      <w:r w:rsidRPr="00B20276">
        <w:rPr>
          <w:sz w:val="24"/>
          <w:szCs w:val="24"/>
          <w:lang w:val="it-IT"/>
        </w:rPr>
        <w:t xml:space="preserve">Centro di Portici (1981). </w:t>
      </w:r>
      <w:r w:rsidRPr="00B20276">
        <w:rPr>
          <w:i/>
          <w:sz w:val="24"/>
          <w:szCs w:val="24"/>
          <w:lang w:val="it-IT"/>
        </w:rPr>
        <w:t>Situazione, problemi e prospettive dell’area più colpita dal terremoto del 23 novembre 1980</w:t>
      </w:r>
      <w:r w:rsidRPr="00B20276">
        <w:rPr>
          <w:sz w:val="24"/>
          <w:szCs w:val="24"/>
          <w:lang w:val="it-IT"/>
        </w:rPr>
        <w:t xml:space="preserve">. </w:t>
      </w:r>
      <w:r w:rsidRPr="00B20276">
        <w:rPr>
          <w:sz w:val="24"/>
          <w:szCs w:val="24"/>
          <w:lang w:val="en-GB"/>
        </w:rPr>
        <w:t>Torino: Einaudi Editore.</w:t>
      </w:r>
    </w:p>
    <w:p w14:paraId="74E3AACD" w14:textId="1002B576" w:rsidR="00A71FFE" w:rsidRPr="00B20276" w:rsidRDefault="00A71FFE" w:rsidP="00A1437A">
      <w:pPr>
        <w:pStyle w:val="Riferimentibibliografici"/>
        <w:spacing w:line="480" w:lineRule="auto"/>
        <w:rPr>
          <w:sz w:val="24"/>
          <w:szCs w:val="24"/>
        </w:rPr>
      </w:pPr>
      <w:r w:rsidRPr="00B20276">
        <w:rPr>
          <w:sz w:val="24"/>
          <w:szCs w:val="24"/>
        </w:rPr>
        <w:t>Chubb, J. (2002). Three earthquakes: Political response, reconstruction, and the institutions. In J. Dickie, J. Foot, F. M. Snowden (</w:t>
      </w:r>
      <w:r w:rsidR="00DD7E65" w:rsidRPr="00B20276">
        <w:rPr>
          <w:sz w:val="24"/>
          <w:szCs w:val="24"/>
        </w:rPr>
        <w:t>ed.</w:t>
      </w:r>
      <w:r w:rsidRPr="00B20276">
        <w:rPr>
          <w:sz w:val="24"/>
          <w:szCs w:val="24"/>
        </w:rPr>
        <w:t xml:space="preserve">), </w:t>
      </w:r>
      <w:r w:rsidRPr="00B20276">
        <w:rPr>
          <w:i/>
          <w:iCs/>
          <w:sz w:val="24"/>
          <w:szCs w:val="24"/>
        </w:rPr>
        <w:t xml:space="preserve">Disastro!: Disasters in Italy since 1860: Culture, politics, society. </w:t>
      </w:r>
      <w:r w:rsidRPr="00B20276">
        <w:rPr>
          <w:sz w:val="24"/>
          <w:szCs w:val="24"/>
        </w:rPr>
        <w:t>New York. NY: Palgrave.</w:t>
      </w:r>
    </w:p>
    <w:p w14:paraId="5D1C7B93" w14:textId="77777777" w:rsidR="00A71FFE" w:rsidRPr="00B20276" w:rsidRDefault="00A71FFE" w:rsidP="00A1437A">
      <w:pPr>
        <w:pStyle w:val="Riferimentibibliografici"/>
        <w:spacing w:line="480" w:lineRule="auto"/>
        <w:rPr>
          <w:sz w:val="24"/>
          <w:szCs w:val="24"/>
          <w:lang w:val="en-GB"/>
        </w:rPr>
      </w:pPr>
      <w:r w:rsidRPr="00B20276">
        <w:rPr>
          <w:sz w:val="24"/>
          <w:szCs w:val="24"/>
          <w:lang w:val="en-GB"/>
        </w:rPr>
        <w:t>Cuaresma, J.C. (2009). Natural Disasters and Human Capital Accumulation. Policy research working paper 4862. Working Paper. Washington, D.C.: World Bank.</w:t>
      </w:r>
    </w:p>
    <w:p w14:paraId="3603F54E" w14:textId="05373EC5" w:rsidR="00A71FFE" w:rsidRPr="00B20276" w:rsidRDefault="00A71FFE" w:rsidP="00A1437A">
      <w:pPr>
        <w:pStyle w:val="Riferimentibibliografici"/>
        <w:spacing w:line="480" w:lineRule="auto"/>
        <w:rPr>
          <w:sz w:val="24"/>
          <w:szCs w:val="24"/>
          <w:lang w:val="en-GB"/>
        </w:rPr>
      </w:pPr>
      <w:r w:rsidRPr="00B20276">
        <w:rPr>
          <w:sz w:val="24"/>
          <w:szCs w:val="24"/>
          <w:lang w:val="fr-FR"/>
        </w:rPr>
        <w:t xml:space="preserve">DuPont IV, W. </w:t>
      </w:r>
      <w:r w:rsidR="004022AB" w:rsidRPr="00B20276">
        <w:rPr>
          <w:sz w:val="24"/>
          <w:szCs w:val="24"/>
          <w:lang w:val="fr-FR"/>
        </w:rPr>
        <w:t>&amp;</w:t>
      </w:r>
      <w:r w:rsidRPr="00B20276">
        <w:rPr>
          <w:sz w:val="24"/>
          <w:szCs w:val="24"/>
          <w:lang w:val="fr-FR"/>
        </w:rPr>
        <w:t xml:space="preserve"> Noy, I. (2015). </w:t>
      </w:r>
      <w:r w:rsidRPr="00B20276">
        <w:rPr>
          <w:sz w:val="24"/>
          <w:szCs w:val="24"/>
          <w:lang w:val="en-GB"/>
        </w:rPr>
        <w:t xml:space="preserve">What Happened To Kobe? A Reassessment of the Impact of the 1995 Earthquake in Japan. </w:t>
      </w:r>
      <w:r w:rsidRPr="00B20276">
        <w:rPr>
          <w:i/>
          <w:sz w:val="24"/>
          <w:szCs w:val="24"/>
          <w:lang w:val="en-GB"/>
        </w:rPr>
        <w:t>Economic Development and Cultural Change</w:t>
      </w:r>
      <w:r w:rsidRPr="00B20276">
        <w:rPr>
          <w:sz w:val="24"/>
          <w:szCs w:val="24"/>
          <w:lang w:val="en-GB"/>
        </w:rPr>
        <w:t>, 63(4)</w:t>
      </w:r>
      <w:r w:rsidR="004022AB" w:rsidRPr="00B20276">
        <w:rPr>
          <w:sz w:val="24"/>
          <w:szCs w:val="24"/>
          <w:lang w:val="en-GB"/>
        </w:rPr>
        <w:t>,</w:t>
      </w:r>
      <w:r w:rsidRPr="00B20276">
        <w:rPr>
          <w:sz w:val="24"/>
          <w:szCs w:val="24"/>
          <w:lang w:val="en-GB"/>
        </w:rPr>
        <w:t xml:space="preserve"> 777-812.</w:t>
      </w:r>
    </w:p>
    <w:p w14:paraId="4F50697C" w14:textId="05BC4A8D" w:rsidR="004319B6" w:rsidRPr="00B20276" w:rsidRDefault="004319B6" w:rsidP="00A1437A">
      <w:pPr>
        <w:pStyle w:val="Riferimentibibliografici"/>
        <w:spacing w:line="480" w:lineRule="auto"/>
        <w:rPr>
          <w:sz w:val="24"/>
          <w:szCs w:val="24"/>
          <w:lang w:val="it-IT"/>
        </w:rPr>
      </w:pPr>
      <w:r w:rsidRPr="00B20276">
        <w:rPr>
          <w:sz w:val="24"/>
          <w:szCs w:val="24"/>
          <w:lang w:val="en-GB"/>
        </w:rPr>
        <w:t xml:space="preserve">DuPont W IV, Noy I., Okuyama Y., Sawada Y. (2015). The Long-Run Socio-Economic Consequences of a Large Disaster: The 1995 Earthquake in Kobe. </w:t>
      </w:r>
      <w:r w:rsidRPr="00B20276">
        <w:rPr>
          <w:sz w:val="24"/>
          <w:szCs w:val="24"/>
          <w:lang w:val="it-IT"/>
        </w:rPr>
        <w:t>PLoS ONE 10(10).</w:t>
      </w:r>
    </w:p>
    <w:p w14:paraId="214FE8A0" w14:textId="60CC0E6A" w:rsidR="00904E98" w:rsidRPr="00B20276" w:rsidRDefault="00904E98" w:rsidP="00A1437A">
      <w:pPr>
        <w:pStyle w:val="Riferimentibibliografici"/>
        <w:spacing w:line="480" w:lineRule="auto"/>
        <w:rPr>
          <w:sz w:val="24"/>
          <w:szCs w:val="24"/>
          <w:lang w:val="en-GB"/>
        </w:rPr>
      </w:pPr>
      <w:r w:rsidRPr="00B20276">
        <w:rPr>
          <w:sz w:val="24"/>
          <w:szCs w:val="24"/>
          <w:lang w:val="it-IT"/>
        </w:rPr>
        <w:t xml:space="preserve">Fanfani, R., Fanti, J., Masotti, M., Spinelli, L. (2014). Il sisma del maggio 2012 e gli effetti sul settore agro-alimentare dell’Emilia-Romagna, ECONAG Servizi statistici, informatici e di valutazione alle imprese e agli enti locali Spin-off Alma Mater Studiorum Università di Bologna. </w:t>
      </w:r>
      <w:r w:rsidRPr="00B20276">
        <w:rPr>
          <w:sz w:val="24"/>
          <w:szCs w:val="24"/>
          <w:lang w:val="en-GB"/>
        </w:rPr>
        <w:t>Bologna.</w:t>
      </w:r>
    </w:p>
    <w:p w14:paraId="50E67991" w14:textId="77777777" w:rsidR="00B44B84" w:rsidRPr="00B20276" w:rsidRDefault="00386B08" w:rsidP="00A1437A">
      <w:pPr>
        <w:pStyle w:val="Riferimentibibliografici"/>
        <w:spacing w:line="480" w:lineRule="auto"/>
        <w:rPr>
          <w:sz w:val="24"/>
          <w:szCs w:val="24"/>
          <w:lang w:val="en-GB"/>
        </w:rPr>
      </w:pPr>
      <w:r w:rsidRPr="00B20276">
        <w:rPr>
          <w:sz w:val="24"/>
          <w:szCs w:val="24"/>
          <w:lang w:val="en-GB"/>
        </w:rPr>
        <w:lastRenderedPageBreak/>
        <w:t>Fisker, P.S. (2012), Earthquakes and economic growth.</w:t>
      </w:r>
      <w:r w:rsidR="00B44B84" w:rsidRPr="00B20276">
        <w:rPr>
          <w:sz w:val="24"/>
          <w:szCs w:val="24"/>
          <w:lang w:val="en-GB"/>
        </w:rPr>
        <w:t xml:space="preserve"> Institute for Advanced Development Studies Working paper 1/2012.</w:t>
      </w:r>
    </w:p>
    <w:p w14:paraId="34D28D69" w14:textId="77777777" w:rsidR="00A71FFE" w:rsidRPr="00B20276" w:rsidRDefault="00A71FFE" w:rsidP="00A1437A">
      <w:pPr>
        <w:pStyle w:val="Riferimentibibliografici"/>
        <w:spacing w:line="480" w:lineRule="auto"/>
        <w:rPr>
          <w:sz w:val="24"/>
          <w:szCs w:val="24"/>
          <w:lang w:val="it-IT"/>
        </w:rPr>
      </w:pPr>
      <w:r w:rsidRPr="00B20276">
        <w:rPr>
          <w:sz w:val="24"/>
          <w:szCs w:val="24"/>
          <w:lang w:val="it-IT"/>
        </w:rPr>
        <w:t>Istat (2010). 6° Censimento Generale dell’Agricoltura. http://dati.istat.it.</w:t>
      </w:r>
    </w:p>
    <w:p w14:paraId="0C87D7E7" w14:textId="77777777" w:rsidR="00A71FFE" w:rsidRPr="00B20276" w:rsidRDefault="00A71FFE" w:rsidP="00A1437A">
      <w:pPr>
        <w:pStyle w:val="Riferimentibibliografici"/>
        <w:spacing w:line="480" w:lineRule="auto"/>
        <w:rPr>
          <w:sz w:val="24"/>
          <w:szCs w:val="24"/>
          <w:lang w:val="it-IT"/>
        </w:rPr>
      </w:pPr>
      <w:r w:rsidRPr="00B20276">
        <w:rPr>
          <w:sz w:val="24"/>
          <w:szCs w:val="24"/>
          <w:lang w:val="it-IT"/>
        </w:rPr>
        <w:t>Istat (2011a). 15° Censimento Generale della Popolazione e delle Abitazioni. http://dati.istat.it.</w:t>
      </w:r>
    </w:p>
    <w:p w14:paraId="52727BD4" w14:textId="77777777" w:rsidR="00A71FFE" w:rsidRPr="00B20276" w:rsidRDefault="00A71FFE" w:rsidP="00A1437A">
      <w:pPr>
        <w:pStyle w:val="Riferimentibibliografici"/>
        <w:spacing w:line="480" w:lineRule="auto"/>
        <w:rPr>
          <w:sz w:val="24"/>
          <w:szCs w:val="24"/>
          <w:lang w:val="it-IT"/>
        </w:rPr>
      </w:pPr>
      <w:r w:rsidRPr="00B20276">
        <w:rPr>
          <w:sz w:val="24"/>
          <w:szCs w:val="24"/>
          <w:lang w:val="it-IT"/>
        </w:rPr>
        <w:t>Istat (2011b). 9° Censimento Generale dell’Industria e dei Servizi. http://dati.istat.it.</w:t>
      </w:r>
    </w:p>
    <w:p w14:paraId="0D0555BA" w14:textId="77777777" w:rsidR="00A71FFE" w:rsidRPr="00B20276" w:rsidRDefault="00A71FFE" w:rsidP="00A1437A">
      <w:pPr>
        <w:pStyle w:val="Riferimentibibliografici"/>
        <w:spacing w:line="480" w:lineRule="auto"/>
        <w:rPr>
          <w:sz w:val="24"/>
          <w:szCs w:val="24"/>
          <w:lang w:val="en-GB"/>
        </w:rPr>
      </w:pPr>
      <w:r w:rsidRPr="00B20276">
        <w:rPr>
          <w:sz w:val="24"/>
          <w:szCs w:val="24"/>
          <w:lang w:val="en-GB"/>
        </w:rPr>
        <w:t xml:space="preserve">Kahn, M.E. (2003). </w:t>
      </w:r>
      <w:r w:rsidRPr="00B20276">
        <w:rPr>
          <w:i/>
          <w:sz w:val="24"/>
          <w:szCs w:val="24"/>
          <w:lang w:val="en-GB"/>
        </w:rPr>
        <w:t>The Death Toll from Natural Disasters: The Role of Income, Geography, and Institutions</w:t>
      </w:r>
      <w:r w:rsidRPr="00B20276">
        <w:rPr>
          <w:sz w:val="24"/>
          <w:szCs w:val="24"/>
          <w:lang w:val="en-GB"/>
        </w:rPr>
        <w:t>. Tufts University.</w:t>
      </w:r>
    </w:p>
    <w:p w14:paraId="20B66EA7" w14:textId="744B4637" w:rsidR="00A71FFE" w:rsidRPr="00B20276" w:rsidRDefault="00A71FFE" w:rsidP="00A1437A">
      <w:pPr>
        <w:pStyle w:val="Riferimentibibliografici"/>
        <w:spacing w:line="480" w:lineRule="auto"/>
        <w:rPr>
          <w:sz w:val="24"/>
          <w:szCs w:val="24"/>
          <w:lang w:val="en-GB"/>
        </w:rPr>
      </w:pPr>
      <w:r w:rsidRPr="00B20276">
        <w:rPr>
          <w:sz w:val="24"/>
          <w:szCs w:val="24"/>
          <w:lang w:val="en-GB"/>
        </w:rPr>
        <w:t xml:space="preserve">Kaufman, L. </w:t>
      </w:r>
      <w:r w:rsidR="004022AB" w:rsidRPr="00B20276">
        <w:rPr>
          <w:sz w:val="24"/>
          <w:szCs w:val="24"/>
          <w:lang w:val="en-GB"/>
        </w:rPr>
        <w:t>&amp;</w:t>
      </w:r>
      <w:r w:rsidRPr="00B20276">
        <w:rPr>
          <w:sz w:val="24"/>
          <w:szCs w:val="24"/>
          <w:lang w:val="en-GB"/>
        </w:rPr>
        <w:t xml:space="preserve"> Rousseeuw, P. (1990). </w:t>
      </w:r>
      <w:r w:rsidRPr="00B20276">
        <w:rPr>
          <w:i/>
          <w:sz w:val="24"/>
          <w:szCs w:val="24"/>
          <w:lang w:val="en-GB"/>
        </w:rPr>
        <w:t>Finding Groups in Data: An Introduction to Cluster Analysis</w:t>
      </w:r>
      <w:r w:rsidRPr="00B20276">
        <w:rPr>
          <w:sz w:val="24"/>
          <w:szCs w:val="24"/>
          <w:lang w:val="en-GB"/>
        </w:rPr>
        <w:t xml:space="preserve">. </w:t>
      </w:r>
      <w:hyperlink r:id="rId10" w:history="1">
        <w:r w:rsidRPr="00B20276">
          <w:rPr>
            <w:sz w:val="24"/>
            <w:szCs w:val="24"/>
            <w:lang w:val="en-GB"/>
          </w:rPr>
          <w:t>Hoboken (N.J.):</w:t>
        </w:r>
      </w:hyperlink>
      <w:r w:rsidRPr="00B20276">
        <w:rPr>
          <w:sz w:val="24"/>
          <w:szCs w:val="24"/>
          <w:lang w:val="en-GB"/>
        </w:rPr>
        <w:t xml:space="preserve"> Wiley Series in Probability and Mathematical Statistics.</w:t>
      </w:r>
    </w:p>
    <w:p w14:paraId="11BFCB59" w14:textId="357F508C" w:rsidR="00A71FFE" w:rsidRPr="00B20276" w:rsidRDefault="00A71FFE" w:rsidP="00A1437A">
      <w:pPr>
        <w:pStyle w:val="Riferimentibibliografici"/>
        <w:spacing w:line="480" w:lineRule="auto"/>
        <w:rPr>
          <w:sz w:val="24"/>
          <w:szCs w:val="24"/>
          <w:lang w:val="it-IT"/>
        </w:rPr>
      </w:pPr>
      <w:r w:rsidRPr="00B20276">
        <w:rPr>
          <w:sz w:val="24"/>
          <w:szCs w:val="24"/>
          <w:lang w:val="en-GB"/>
        </w:rPr>
        <w:t>Lance</w:t>
      </w:r>
      <w:r w:rsidR="00EB40BF" w:rsidRPr="00B20276">
        <w:rPr>
          <w:sz w:val="24"/>
          <w:szCs w:val="24"/>
          <w:lang w:val="en-GB"/>
        </w:rPr>
        <w:t>,</w:t>
      </w:r>
      <w:r w:rsidRPr="00B20276">
        <w:rPr>
          <w:sz w:val="24"/>
          <w:szCs w:val="24"/>
          <w:lang w:val="en-GB"/>
        </w:rPr>
        <w:t xml:space="preserve"> G.N. </w:t>
      </w:r>
      <w:r w:rsidR="004022AB" w:rsidRPr="00B20276">
        <w:rPr>
          <w:sz w:val="24"/>
          <w:szCs w:val="24"/>
          <w:lang w:val="en-GB"/>
        </w:rPr>
        <w:t>&amp;</w:t>
      </w:r>
      <w:r w:rsidRPr="00B20276">
        <w:rPr>
          <w:sz w:val="24"/>
          <w:szCs w:val="24"/>
          <w:lang w:val="en-GB"/>
        </w:rPr>
        <w:t xml:space="preserve"> Williams</w:t>
      </w:r>
      <w:r w:rsidR="00EB40BF" w:rsidRPr="00B20276">
        <w:rPr>
          <w:sz w:val="24"/>
          <w:szCs w:val="24"/>
          <w:lang w:val="en-GB"/>
        </w:rPr>
        <w:t>,</w:t>
      </w:r>
      <w:r w:rsidRPr="00B20276">
        <w:rPr>
          <w:sz w:val="24"/>
          <w:szCs w:val="24"/>
          <w:lang w:val="en-GB"/>
        </w:rPr>
        <w:t xml:space="preserve"> W.T. (1966). A Generalized Sorting Strategy for Computer Classifications. </w:t>
      </w:r>
      <w:r w:rsidRPr="00B20276">
        <w:rPr>
          <w:i/>
          <w:sz w:val="24"/>
          <w:szCs w:val="24"/>
          <w:lang w:val="it-IT"/>
        </w:rPr>
        <w:t>Nature</w:t>
      </w:r>
      <w:r w:rsidRPr="00B20276">
        <w:rPr>
          <w:sz w:val="24"/>
          <w:szCs w:val="24"/>
          <w:lang w:val="it-IT"/>
        </w:rPr>
        <w:t xml:space="preserve"> 212(5058)</w:t>
      </w:r>
      <w:r w:rsidR="004022AB" w:rsidRPr="00B20276">
        <w:rPr>
          <w:sz w:val="24"/>
          <w:szCs w:val="24"/>
          <w:lang w:val="it-IT"/>
        </w:rPr>
        <w:t>,</w:t>
      </w:r>
      <w:r w:rsidRPr="00B20276">
        <w:rPr>
          <w:sz w:val="24"/>
          <w:szCs w:val="24"/>
          <w:lang w:val="it-IT"/>
        </w:rPr>
        <w:t xml:space="preserve"> 218.</w:t>
      </w:r>
    </w:p>
    <w:p w14:paraId="740B759E" w14:textId="7A85D271" w:rsidR="00DD7E65" w:rsidRPr="00B20276" w:rsidRDefault="00DD7E65" w:rsidP="00A1437A">
      <w:pPr>
        <w:pStyle w:val="Riferimentibibliografici"/>
        <w:spacing w:line="480" w:lineRule="auto"/>
        <w:rPr>
          <w:sz w:val="24"/>
          <w:szCs w:val="24"/>
          <w:lang w:val="it-IT"/>
        </w:rPr>
      </w:pPr>
      <w:r w:rsidRPr="00B20276">
        <w:rPr>
          <w:sz w:val="24"/>
          <w:szCs w:val="24"/>
          <w:lang w:val="it-IT"/>
        </w:rPr>
        <w:t xml:space="preserve">Pagliacci, F. &amp; Bertolini, P. (2016). Il terremoto del 2012 in Emilia: specificità del settore agro-alimentare e ruolo della cooperazione nell’emergenza, </w:t>
      </w:r>
      <w:r w:rsidRPr="00B20276">
        <w:rPr>
          <w:i/>
          <w:sz w:val="24"/>
          <w:szCs w:val="24"/>
          <w:lang w:val="it-IT"/>
        </w:rPr>
        <w:t>Agriregionieuropa</w:t>
      </w:r>
      <w:r w:rsidRPr="00B20276">
        <w:rPr>
          <w:sz w:val="24"/>
          <w:szCs w:val="24"/>
          <w:lang w:val="it-IT"/>
        </w:rPr>
        <w:t xml:space="preserve"> 44, 103-106.</w:t>
      </w:r>
    </w:p>
    <w:p w14:paraId="4CD4513C" w14:textId="59821B03" w:rsidR="00A71FFE" w:rsidRPr="00B20276" w:rsidRDefault="00A71FFE" w:rsidP="00A1437A">
      <w:pPr>
        <w:pStyle w:val="Riferimentibibliografici"/>
        <w:spacing w:line="480" w:lineRule="auto"/>
        <w:rPr>
          <w:sz w:val="24"/>
          <w:szCs w:val="24"/>
          <w:lang w:val="it-IT"/>
        </w:rPr>
      </w:pPr>
      <w:r w:rsidRPr="00B20276">
        <w:rPr>
          <w:sz w:val="24"/>
          <w:szCs w:val="24"/>
        </w:rPr>
        <w:t>Pagliacci</w:t>
      </w:r>
      <w:r w:rsidR="00A85C5D" w:rsidRPr="00B20276">
        <w:rPr>
          <w:sz w:val="24"/>
          <w:szCs w:val="24"/>
        </w:rPr>
        <w:t>,</w:t>
      </w:r>
      <w:r w:rsidRPr="00B20276">
        <w:rPr>
          <w:sz w:val="24"/>
          <w:szCs w:val="24"/>
        </w:rPr>
        <w:t xml:space="preserve"> F. </w:t>
      </w:r>
      <w:r w:rsidR="004022AB" w:rsidRPr="00B20276">
        <w:rPr>
          <w:sz w:val="24"/>
          <w:szCs w:val="24"/>
        </w:rPr>
        <w:t>&amp;</w:t>
      </w:r>
      <w:r w:rsidRPr="00B20276">
        <w:rPr>
          <w:sz w:val="24"/>
          <w:szCs w:val="24"/>
        </w:rPr>
        <w:t xml:space="preserve"> Russo, M. (2016). </w:t>
      </w:r>
      <w:r w:rsidRPr="00B20276">
        <w:rPr>
          <w:sz w:val="24"/>
          <w:szCs w:val="24"/>
          <w:lang w:val="en-GB"/>
        </w:rPr>
        <w:t xml:space="preserve">Socio-economic effects of an earthquake: does sub-regional counterfactual sampling matter in estimates? An empirical test on the 2012 Emilia-Romagna earthquake, DEMB Working Paper Series, 82. </w:t>
      </w:r>
      <w:r w:rsidRPr="00B20276">
        <w:rPr>
          <w:sz w:val="24"/>
          <w:szCs w:val="24"/>
          <w:lang w:val="it-IT"/>
        </w:rPr>
        <w:t>Università di Modena e Reggio Emilia.</w:t>
      </w:r>
    </w:p>
    <w:p w14:paraId="793FBAE3" w14:textId="4A3E77AE" w:rsidR="00282224" w:rsidRPr="00B20276" w:rsidRDefault="00282224" w:rsidP="00A1437A">
      <w:pPr>
        <w:pStyle w:val="Riferimentibibliografici"/>
        <w:spacing w:line="480" w:lineRule="auto"/>
        <w:rPr>
          <w:sz w:val="24"/>
          <w:szCs w:val="24"/>
          <w:lang w:val="it-IT"/>
        </w:rPr>
      </w:pPr>
      <w:r w:rsidRPr="00B20276">
        <w:rPr>
          <w:sz w:val="24"/>
          <w:szCs w:val="24"/>
          <w:lang w:val="it-IT"/>
        </w:rPr>
        <w:t>Pagliacci</w:t>
      </w:r>
      <w:r w:rsidR="00A85C5D" w:rsidRPr="00B20276">
        <w:rPr>
          <w:sz w:val="24"/>
          <w:szCs w:val="24"/>
          <w:lang w:val="it-IT"/>
        </w:rPr>
        <w:t>,</w:t>
      </w:r>
      <w:r w:rsidRPr="00B20276">
        <w:rPr>
          <w:sz w:val="24"/>
          <w:szCs w:val="24"/>
          <w:lang w:val="it-IT"/>
        </w:rPr>
        <w:t xml:space="preserve"> F. &amp; Russo, M. (2017). </w:t>
      </w:r>
      <w:r w:rsidRPr="00B20276">
        <w:rPr>
          <w:sz w:val="24"/>
          <w:szCs w:val="24"/>
        </w:rPr>
        <w:t>Earthquake hazard in Italy. Cluster analysis of socio-economic data to inform place-based policy measures</w:t>
      </w:r>
      <w:r w:rsidRPr="00B20276">
        <w:rPr>
          <w:sz w:val="24"/>
          <w:szCs w:val="24"/>
          <w:lang w:val="en-GB"/>
        </w:rPr>
        <w:t xml:space="preserve">, DEMB Working Paper Series, 110. </w:t>
      </w:r>
      <w:r w:rsidRPr="00B20276">
        <w:rPr>
          <w:sz w:val="24"/>
          <w:szCs w:val="24"/>
          <w:lang w:val="it-IT"/>
        </w:rPr>
        <w:t>Università di Modena e Reggio Emilia.</w:t>
      </w:r>
    </w:p>
    <w:p w14:paraId="76B88D47" w14:textId="04A89AD7" w:rsidR="00A85C5D" w:rsidRPr="00B20276" w:rsidRDefault="00A85C5D" w:rsidP="00A1437A">
      <w:pPr>
        <w:pStyle w:val="Riferimentibibliografici"/>
        <w:spacing w:line="480" w:lineRule="auto"/>
        <w:rPr>
          <w:sz w:val="24"/>
          <w:szCs w:val="24"/>
          <w:lang w:val="it-IT"/>
        </w:rPr>
      </w:pPr>
      <w:r w:rsidRPr="00B20276">
        <w:rPr>
          <w:sz w:val="24"/>
          <w:szCs w:val="24"/>
          <w:lang w:val="it-IT"/>
        </w:rPr>
        <w:t xml:space="preserve">Pagliacci, F., Russo, M. &amp; Sartori, L. (2017). </w:t>
      </w:r>
      <w:r w:rsidRPr="00B20276">
        <w:rPr>
          <w:sz w:val="24"/>
          <w:szCs w:val="24"/>
        </w:rPr>
        <w:t>Social Innovation and Natural Disasters: the Case of the “Casa Italia</w:t>
      </w:r>
      <w:r w:rsidR="00E00848" w:rsidRPr="00B20276">
        <w:rPr>
          <w:sz w:val="24"/>
          <w:szCs w:val="24"/>
        </w:rPr>
        <w:t>”</w:t>
      </w:r>
      <w:r w:rsidRPr="00B20276">
        <w:rPr>
          <w:sz w:val="24"/>
          <w:szCs w:val="24"/>
        </w:rPr>
        <w:t xml:space="preserve"> Plan. </w:t>
      </w:r>
      <w:r w:rsidRPr="00B20276">
        <w:rPr>
          <w:i/>
          <w:sz w:val="24"/>
          <w:szCs w:val="24"/>
          <w:lang w:val="it-IT"/>
        </w:rPr>
        <w:t>Sociologia urbana e rurale</w:t>
      </w:r>
      <w:r w:rsidRPr="00B20276">
        <w:rPr>
          <w:sz w:val="24"/>
          <w:szCs w:val="24"/>
          <w:lang w:val="it-IT"/>
        </w:rPr>
        <w:t>, 113: 87-102.</w:t>
      </w:r>
    </w:p>
    <w:p w14:paraId="2DEC0488" w14:textId="009A39F4" w:rsidR="00144386" w:rsidRPr="00B20276" w:rsidRDefault="00144386" w:rsidP="00A1437A">
      <w:pPr>
        <w:pStyle w:val="Riferimentibibliografici"/>
        <w:spacing w:line="480" w:lineRule="auto"/>
        <w:rPr>
          <w:sz w:val="24"/>
          <w:szCs w:val="24"/>
          <w:lang w:val="it-IT"/>
        </w:rPr>
      </w:pPr>
      <w:r w:rsidRPr="00B20276">
        <w:rPr>
          <w:sz w:val="24"/>
          <w:szCs w:val="24"/>
          <w:lang w:val="it-IT"/>
        </w:rPr>
        <w:lastRenderedPageBreak/>
        <w:t>Piazzi</w:t>
      </w:r>
      <w:r w:rsidR="00A85C5D" w:rsidRPr="00B20276">
        <w:rPr>
          <w:sz w:val="24"/>
          <w:szCs w:val="24"/>
          <w:lang w:val="it-IT"/>
        </w:rPr>
        <w:t>,</w:t>
      </w:r>
      <w:r w:rsidRPr="00B20276">
        <w:rPr>
          <w:sz w:val="24"/>
          <w:szCs w:val="24"/>
          <w:lang w:val="it-IT"/>
        </w:rPr>
        <w:t xml:space="preserve"> V</w:t>
      </w:r>
      <w:r w:rsidR="00A85C5D" w:rsidRPr="00B20276">
        <w:rPr>
          <w:sz w:val="24"/>
          <w:szCs w:val="24"/>
          <w:lang w:val="it-IT"/>
        </w:rPr>
        <w:t>.</w:t>
      </w:r>
      <w:r w:rsidRPr="00B20276">
        <w:rPr>
          <w:sz w:val="24"/>
          <w:szCs w:val="24"/>
          <w:lang w:val="it-IT"/>
        </w:rPr>
        <w:t>, Pagliacci</w:t>
      </w:r>
      <w:r w:rsidR="00A85C5D" w:rsidRPr="00B20276">
        <w:rPr>
          <w:sz w:val="24"/>
          <w:szCs w:val="24"/>
          <w:lang w:val="it-IT"/>
        </w:rPr>
        <w:t>,</w:t>
      </w:r>
      <w:r w:rsidRPr="00B20276">
        <w:rPr>
          <w:sz w:val="24"/>
          <w:szCs w:val="24"/>
          <w:lang w:val="it-IT"/>
        </w:rPr>
        <w:t xml:space="preserve"> F</w:t>
      </w:r>
      <w:r w:rsidR="00A85C5D" w:rsidRPr="00B20276">
        <w:rPr>
          <w:sz w:val="24"/>
          <w:szCs w:val="24"/>
          <w:lang w:val="it-IT"/>
        </w:rPr>
        <w:t>.</w:t>
      </w:r>
      <w:r w:rsidRPr="00B20276">
        <w:rPr>
          <w:sz w:val="24"/>
          <w:szCs w:val="24"/>
          <w:lang w:val="it-IT"/>
        </w:rPr>
        <w:t xml:space="preserve">, </w:t>
      </w:r>
      <w:r w:rsidR="00A85C5D" w:rsidRPr="00B20276">
        <w:rPr>
          <w:sz w:val="24"/>
          <w:szCs w:val="24"/>
          <w:lang w:val="it-IT"/>
        </w:rPr>
        <w:t xml:space="preserve">&amp; </w:t>
      </w:r>
      <w:r w:rsidRPr="00B20276">
        <w:rPr>
          <w:sz w:val="24"/>
          <w:szCs w:val="24"/>
          <w:lang w:val="it-IT"/>
        </w:rPr>
        <w:t>Russo</w:t>
      </w:r>
      <w:r w:rsidR="00A85C5D" w:rsidRPr="00B20276">
        <w:rPr>
          <w:sz w:val="24"/>
          <w:szCs w:val="24"/>
          <w:lang w:val="it-IT"/>
        </w:rPr>
        <w:t>,</w:t>
      </w:r>
      <w:r w:rsidRPr="00B20276">
        <w:rPr>
          <w:sz w:val="24"/>
          <w:szCs w:val="24"/>
          <w:lang w:val="it-IT"/>
        </w:rPr>
        <w:t xml:space="preserve"> M</w:t>
      </w:r>
      <w:r w:rsidR="00A85C5D" w:rsidRPr="00B20276">
        <w:rPr>
          <w:sz w:val="24"/>
          <w:szCs w:val="24"/>
          <w:lang w:val="it-IT"/>
        </w:rPr>
        <w:t>.</w:t>
      </w:r>
      <w:r w:rsidRPr="00B20276">
        <w:rPr>
          <w:sz w:val="24"/>
          <w:szCs w:val="24"/>
          <w:lang w:val="it-IT"/>
        </w:rPr>
        <w:t xml:space="preserve"> (2015) Analisi cluster delle caratteristiche socio-economiche dei comuni dell'Emilia-Romagna: un confronto tra comuni dentro e fuori dal cratere del sisma. DEMB Working Paper Series 61, Università di Modena e Reggio Emilia.</w:t>
      </w:r>
    </w:p>
    <w:p w14:paraId="32E362DA" w14:textId="2F74C666" w:rsidR="00A71FFE" w:rsidRPr="00B20276" w:rsidRDefault="00A71FFE" w:rsidP="00A1437A">
      <w:pPr>
        <w:pStyle w:val="Riferimentibibliografici"/>
        <w:spacing w:line="480" w:lineRule="auto"/>
        <w:rPr>
          <w:sz w:val="24"/>
          <w:szCs w:val="24"/>
          <w:lang w:val="en-GB"/>
        </w:rPr>
      </w:pPr>
      <w:r w:rsidRPr="00B20276">
        <w:rPr>
          <w:sz w:val="24"/>
          <w:szCs w:val="24"/>
        </w:rPr>
        <w:t xml:space="preserve">R Core Team (2015). R: A language and environment for statistical computing. </w:t>
      </w:r>
      <w:r w:rsidRPr="00B20276">
        <w:rPr>
          <w:sz w:val="24"/>
          <w:szCs w:val="24"/>
          <w:lang w:val="en-GB"/>
        </w:rPr>
        <w:t>R Foundation for Statistical Computing, Vienna, Austria. URL http://www.R-project.org/.</w:t>
      </w:r>
    </w:p>
    <w:p w14:paraId="5854124C" w14:textId="3F1151C5" w:rsidR="00A71FFE" w:rsidRPr="00B20276" w:rsidRDefault="00A71FFE" w:rsidP="00A1437A">
      <w:pPr>
        <w:pStyle w:val="Riferimentibibliografici"/>
        <w:spacing w:line="480" w:lineRule="auto"/>
        <w:rPr>
          <w:sz w:val="24"/>
          <w:szCs w:val="24"/>
          <w:lang w:val="it-IT"/>
        </w:rPr>
      </w:pPr>
      <w:r w:rsidRPr="00B20276">
        <w:rPr>
          <w:sz w:val="24"/>
          <w:szCs w:val="24"/>
          <w:lang w:val="it-IT"/>
        </w:rPr>
        <w:t xml:space="preserve">Ranuzzini M., Pagliacci F., </w:t>
      </w:r>
      <w:r w:rsidR="004022AB" w:rsidRPr="00B20276">
        <w:rPr>
          <w:sz w:val="24"/>
          <w:szCs w:val="24"/>
          <w:lang w:val="it-IT"/>
        </w:rPr>
        <w:t xml:space="preserve">&amp; </w:t>
      </w:r>
      <w:r w:rsidRPr="00B20276">
        <w:rPr>
          <w:sz w:val="24"/>
          <w:szCs w:val="24"/>
          <w:lang w:val="it-IT"/>
        </w:rPr>
        <w:t>Russo M. (2015). L'informatizzazione delle procedure per la ricostruzione: prime evidenze dai contributi concessi per le abitazioni, DEMB Working Paper Series n. 71. Università di Modena e Reggio Emilia.</w:t>
      </w:r>
    </w:p>
    <w:p w14:paraId="2C4EC3EE" w14:textId="7E1219B2" w:rsidR="00A71FFE" w:rsidRPr="00B20276" w:rsidRDefault="00A71FFE" w:rsidP="00A1437A">
      <w:pPr>
        <w:pStyle w:val="Riferimentibibliografici"/>
        <w:spacing w:line="480" w:lineRule="auto"/>
        <w:rPr>
          <w:sz w:val="24"/>
          <w:szCs w:val="24"/>
          <w:lang w:val="en-GB"/>
        </w:rPr>
      </w:pPr>
      <w:r w:rsidRPr="00B20276">
        <w:rPr>
          <w:sz w:val="24"/>
          <w:szCs w:val="24"/>
          <w:lang w:val="it-IT"/>
        </w:rPr>
        <w:t xml:space="preserve">Rosenbaum, P.R. </w:t>
      </w:r>
      <w:r w:rsidR="004022AB" w:rsidRPr="00B20276">
        <w:rPr>
          <w:sz w:val="24"/>
          <w:szCs w:val="24"/>
          <w:lang w:val="it-IT"/>
        </w:rPr>
        <w:t>&amp;</w:t>
      </w:r>
      <w:r w:rsidRPr="00B20276">
        <w:rPr>
          <w:sz w:val="24"/>
          <w:szCs w:val="24"/>
          <w:lang w:val="it-IT"/>
        </w:rPr>
        <w:t xml:space="preserve"> Rubin, D.B. (1983). </w:t>
      </w:r>
      <w:r w:rsidRPr="00B20276">
        <w:rPr>
          <w:sz w:val="24"/>
          <w:szCs w:val="24"/>
          <w:lang w:val="en-GB"/>
        </w:rPr>
        <w:t xml:space="preserve">The Central Role of the Propensity Score in Observational Studies for Causal Effects. </w:t>
      </w:r>
      <w:r w:rsidRPr="00B20276">
        <w:rPr>
          <w:i/>
          <w:sz w:val="24"/>
          <w:szCs w:val="24"/>
          <w:lang w:val="en-GB"/>
        </w:rPr>
        <w:t>Biometrika</w:t>
      </w:r>
      <w:r w:rsidRPr="00B20276">
        <w:rPr>
          <w:sz w:val="24"/>
          <w:szCs w:val="24"/>
          <w:lang w:val="en-GB"/>
        </w:rPr>
        <w:t xml:space="preserve"> 70(1)</w:t>
      </w:r>
      <w:r w:rsidR="004022AB" w:rsidRPr="00B20276">
        <w:rPr>
          <w:sz w:val="24"/>
          <w:szCs w:val="24"/>
          <w:lang w:val="en-GB"/>
        </w:rPr>
        <w:t>,</w:t>
      </w:r>
      <w:r w:rsidRPr="00B20276">
        <w:rPr>
          <w:sz w:val="24"/>
          <w:szCs w:val="24"/>
          <w:lang w:val="en-GB"/>
        </w:rPr>
        <w:t xml:space="preserve"> 41-55.</w:t>
      </w:r>
    </w:p>
    <w:p w14:paraId="5B8C568B" w14:textId="77777777" w:rsidR="002602D3" w:rsidRPr="00B20276" w:rsidRDefault="002602D3" w:rsidP="00A1437A">
      <w:pPr>
        <w:pStyle w:val="PaperAISReBibliografia"/>
        <w:spacing w:before="0" w:after="0" w:line="480" w:lineRule="auto"/>
        <w:rPr>
          <w:sz w:val="24"/>
          <w:szCs w:val="24"/>
          <w:lang w:val="en-GB"/>
        </w:rPr>
      </w:pPr>
      <w:r w:rsidRPr="00B20276">
        <w:rPr>
          <w:sz w:val="24"/>
          <w:szCs w:val="24"/>
          <w:lang w:val="en-GB"/>
        </w:rPr>
        <w:t>Russo M, Silvestri P. (eds.) (2016) Innovation and development after the earthquake in Emilia, DEMB Working Paper Series 81, Università di Modena e Reggio Emilia.</w:t>
      </w:r>
    </w:p>
    <w:p w14:paraId="17CE9C4F" w14:textId="6F7F5DCE" w:rsidR="00A71FFE" w:rsidRPr="00B20276" w:rsidRDefault="00A71FFE" w:rsidP="00A1437A">
      <w:pPr>
        <w:pStyle w:val="Riferimentibibliografici"/>
        <w:spacing w:line="480" w:lineRule="auto"/>
        <w:rPr>
          <w:sz w:val="24"/>
          <w:szCs w:val="24"/>
          <w:lang w:val="en-GB"/>
        </w:rPr>
      </w:pPr>
      <w:r w:rsidRPr="00B20276">
        <w:rPr>
          <w:sz w:val="24"/>
          <w:szCs w:val="24"/>
          <w:lang w:val="en-GB"/>
        </w:rPr>
        <w:t xml:space="preserve">Strömberg, D. (2007). Natural Disasters, Economic Development, and Humanitarian Aid. </w:t>
      </w:r>
      <w:r w:rsidRPr="00B20276">
        <w:rPr>
          <w:i/>
          <w:iCs/>
          <w:sz w:val="24"/>
          <w:szCs w:val="24"/>
          <w:lang w:val="en-GB"/>
        </w:rPr>
        <w:t>Journal of Economic Perspectives</w:t>
      </w:r>
      <w:r w:rsidRPr="00B20276">
        <w:rPr>
          <w:sz w:val="24"/>
          <w:szCs w:val="24"/>
          <w:lang w:val="en-GB"/>
        </w:rPr>
        <w:t>, 21(3)</w:t>
      </w:r>
      <w:r w:rsidR="004022AB" w:rsidRPr="00B20276">
        <w:rPr>
          <w:sz w:val="24"/>
          <w:szCs w:val="24"/>
          <w:lang w:val="en-GB"/>
        </w:rPr>
        <w:t>,</w:t>
      </w:r>
      <w:r w:rsidRPr="00B20276">
        <w:rPr>
          <w:sz w:val="24"/>
          <w:szCs w:val="24"/>
          <w:lang w:val="en-GB"/>
        </w:rPr>
        <w:t xml:space="preserve"> 199–222.</w:t>
      </w:r>
    </w:p>
    <w:p w14:paraId="6C4F3F50" w14:textId="58B696D4" w:rsidR="00A71FFE" w:rsidRPr="00B20276" w:rsidRDefault="00A71FFE" w:rsidP="00A1437A">
      <w:pPr>
        <w:pStyle w:val="Riferimentibibliografici"/>
        <w:spacing w:line="480" w:lineRule="auto"/>
        <w:rPr>
          <w:sz w:val="24"/>
          <w:szCs w:val="24"/>
          <w:lang w:val="en-GB"/>
        </w:rPr>
      </w:pPr>
      <w:r w:rsidRPr="00B20276">
        <w:rPr>
          <w:sz w:val="24"/>
          <w:szCs w:val="24"/>
          <w:lang w:val="en-GB"/>
        </w:rPr>
        <w:t xml:space="preserve">The United Nations </w:t>
      </w:r>
      <w:r w:rsidR="004022AB" w:rsidRPr="00B20276">
        <w:rPr>
          <w:sz w:val="24"/>
          <w:szCs w:val="24"/>
          <w:lang w:val="en-GB"/>
        </w:rPr>
        <w:t>&amp;</w:t>
      </w:r>
      <w:r w:rsidRPr="00B20276">
        <w:rPr>
          <w:sz w:val="24"/>
          <w:szCs w:val="24"/>
          <w:lang w:val="en-GB"/>
        </w:rPr>
        <w:t xml:space="preserve"> The World Bank (2010). </w:t>
      </w:r>
      <w:r w:rsidRPr="00B20276">
        <w:rPr>
          <w:i/>
          <w:iCs/>
          <w:sz w:val="24"/>
          <w:szCs w:val="24"/>
          <w:lang w:val="en-GB"/>
        </w:rPr>
        <w:t>Natural Hazards, Unnatural Disasters: The Economics of Effective Prevention</w:t>
      </w:r>
      <w:r w:rsidRPr="00B20276">
        <w:rPr>
          <w:sz w:val="24"/>
          <w:szCs w:val="24"/>
          <w:lang w:val="en-GB"/>
        </w:rPr>
        <w:t xml:space="preserve">. Washington, D.C.: World Bank Publications. </w:t>
      </w:r>
    </w:p>
    <w:p w14:paraId="373CDE3E" w14:textId="6E0FCF6F" w:rsidR="00A71FFE" w:rsidRPr="00B20276" w:rsidRDefault="00A71FFE" w:rsidP="00A1437A">
      <w:pPr>
        <w:pStyle w:val="Riferimentibibliografici"/>
        <w:spacing w:line="480" w:lineRule="auto"/>
        <w:rPr>
          <w:sz w:val="24"/>
          <w:szCs w:val="24"/>
          <w:lang w:val="en-GB"/>
        </w:rPr>
      </w:pPr>
      <w:r w:rsidRPr="00B20276">
        <w:rPr>
          <w:sz w:val="24"/>
          <w:szCs w:val="24"/>
          <w:lang w:val="en-GB"/>
        </w:rPr>
        <w:t xml:space="preserve">Tobler, W.R. (1970). A computer movie simulating urban growth in the Detroit region. </w:t>
      </w:r>
      <w:r w:rsidRPr="00B20276">
        <w:rPr>
          <w:i/>
          <w:iCs/>
          <w:sz w:val="24"/>
          <w:szCs w:val="24"/>
          <w:lang w:val="en-GB"/>
        </w:rPr>
        <w:t>Economic Geography</w:t>
      </w:r>
      <w:r w:rsidRPr="00B20276">
        <w:rPr>
          <w:sz w:val="24"/>
          <w:szCs w:val="24"/>
          <w:lang w:val="en-GB"/>
        </w:rPr>
        <w:t xml:space="preserve"> 46</w:t>
      </w:r>
      <w:r w:rsidR="004022AB" w:rsidRPr="00B20276">
        <w:rPr>
          <w:sz w:val="24"/>
          <w:szCs w:val="24"/>
          <w:lang w:val="en-GB"/>
        </w:rPr>
        <w:t>,</w:t>
      </w:r>
      <w:r w:rsidRPr="00B20276">
        <w:rPr>
          <w:sz w:val="24"/>
          <w:szCs w:val="24"/>
          <w:lang w:val="en-GB"/>
        </w:rPr>
        <w:t xml:space="preserve"> 234–240.</w:t>
      </w:r>
    </w:p>
    <w:p w14:paraId="3526C5DE" w14:textId="16BD8278" w:rsidR="00A71FFE" w:rsidRPr="00B20276" w:rsidRDefault="00756527" w:rsidP="00A1437A">
      <w:pPr>
        <w:pStyle w:val="Riferimentibibliografici"/>
        <w:spacing w:line="480" w:lineRule="auto"/>
        <w:rPr>
          <w:sz w:val="24"/>
          <w:szCs w:val="24"/>
          <w:lang w:val="en-GB"/>
        </w:rPr>
      </w:pPr>
      <w:r w:rsidRPr="00B20276">
        <w:rPr>
          <w:sz w:val="24"/>
          <w:szCs w:val="24"/>
          <w:lang w:val="en-GB"/>
        </w:rPr>
        <w:t>Tol, R.</w:t>
      </w:r>
      <w:r w:rsidR="00A71FFE" w:rsidRPr="00B20276">
        <w:rPr>
          <w:sz w:val="24"/>
          <w:szCs w:val="24"/>
          <w:lang w:val="en-GB"/>
        </w:rPr>
        <w:t xml:space="preserve"> </w:t>
      </w:r>
      <w:r w:rsidR="004022AB" w:rsidRPr="00B20276">
        <w:rPr>
          <w:sz w:val="24"/>
          <w:szCs w:val="24"/>
          <w:lang w:val="en-GB"/>
        </w:rPr>
        <w:t>&amp;</w:t>
      </w:r>
      <w:r w:rsidR="00A71FFE" w:rsidRPr="00B20276">
        <w:rPr>
          <w:sz w:val="24"/>
          <w:szCs w:val="24"/>
          <w:lang w:val="en-GB"/>
        </w:rPr>
        <w:t xml:space="preserve"> Leek</w:t>
      </w:r>
      <w:r w:rsidRPr="00B20276">
        <w:rPr>
          <w:sz w:val="24"/>
          <w:szCs w:val="24"/>
          <w:lang w:val="en-GB"/>
        </w:rPr>
        <w:t>, F</w:t>
      </w:r>
      <w:r w:rsidR="00A71FFE" w:rsidRPr="00B20276">
        <w:rPr>
          <w:sz w:val="24"/>
          <w:szCs w:val="24"/>
          <w:lang w:val="en-GB"/>
        </w:rPr>
        <w:t>. (1999). Economic Analysis of Natural Disaster. In Climate Change and Risk, 308–27. London: Routledge.</w:t>
      </w:r>
    </w:p>
    <w:p w14:paraId="2B81AB38" w14:textId="77777777" w:rsidR="00A71FFE" w:rsidRPr="00B20276" w:rsidRDefault="00A71FFE" w:rsidP="00A1437A">
      <w:pPr>
        <w:pStyle w:val="Riferimentibibliografici"/>
        <w:spacing w:line="480" w:lineRule="auto"/>
        <w:rPr>
          <w:sz w:val="24"/>
          <w:szCs w:val="24"/>
          <w:lang w:val="en-GB"/>
        </w:rPr>
      </w:pPr>
      <w:r w:rsidRPr="00B20276">
        <w:rPr>
          <w:sz w:val="24"/>
          <w:szCs w:val="24"/>
          <w:lang w:val="en-GB"/>
        </w:rPr>
        <w:t>UNISDR (2009). Terminology on Disaster Risk Reduction. Geneva: United Nations Office for Disaster Risk Reduction.</w:t>
      </w:r>
    </w:p>
    <w:p w14:paraId="0ECC0B41" w14:textId="612C5366" w:rsidR="00C36926" w:rsidRDefault="00A71FFE" w:rsidP="00A1437A">
      <w:pPr>
        <w:pStyle w:val="Riferimentibibliografici"/>
        <w:spacing w:line="480" w:lineRule="auto"/>
        <w:rPr>
          <w:sz w:val="24"/>
          <w:szCs w:val="24"/>
          <w:lang w:val="en-GB"/>
        </w:rPr>
      </w:pPr>
      <w:r w:rsidRPr="00B20276">
        <w:rPr>
          <w:sz w:val="24"/>
          <w:szCs w:val="24"/>
          <w:lang w:val="en-GB"/>
        </w:rPr>
        <w:lastRenderedPageBreak/>
        <w:t xml:space="preserve">Ward, J.H. (1963). Hierarchical Grouping to Optimize an Objective Function. </w:t>
      </w:r>
      <w:r w:rsidRPr="00B20276">
        <w:rPr>
          <w:i/>
          <w:sz w:val="24"/>
          <w:szCs w:val="24"/>
          <w:lang w:val="en-GB"/>
        </w:rPr>
        <w:t>Journal of American Statistical Association</w:t>
      </w:r>
      <w:r w:rsidRPr="00B20276">
        <w:rPr>
          <w:sz w:val="24"/>
          <w:szCs w:val="24"/>
          <w:lang w:val="en-GB"/>
        </w:rPr>
        <w:t>, 58</w:t>
      </w:r>
      <w:r w:rsidR="004022AB" w:rsidRPr="00B20276">
        <w:rPr>
          <w:sz w:val="24"/>
          <w:szCs w:val="24"/>
          <w:lang w:val="en-GB"/>
        </w:rPr>
        <w:t>,</w:t>
      </w:r>
      <w:r w:rsidRPr="00B20276">
        <w:rPr>
          <w:sz w:val="24"/>
          <w:szCs w:val="24"/>
          <w:lang w:val="en-GB"/>
        </w:rPr>
        <w:t xml:space="preserve"> 236-244.</w:t>
      </w:r>
    </w:p>
    <w:p w14:paraId="7C88586D" w14:textId="77777777" w:rsidR="00773AA3" w:rsidRDefault="00773AA3" w:rsidP="00A1437A">
      <w:pPr>
        <w:pStyle w:val="Riferimentibibliografici"/>
        <w:spacing w:line="480" w:lineRule="auto"/>
        <w:rPr>
          <w:sz w:val="24"/>
          <w:szCs w:val="24"/>
          <w:lang w:val="en-GB"/>
        </w:rPr>
      </w:pPr>
    </w:p>
    <w:sectPr w:rsidR="00773AA3" w:rsidSect="00074B81">
      <w:footerReference w:type="default" r:id="rId11"/>
      <w:endnotePr>
        <w:numFmt w:val="decimal"/>
      </w:endnotePr>
      <w:pgSz w:w="11901" w:h="16840"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FEE3B" w14:textId="77777777" w:rsidR="00210BEB" w:rsidRPr="00773AA3" w:rsidRDefault="00210BEB" w:rsidP="00773AA3">
      <w:pPr>
        <w:pStyle w:val="Pidipagina"/>
      </w:pPr>
    </w:p>
  </w:endnote>
  <w:endnote w:type="continuationSeparator" w:id="0">
    <w:p w14:paraId="24E71DBE" w14:textId="77777777" w:rsidR="00210BEB" w:rsidRPr="00A21494" w:rsidRDefault="00210BEB" w:rsidP="00A21494">
      <w:pPr>
        <w:pStyle w:val="Pidipagina"/>
      </w:pPr>
    </w:p>
  </w:endnote>
  <w:endnote w:type="continuationNotice" w:id="1">
    <w:p w14:paraId="5375D5EB" w14:textId="77777777" w:rsidR="00210BEB" w:rsidRDefault="00210BEB">
      <w:pPr>
        <w:spacing w:line="240" w:lineRule="auto"/>
      </w:pPr>
    </w:p>
  </w:endnote>
  <w:endnote w:id="2">
    <w:p w14:paraId="4A16B6EB" w14:textId="61EF6FEF" w:rsidR="00DD45E4" w:rsidRPr="006A1A0A" w:rsidRDefault="00DD45E4" w:rsidP="00773AA3">
      <w:pPr>
        <w:pStyle w:val="Footnotes"/>
        <w:spacing w:before="0" w:line="480" w:lineRule="auto"/>
        <w:contextualSpacing w:val="0"/>
        <w:rPr>
          <w:sz w:val="24"/>
        </w:rPr>
      </w:pPr>
      <w:r w:rsidRPr="003D2DDE">
        <w:rPr>
          <w:rStyle w:val="Rimandonotadichiusura"/>
        </w:rPr>
        <w:endnoteRef/>
      </w:r>
      <w:r w:rsidRPr="003D2DDE">
        <w:t xml:space="preserve"> </w:t>
      </w:r>
      <w:r w:rsidRPr="003D2DDE">
        <w:tab/>
      </w:r>
      <w:r w:rsidRPr="006A1A0A">
        <w:rPr>
          <w:sz w:val="24"/>
        </w:rPr>
        <w:t>With a similar model, Barone and Mocetti (2014) analyse the effects of an earthquake at sub-national level, focusing on two of the largest earthquakes in Italy since WWII (i.e., the 1976 Friuli earthquake and the 1980 Irpinia one). They refer to time-series regional data and highlight a substantial divergence in long-term effects.</w:t>
      </w:r>
    </w:p>
  </w:endnote>
  <w:endnote w:id="3">
    <w:p w14:paraId="7EC3A953" w14:textId="522231C8" w:rsidR="00DD45E4" w:rsidRPr="006A1A0A" w:rsidRDefault="00DD45E4" w:rsidP="00773AA3">
      <w:pPr>
        <w:pStyle w:val="Footnotes"/>
        <w:spacing w:before="0" w:line="480" w:lineRule="auto"/>
        <w:contextualSpacing w:val="0"/>
        <w:rPr>
          <w:sz w:val="24"/>
        </w:rPr>
      </w:pPr>
      <w:r w:rsidRPr="006A1A0A">
        <w:rPr>
          <w:rStyle w:val="Rimandonotadichiusura"/>
          <w:sz w:val="24"/>
        </w:rPr>
        <w:endnoteRef/>
      </w:r>
      <w:r w:rsidRPr="006A1A0A">
        <w:rPr>
          <w:sz w:val="24"/>
        </w:rPr>
        <w:t xml:space="preserve"> </w:t>
      </w:r>
      <w:r w:rsidRPr="006A1A0A">
        <w:rPr>
          <w:sz w:val="24"/>
        </w:rPr>
        <w:tab/>
        <w:t>The area hosts a large part of the Emilia-Romagna agro-food system, involving place-specific typical and high-quality products.</w:t>
      </w:r>
    </w:p>
  </w:endnote>
  <w:endnote w:id="4">
    <w:p w14:paraId="07F3B670" w14:textId="36520FA9" w:rsidR="00DD45E4" w:rsidRPr="006A1A0A" w:rsidRDefault="00DD45E4" w:rsidP="00773AA3">
      <w:pPr>
        <w:pStyle w:val="Footnotes"/>
        <w:spacing w:before="0" w:line="480" w:lineRule="auto"/>
        <w:contextualSpacing w:val="0"/>
        <w:rPr>
          <w:sz w:val="24"/>
          <w:lang w:val="en-US"/>
        </w:rPr>
      </w:pPr>
      <w:r w:rsidRPr="006A1A0A">
        <w:rPr>
          <w:rStyle w:val="Rimandonotadichiusura"/>
          <w:sz w:val="24"/>
        </w:rPr>
        <w:endnoteRef/>
      </w:r>
      <w:r w:rsidRPr="006A1A0A">
        <w:rPr>
          <w:sz w:val="24"/>
        </w:rPr>
        <w:t xml:space="preserve"> </w:t>
      </w:r>
      <w:r w:rsidRPr="006A1A0A">
        <w:rPr>
          <w:sz w:val="24"/>
        </w:rPr>
        <w:tab/>
        <w:t>See also Centro di Portici (1981), on the 1980 Irpinia earthquake. In Italy, this is a paradigmatic example: after the earthquake, the area that was admitted to funding schemes was progressively enlarged, so as to include wider areas in three regions and the metropolitan area of Naples, although it only experienced minor damage. Nevertheless, its huge number of inhabitants (compared to the rest of the affected area) eventually absorbed a large amount of total available funds for reconstruction (Chubb, 2002).</w:t>
      </w:r>
    </w:p>
  </w:endnote>
  <w:endnote w:id="5">
    <w:p w14:paraId="2BAA89E8" w14:textId="0BF29433" w:rsidR="00DD45E4" w:rsidRPr="006A1A0A" w:rsidRDefault="00DD45E4" w:rsidP="00773AA3">
      <w:pPr>
        <w:pStyle w:val="Footnotes"/>
        <w:spacing w:before="0" w:line="480" w:lineRule="auto"/>
        <w:contextualSpacing w:val="0"/>
        <w:rPr>
          <w:sz w:val="24"/>
        </w:rPr>
      </w:pPr>
      <w:r w:rsidRPr="006A1A0A">
        <w:rPr>
          <w:rStyle w:val="Rimandonotadichiusura"/>
          <w:sz w:val="24"/>
        </w:rPr>
        <w:endnoteRef/>
      </w:r>
      <w:r w:rsidRPr="006A1A0A">
        <w:rPr>
          <w:sz w:val="24"/>
        </w:rPr>
        <w:t xml:space="preserve"> </w:t>
      </w:r>
      <w:r w:rsidRPr="006A1A0A">
        <w:rPr>
          <w:sz w:val="24"/>
        </w:rPr>
        <w:tab/>
        <w:t>Three decrees, issued during the emergency phase, identified the boundaries of the affected area: i) Decree Law (D.L.) no. 74, of 6 June 2012, identifying 33 municipalities in Emilia-Romagna for which the Civil Protection had certified the presence of structural damage to buildings; ii) Ministerial Decree (D.M.) of MEF (the Italian Ministry of economy and finances), of 1st June 2012, making available the suspension of tax compliance and other tax benefits for 53 municipalities; iii) Ordinance no. 29, of 28 August 2012, highlighting 58 municipalities where grants would be allocated for the immediate restoration of damaged buildings. Details of the main socio-economic features of each set of municipalities are shown in Pagliacci and Russo (2016).</w:t>
      </w:r>
    </w:p>
  </w:endnote>
  <w:endnote w:id="6">
    <w:p w14:paraId="63794215" w14:textId="77777777" w:rsidR="00DD45E4" w:rsidRPr="006A1A0A" w:rsidRDefault="00DD45E4" w:rsidP="00773AA3">
      <w:pPr>
        <w:pStyle w:val="Footnotes"/>
        <w:spacing w:before="0" w:line="480" w:lineRule="auto"/>
        <w:contextualSpacing w:val="0"/>
        <w:rPr>
          <w:sz w:val="24"/>
        </w:rPr>
      </w:pPr>
      <w:r w:rsidRPr="006A1A0A">
        <w:rPr>
          <w:rStyle w:val="Rimandonotadichiusura"/>
          <w:sz w:val="24"/>
        </w:rPr>
        <w:endnoteRef/>
      </w:r>
      <w:r w:rsidRPr="006A1A0A">
        <w:rPr>
          <w:sz w:val="24"/>
        </w:rPr>
        <w:t xml:space="preserve"> </w:t>
      </w:r>
      <w:r w:rsidRPr="006A1A0A">
        <w:rPr>
          <w:sz w:val="24"/>
        </w:rPr>
        <w:tab/>
        <w:t>This study considers as SMEs those enterprises with 0 to 49 employees.</w:t>
      </w:r>
    </w:p>
  </w:endnote>
  <w:endnote w:id="7">
    <w:p w14:paraId="65C991EF" w14:textId="6B140132" w:rsidR="00DD45E4" w:rsidRPr="006A1A0A" w:rsidRDefault="00DD45E4" w:rsidP="00773AA3">
      <w:pPr>
        <w:pStyle w:val="Footnotes"/>
        <w:spacing w:before="0" w:line="480" w:lineRule="auto"/>
        <w:contextualSpacing w:val="0"/>
        <w:rPr>
          <w:sz w:val="24"/>
        </w:rPr>
      </w:pPr>
      <w:r w:rsidRPr="006A1A0A">
        <w:rPr>
          <w:rStyle w:val="Rimandonotadichiusura"/>
          <w:sz w:val="24"/>
        </w:rPr>
        <w:endnoteRef/>
      </w:r>
      <w:r w:rsidRPr="006A1A0A">
        <w:rPr>
          <w:sz w:val="24"/>
        </w:rPr>
        <w:t xml:space="preserve"> </w:t>
      </w:r>
      <w:r w:rsidRPr="006A1A0A">
        <w:rPr>
          <w:sz w:val="24"/>
        </w:rPr>
        <w:tab/>
        <w:t>Cluster analysis is performed using software R (R Core Team, 2015).</w:t>
      </w:r>
    </w:p>
  </w:endnote>
  <w:endnote w:id="8">
    <w:p w14:paraId="35E1126C" w14:textId="19288742" w:rsidR="00DD45E4" w:rsidRPr="006A1A0A" w:rsidRDefault="00DD45E4" w:rsidP="00773AA3">
      <w:pPr>
        <w:pStyle w:val="Footnotes"/>
        <w:spacing w:before="0" w:line="480" w:lineRule="auto"/>
        <w:contextualSpacing w:val="0"/>
        <w:rPr>
          <w:sz w:val="24"/>
        </w:rPr>
      </w:pPr>
      <w:r w:rsidRPr="006A1A0A">
        <w:rPr>
          <w:rStyle w:val="Rimandonotadichiusura"/>
          <w:sz w:val="24"/>
        </w:rPr>
        <w:endnoteRef/>
      </w:r>
      <w:r w:rsidRPr="006A1A0A">
        <w:rPr>
          <w:sz w:val="24"/>
        </w:rPr>
        <w:t xml:space="preserve"> </w:t>
      </w:r>
      <w:r w:rsidRPr="006A1A0A">
        <w:rPr>
          <w:sz w:val="24"/>
        </w:rPr>
        <w:tab/>
        <w:t>Available data just refers to six census rounds before the earthquake (1971-2011). The results of the application of the synthetic control method are available upon request.</w:t>
      </w:r>
    </w:p>
  </w:endnote>
  <w:endnote w:id="9">
    <w:p w14:paraId="2763AF10" w14:textId="306B8FA5" w:rsidR="00DD45E4" w:rsidRPr="006A1A0A" w:rsidRDefault="00DD45E4" w:rsidP="00773AA3">
      <w:pPr>
        <w:pStyle w:val="Footnotes"/>
        <w:spacing w:before="0" w:line="480" w:lineRule="auto"/>
        <w:contextualSpacing w:val="0"/>
        <w:rPr>
          <w:sz w:val="24"/>
        </w:rPr>
      </w:pPr>
      <w:r w:rsidRPr="006A1A0A">
        <w:rPr>
          <w:rStyle w:val="Rimandonotadichiusura"/>
          <w:sz w:val="24"/>
        </w:rPr>
        <w:endnoteRef/>
      </w:r>
      <w:r w:rsidRPr="006A1A0A">
        <w:rPr>
          <w:sz w:val="24"/>
        </w:rPr>
        <w:t xml:space="preserve"> </w:t>
      </w:r>
      <w:r w:rsidRPr="006A1A0A">
        <w:rPr>
          <w:sz w:val="24"/>
        </w:rPr>
        <w:tab/>
        <w:t xml:space="preserve">PSM </w:t>
      </w:r>
      <w:r w:rsidRPr="006A1A0A">
        <w:rPr>
          <w:sz w:val="24"/>
          <w:lang w:eastAsia="it-IT"/>
        </w:rPr>
        <w:t>computes the probability of being treated, according to observable characteristics, and it matches treated and non-treated observations with similar probability scores (</w:t>
      </w:r>
      <w:r w:rsidRPr="006A1A0A">
        <w:rPr>
          <w:sz w:val="24"/>
        </w:rPr>
        <w:t>Rosenbaum &amp; Rubin, 1983)</w:t>
      </w:r>
      <w:r w:rsidRPr="006A1A0A">
        <w:rPr>
          <w:sz w:val="24"/>
          <w:lang w:eastAsia="it-IT"/>
        </w:rPr>
        <w:t xml:space="preserve">. </w:t>
      </w:r>
      <w:r w:rsidRPr="006A1A0A">
        <w:rPr>
          <w:sz w:val="24"/>
        </w:rPr>
        <w:t>Here, this matching must occur within each cluster. Thus, the number of treated observations is low and the logit model does not return significant regressors (results available upon request).</w:t>
      </w:r>
    </w:p>
  </w:endnote>
  <w:endnote w:id="10">
    <w:p w14:paraId="44927EB4" w14:textId="742C2F08" w:rsidR="00DD45E4" w:rsidRPr="006A1A0A" w:rsidRDefault="00DD45E4" w:rsidP="00773AA3">
      <w:pPr>
        <w:pStyle w:val="Footnotes"/>
        <w:spacing w:before="0" w:line="480" w:lineRule="auto"/>
        <w:contextualSpacing w:val="0"/>
        <w:rPr>
          <w:sz w:val="24"/>
        </w:rPr>
      </w:pPr>
      <w:r w:rsidRPr="006A1A0A">
        <w:rPr>
          <w:rStyle w:val="Rimandonotadichiusura"/>
          <w:sz w:val="24"/>
        </w:rPr>
        <w:endnoteRef/>
      </w:r>
      <w:r w:rsidRPr="006A1A0A">
        <w:rPr>
          <w:sz w:val="24"/>
        </w:rPr>
        <w:t xml:space="preserve"> </w:t>
      </w:r>
      <w:r w:rsidRPr="006A1A0A">
        <w:rPr>
          <w:sz w:val="24"/>
        </w:rPr>
        <w:tab/>
        <w:t>Compared to other statistical techniques, Euclidean distance does not consider relative importance of each variable in affecting matching (as the PSM does, for instance). Nevertheless, because of the huge amount of available control observations, this bias can be assumed to be negligible here.</w:t>
      </w:r>
    </w:p>
  </w:endnote>
  <w:endnote w:id="11">
    <w:p w14:paraId="687B2C19" w14:textId="3DA2FD2C" w:rsidR="00DD45E4" w:rsidRPr="006A1A0A" w:rsidRDefault="00DD45E4" w:rsidP="00773AA3">
      <w:pPr>
        <w:pStyle w:val="Footnotes"/>
        <w:spacing w:before="0" w:line="480" w:lineRule="auto"/>
        <w:contextualSpacing w:val="0"/>
        <w:rPr>
          <w:sz w:val="24"/>
        </w:rPr>
      </w:pPr>
      <w:r w:rsidRPr="006A1A0A">
        <w:rPr>
          <w:rStyle w:val="Rimandonotadichiusura"/>
          <w:sz w:val="24"/>
        </w:rPr>
        <w:endnoteRef/>
      </w:r>
      <w:r w:rsidRPr="006A1A0A">
        <w:rPr>
          <w:sz w:val="24"/>
        </w:rPr>
        <w:t xml:space="preserve"> </w:t>
      </w:r>
      <w:r w:rsidRPr="006A1A0A">
        <w:rPr>
          <w:sz w:val="24"/>
        </w:rPr>
        <w:tab/>
        <w:t xml:space="preserve">Ministerial Decree (D.M.) of MEF, of 1st June 2012, </w:t>
      </w:r>
      <w:r w:rsidRPr="006A1A0A">
        <w:rPr>
          <w:sz w:val="24"/>
          <w:lang w:eastAsia="it-IT"/>
        </w:rPr>
        <w:t>lists 104 municipalities, in Emilia-Romagna, Lombardy and Veneto. In Emilia-Romagna, five more municipalities (i.e. Reggio Emilia, Modena, Bologna, Ferrara and Argenta) have been excluded, as listed in the Ordinance 29/2012 mentioned above (</w:t>
      </w:r>
      <w:r w:rsidR="00773AA3" w:rsidRPr="006A1A0A">
        <w:rPr>
          <w:sz w:val="24"/>
          <w:lang w:eastAsia="it-IT"/>
        </w:rPr>
        <w:t>endnote</w:t>
      </w:r>
      <w:r w:rsidRPr="006A1A0A">
        <w:rPr>
          <w:sz w:val="24"/>
          <w:lang w:eastAsia="it-IT"/>
        </w:rPr>
        <w:t xml:space="preserve"> </w:t>
      </w:r>
      <w:r w:rsidRPr="006A1A0A">
        <w:rPr>
          <w:sz w:val="24"/>
          <w:lang w:eastAsia="it-IT"/>
        </w:rPr>
        <w:fldChar w:fldCharType="begin"/>
      </w:r>
      <w:r w:rsidRPr="006A1A0A">
        <w:rPr>
          <w:sz w:val="24"/>
          <w:lang w:eastAsia="it-IT"/>
        </w:rPr>
        <w:instrText xml:space="preserve"> NOTEREF _Ref469431163 \h </w:instrText>
      </w:r>
      <w:r w:rsidR="006A1A0A">
        <w:rPr>
          <w:sz w:val="24"/>
          <w:lang w:eastAsia="it-IT"/>
        </w:rPr>
        <w:instrText xml:space="preserve"> \* MERGEFORMAT </w:instrText>
      </w:r>
      <w:r w:rsidRPr="006A1A0A">
        <w:rPr>
          <w:sz w:val="24"/>
          <w:lang w:eastAsia="it-IT"/>
        </w:rPr>
      </w:r>
      <w:r w:rsidRPr="006A1A0A">
        <w:rPr>
          <w:sz w:val="24"/>
          <w:lang w:eastAsia="it-IT"/>
        </w:rPr>
        <w:fldChar w:fldCharType="separate"/>
      </w:r>
      <w:r w:rsidRPr="006A1A0A">
        <w:rPr>
          <w:sz w:val="24"/>
          <w:lang w:eastAsia="it-IT"/>
        </w:rPr>
        <w:t>4</w:t>
      </w:r>
      <w:r w:rsidRPr="006A1A0A">
        <w:rPr>
          <w:sz w:val="24"/>
          <w:lang w:eastAsia="it-IT"/>
        </w:rPr>
        <w:fldChar w:fldCharType="end"/>
      </w:r>
      <w:r w:rsidRPr="006A1A0A">
        <w:rPr>
          <w:sz w:val="24"/>
          <w:lang w:eastAsia="it-IT"/>
        </w:rPr>
        <w:t>).</w:t>
      </w:r>
    </w:p>
  </w:endnote>
  <w:endnote w:id="12">
    <w:p w14:paraId="4D01B505" w14:textId="19FED663" w:rsidR="00DD45E4" w:rsidRPr="006A1A0A" w:rsidRDefault="00DD45E4" w:rsidP="00773AA3">
      <w:pPr>
        <w:pStyle w:val="Footnotes"/>
        <w:spacing w:before="0" w:line="480" w:lineRule="auto"/>
        <w:contextualSpacing w:val="0"/>
        <w:rPr>
          <w:sz w:val="24"/>
          <w:lang w:val="en-US"/>
        </w:rPr>
      </w:pPr>
      <w:r w:rsidRPr="006A1A0A">
        <w:rPr>
          <w:rStyle w:val="Rimandonotadichiusura"/>
          <w:sz w:val="24"/>
        </w:rPr>
        <w:endnoteRef/>
      </w:r>
      <w:r w:rsidRPr="006A1A0A">
        <w:rPr>
          <w:sz w:val="24"/>
        </w:rPr>
        <w:t xml:space="preserve"> </w:t>
      </w:r>
      <w:r w:rsidRPr="006A1A0A">
        <w:rPr>
          <w:sz w:val="24"/>
        </w:rPr>
        <w:tab/>
        <w:t>With regard to population/foreigners, 2013 and 2015 data respectively refer to 1</w:t>
      </w:r>
      <w:r w:rsidRPr="006A1A0A">
        <w:rPr>
          <w:sz w:val="24"/>
          <w:vertAlign w:val="superscript"/>
        </w:rPr>
        <w:t>st</w:t>
      </w:r>
      <w:r w:rsidRPr="006A1A0A">
        <w:rPr>
          <w:sz w:val="24"/>
        </w:rPr>
        <w:t xml:space="preserve"> January of 2014 and 1</w:t>
      </w:r>
      <w:r w:rsidRPr="006A1A0A">
        <w:rPr>
          <w:sz w:val="24"/>
          <w:vertAlign w:val="superscript"/>
        </w:rPr>
        <w:t>st</w:t>
      </w:r>
      <w:r w:rsidRPr="006A1A0A">
        <w:rPr>
          <w:sz w:val="24"/>
        </w:rPr>
        <w:t xml:space="preserve"> January of 2016; with regard to employment, 2013 and 2015 data are the average annual number of employees.</w:t>
      </w:r>
    </w:p>
  </w:endnote>
  <w:endnote w:id="13">
    <w:p w14:paraId="47A0C16F" w14:textId="77777777" w:rsidR="00DD45E4" w:rsidRPr="006A1A0A" w:rsidRDefault="00DD45E4" w:rsidP="00773AA3">
      <w:pPr>
        <w:pStyle w:val="Footnotes"/>
        <w:spacing w:before="0" w:line="480" w:lineRule="auto"/>
        <w:contextualSpacing w:val="0"/>
        <w:rPr>
          <w:sz w:val="24"/>
        </w:rPr>
      </w:pPr>
      <w:r w:rsidRPr="006A1A0A">
        <w:rPr>
          <w:rStyle w:val="Rimandonotadichiusura"/>
          <w:sz w:val="24"/>
        </w:rPr>
        <w:endnoteRef/>
      </w:r>
      <w:r w:rsidRPr="006A1A0A">
        <w:rPr>
          <w:sz w:val="24"/>
        </w:rPr>
        <w:t xml:space="preserve"> </w:t>
      </w:r>
      <w:r w:rsidRPr="006A1A0A">
        <w:rPr>
          <w:sz w:val="24"/>
        </w:rPr>
        <w:tab/>
        <w:t>Further assumptions refer to absence of spontaneous dynamics of each variable. This is justified by the short time span under study here. Nonetheless, if that holds true for population variables, employment might have been affected by short-term economic changes.</w:t>
      </w:r>
    </w:p>
  </w:endnote>
  <w:endnote w:id="14">
    <w:p w14:paraId="2092DA21" w14:textId="0A72BE4E" w:rsidR="00DD45E4" w:rsidRPr="006A1A0A" w:rsidRDefault="00DD45E4" w:rsidP="00773AA3">
      <w:pPr>
        <w:pStyle w:val="Footnotes"/>
        <w:spacing w:before="0" w:line="480" w:lineRule="auto"/>
        <w:contextualSpacing w:val="0"/>
        <w:rPr>
          <w:sz w:val="24"/>
        </w:rPr>
      </w:pPr>
      <w:r w:rsidRPr="006A1A0A">
        <w:rPr>
          <w:rStyle w:val="Rimandonotadichiusura"/>
          <w:sz w:val="24"/>
        </w:rPr>
        <w:endnoteRef/>
      </w:r>
      <w:r w:rsidRPr="006A1A0A">
        <w:rPr>
          <w:sz w:val="24"/>
        </w:rPr>
        <w:t xml:space="preserve"> </w:t>
      </w:r>
      <w:r w:rsidRPr="006A1A0A">
        <w:rPr>
          <w:sz w:val="24"/>
        </w:rPr>
        <w:tab/>
        <w:t xml:space="preserve">A coloured map of the clusters across the country is available as Supplementary material Figure </w:t>
      </w:r>
      <w:r w:rsidR="00A5663F">
        <w:rPr>
          <w:sz w:val="24"/>
        </w:rPr>
        <w:t>A</w:t>
      </w:r>
      <w:r w:rsidRPr="006A1A0A">
        <w:rPr>
          <w:sz w:val="24"/>
        </w:rPr>
        <w:t>3.</w:t>
      </w:r>
    </w:p>
  </w:endnote>
  <w:endnote w:id="15">
    <w:p w14:paraId="0A736162" w14:textId="70BF56E3" w:rsidR="00DD45E4" w:rsidRPr="006A1A0A" w:rsidRDefault="00DD45E4" w:rsidP="00773AA3">
      <w:pPr>
        <w:pStyle w:val="Footnotes"/>
        <w:spacing w:before="0" w:line="480" w:lineRule="auto"/>
        <w:contextualSpacing w:val="0"/>
        <w:rPr>
          <w:sz w:val="24"/>
        </w:rPr>
      </w:pPr>
      <w:r w:rsidRPr="006A1A0A">
        <w:rPr>
          <w:rStyle w:val="Rimandonotadichiusura"/>
          <w:sz w:val="24"/>
        </w:rPr>
        <w:endnoteRef/>
      </w:r>
      <w:r w:rsidRPr="006A1A0A">
        <w:rPr>
          <w:sz w:val="24"/>
        </w:rPr>
        <w:t xml:space="preserve"> </w:t>
      </w:r>
      <w:r w:rsidRPr="006A1A0A">
        <w:rPr>
          <w:sz w:val="24"/>
        </w:rPr>
        <w:tab/>
        <w:t>The authors are aware that, although the two main 2012 earthquakes had almost the same magnitude, they had different hypocentres. In addition, it should be noticed that being hit by one earthquake after the other may have affected some areas more than others. However, for the sake of simplicity, all these pieces of information are skipped in this analysis and, for each municipality, the distance from the closest of the two epicentres is considered.</w:t>
      </w:r>
    </w:p>
  </w:endnote>
  <w:endnote w:id="16">
    <w:p w14:paraId="162440A2" w14:textId="405D1733" w:rsidR="00DD45E4" w:rsidRPr="006A1A0A" w:rsidRDefault="00DD45E4" w:rsidP="00773AA3">
      <w:pPr>
        <w:pStyle w:val="Footnotes"/>
        <w:spacing w:before="0" w:line="480" w:lineRule="auto"/>
        <w:contextualSpacing w:val="0"/>
        <w:rPr>
          <w:sz w:val="24"/>
          <w:lang w:val="en-US"/>
        </w:rPr>
      </w:pPr>
      <w:r w:rsidRPr="006A1A0A">
        <w:rPr>
          <w:rStyle w:val="Rimandonotadichiusura"/>
          <w:sz w:val="24"/>
        </w:rPr>
        <w:endnoteRef/>
      </w:r>
      <w:r w:rsidRPr="006A1A0A">
        <w:rPr>
          <w:sz w:val="24"/>
        </w:rPr>
        <w:t xml:space="preserve"> </w:t>
      </w:r>
      <w:r w:rsidRPr="006A1A0A">
        <w:rPr>
          <w:sz w:val="24"/>
        </w:rPr>
        <w:tab/>
        <w:t>For instance, even a larger supply of empty dwellings and other available residential units could have driven a better performance in some municipalities.</w:t>
      </w:r>
    </w:p>
  </w:endnote>
  <w:endnote w:id="17">
    <w:p w14:paraId="563CE273" w14:textId="7A3BDF95" w:rsidR="006A1A0A" w:rsidRPr="006A1A0A" w:rsidRDefault="006A1A0A" w:rsidP="006A1A0A">
      <w:pPr>
        <w:pStyle w:val="Footnotes"/>
        <w:rPr>
          <w:lang w:val="en-US"/>
        </w:rPr>
      </w:pPr>
      <w:r w:rsidRPr="006A1A0A">
        <w:rPr>
          <w:rStyle w:val="Rimandonotadichiusura"/>
          <w:sz w:val="24"/>
        </w:rPr>
        <w:endnoteRef/>
      </w:r>
      <w:r w:rsidRPr="006A1A0A">
        <w:t xml:space="preserve"> </w:t>
      </w:r>
      <w:r>
        <w:tab/>
      </w:r>
      <w:r w:rsidRPr="006A1A0A">
        <w:rPr>
          <w:sz w:val="24"/>
        </w:rPr>
        <w:t>The authors wish to thank Massimo Mariani for shedding light on this issue, extracted from "Sunto della relazione sui terremoti di Norcia incominciati il 22 di agosto 1859, Roma marzo 1860" (Summary of the report about the Norcia earthquakes, which started on August 22nd, 1859, Rome March 1860).</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0061983"/>
      <w:docPartObj>
        <w:docPartGallery w:val="Page Numbers (Bottom of Page)"/>
        <w:docPartUnique/>
      </w:docPartObj>
    </w:sdtPr>
    <w:sdtEndPr/>
    <w:sdtContent>
      <w:p w14:paraId="01587893" w14:textId="55CEAD5E" w:rsidR="00AC2818" w:rsidRDefault="007668B1" w:rsidP="007668B1">
        <w:pPr>
          <w:pStyle w:val="Pidipagina"/>
          <w:jc w:val="center"/>
        </w:pPr>
        <w:r>
          <w:fldChar w:fldCharType="begin"/>
        </w:r>
        <w:r>
          <w:instrText>PAGE   \* MERGEFORMAT</w:instrText>
        </w:r>
        <w:r>
          <w:fldChar w:fldCharType="separate"/>
        </w:r>
        <w:r w:rsidR="00E96ADD" w:rsidRPr="00E96ADD">
          <w:rPr>
            <w:noProof/>
            <w:lang w:val="it-IT"/>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66F7F" w14:textId="77777777" w:rsidR="00210BEB" w:rsidRDefault="00210BEB" w:rsidP="00AF2C92">
      <w:r>
        <w:separator/>
      </w:r>
    </w:p>
  </w:footnote>
  <w:footnote w:type="continuationSeparator" w:id="0">
    <w:p w14:paraId="13438E0D" w14:textId="77777777" w:rsidR="00210BEB" w:rsidRDefault="00210BEB" w:rsidP="00AF2C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0D426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1FECAF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C74E2D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E8F228E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A274B1E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2442F1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9147BC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94C1B5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4C6DA0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472E25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5DC819A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5CC0843"/>
    <w:multiLevelType w:val="multilevel"/>
    <w:tmpl w:val="9426EBB6"/>
    <w:lvl w:ilvl="0">
      <w:start w:val="1"/>
      <w:numFmt w:val="decimal"/>
      <w:lvlText w:val="(%1)"/>
      <w:lvlJc w:val="right"/>
      <w:pPr>
        <w:ind w:left="720" w:hanging="18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D0E765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4A24B5"/>
    <w:multiLevelType w:val="hybridMultilevel"/>
    <w:tmpl w:val="404AA1E2"/>
    <w:lvl w:ilvl="0" w:tplc="F0EC1DC0">
      <w:start w:val="1"/>
      <w:numFmt w:val="bullet"/>
      <w:pStyle w:val="Paragrafoelenco"/>
      <w:lvlText w:val=""/>
      <w:lvlJc w:val="left"/>
      <w:pPr>
        <w:ind w:left="2007" w:hanging="360"/>
      </w:pPr>
      <w:rPr>
        <w:rFonts w:ascii="Wingdings" w:hAnsi="Wingdings" w:hint="default"/>
      </w:rPr>
    </w:lvl>
    <w:lvl w:ilvl="1" w:tplc="04100003" w:tentative="1">
      <w:start w:val="1"/>
      <w:numFmt w:val="bullet"/>
      <w:lvlText w:val="o"/>
      <w:lvlJc w:val="left"/>
      <w:pPr>
        <w:ind w:left="2727" w:hanging="360"/>
      </w:pPr>
      <w:rPr>
        <w:rFonts w:ascii="Courier New" w:hAnsi="Courier New" w:cs="Courier New" w:hint="default"/>
      </w:rPr>
    </w:lvl>
    <w:lvl w:ilvl="2" w:tplc="04100005" w:tentative="1">
      <w:start w:val="1"/>
      <w:numFmt w:val="bullet"/>
      <w:lvlText w:val=""/>
      <w:lvlJc w:val="left"/>
      <w:pPr>
        <w:ind w:left="3447" w:hanging="360"/>
      </w:pPr>
      <w:rPr>
        <w:rFonts w:ascii="Wingdings" w:hAnsi="Wingdings" w:hint="default"/>
      </w:rPr>
    </w:lvl>
    <w:lvl w:ilvl="3" w:tplc="04100001" w:tentative="1">
      <w:start w:val="1"/>
      <w:numFmt w:val="bullet"/>
      <w:lvlText w:val=""/>
      <w:lvlJc w:val="left"/>
      <w:pPr>
        <w:ind w:left="4167" w:hanging="360"/>
      </w:pPr>
      <w:rPr>
        <w:rFonts w:ascii="Symbol" w:hAnsi="Symbol" w:hint="default"/>
      </w:rPr>
    </w:lvl>
    <w:lvl w:ilvl="4" w:tplc="04100003" w:tentative="1">
      <w:start w:val="1"/>
      <w:numFmt w:val="bullet"/>
      <w:lvlText w:val="o"/>
      <w:lvlJc w:val="left"/>
      <w:pPr>
        <w:ind w:left="4887" w:hanging="360"/>
      </w:pPr>
      <w:rPr>
        <w:rFonts w:ascii="Courier New" w:hAnsi="Courier New" w:cs="Courier New" w:hint="default"/>
      </w:rPr>
    </w:lvl>
    <w:lvl w:ilvl="5" w:tplc="04100005" w:tentative="1">
      <w:start w:val="1"/>
      <w:numFmt w:val="bullet"/>
      <w:lvlText w:val=""/>
      <w:lvlJc w:val="left"/>
      <w:pPr>
        <w:ind w:left="5607" w:hanging="360"/>
      </w:pPr>
      <w:rPr>
        <w:rFonts w:ascii="Wingdings" w:hAnsi="Wingdings" w:hint="default"/>
      </w:rPr>
    </w:lvl>
    <w:lvl w:ilvl="6" w:tplc="04100001" w:tentative="1">
      <w:start w:val="1"/>
      <w:numFmt w:val="bullet"/>
      <w:lvlText w:val=""/>
      <w:lvlJc w:val="left"/>
      <w:pPr>
        <w:ind w:left="6327" w:hanging="360"/>
      </w:pPr>
      <w:rPr>
        <w:rFonts w:ascii="Symbol" w:hAnsi="Symbol" w:hint="default"/>
      </w:rPr>
    </w:lvl>
    <w:lvl w:ilvl="7" w:tplc="04100003" w:tentative="1">
      <w:start w:val="1"/>
      <w:numFmt w:val="bullet"/>
      <w:lvlText w:val="o"/>
      <w:lvlJc w:val="left"/>
      <w:pPr>
        <w:ind w:left="7047" w:hanging="360"/>
      </w:pPr>
      <w:rPr>
        <w:rFonts w:ascii="Courier New" w:hAnsi="Courier New" w:cs="Courier New" w:hint="default"/>
      </w:rPr>
    </w:lvl>
    <w:lvl w:ilvl="8" w:tplc="04100005" w:tentative="1">
      <w:start w:val="1"/>
      <w:numFmt w:val="bullet"/>
      <w:lvlText w:val=""/>
      <w:lvlJc w:val="left"/>
      <w:pPr>
        <w:ind w:left="7767" w:hanging="360"/>
      </w:pPr>
      <w:rPr>
        <w:rFonts w:ascii="Wingdings" w:hAnsi="Wingdings" w:hint="default"/>
      </w:rPr>
    </w:lvl>
  </w:abstractNum>
  <w:abstractNum w:abstractNumId="14" w15:restartNumberingAfterBreak="0">
    <w:nsid w:val="1F413159"/>
    <w:multiLevelType w:val="multilevel"/>
    <w:tmpl w:val="30C08770"/>
    <w:lvl w:ilvl="0">
      <w:start w:val="1"/>
      <w:numFmt w:val="decimal"/>
      <w:lvlText w:val="(%1)"/>
      <w:lvlJc w:val="right"/>
      <w:pPr>
        <w:ind w:left="720" w:hanging="15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FBD58E1"/>
    <w:multiLevelType w:val="multilevel"/>
    <w:tmpl w:val="1B88B8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7E8289F"/>
    <w:multiLevelType w:val="hybridMultilevel"/>
    <w:tmpl w:val="E976D66C"/>
    <w:lvl w:ilvl="0" w:tplc="0CDA721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9B5003"/>
    <w:multiLevelType w:val="multilevel"/>
    <w:tmpl w:val="DD5255FA"/>
    <w:lvl w:ilvl="0">
      <w:start w:val="1"/>
      <w:numFmt w:val="decimal"/>
      <w:lvlText w:val="(%1)"/>
      <w:lvlJc w:val="left"/>
      <w:pPr>
        <w:ind w:left="720" w:hanging="45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5D0C07"/>
    <w:multiLevelType w:val="hybridMultilevel"/>
    <w:tmpl w:val="4CA02766"/>
    <w:lvl w:ilvl="0" w:tplc="79367BA0">
      <w:start w:val="1"/>
      <w:numFmt w:val="decimal"/>
      <w:pStyle w:val="Numberedlist"/>
      <w:lvlText w:val="(%1)"/>
      <w:lvlJc w:val="right"/>
      <w:pPr>
        <w:ind w:left="720" w:hanging="153"/>
      </w:pPr>
      <w:rPr>
        <w:rFonts w:hint="default"/>
      </w:rPr>
    </w:lvl>
    <w:lvl w:ilvl="1" w:tplc="FE3AC208">
      <w:start w:val="1"/>
      <w:numFmt w:val="lowerLetter"/>
      <w:lvlText w:val="(%2)"/>
      <w:lvlJc w:val="left"/>
      <w:pPr>
        <w:ind w:left="1440" w:hanging="360"/>
      </w:pPr>
      <w:rPr>
        <w:rFonts w:hint="default"/>
      </w:rPr>
    </w:lvl>
    <w:lvl w:ilvl="2" w:tplc="77E4D7DE">
      <w:start w:val="1"/>
      <w:numFmt w:val="lowerRoman"/>
      <w:lvlText w:val="(%3)"/>
      <w:lvlJc w:val="righ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4A71FF"/>
    <w:multiLevelType w:val="hybridMultilevel"/>
    <w:tmpl w:val="CADCD1B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838135E"/>
    <w:multiLevelType w:val="hybridMultilevel"/>
    <w:tmpl w:val="68EEE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6773B8"/>
    <w:multiLevelType w:val="multilevel"/>
    <w:tmpl w:val="84C6448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BD96BF8"/>
    <w:multiLevelType w:val="hybridMultilevel"/>
    <w:tmpl w:val="76D2C65A"/>
    <w:lvl w:ilvl="0" w:tplc="0456C424">
      <w:start w:val="1"/>
      <w:numFmt w:val="bullet"/>
      <w:pStyle w:val="Bulleted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D751B3"/>
    <w:multiLevelType w:val="hybridMultilevel"/>
    <w:tmpl w:val="57082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3FA38AF"/>
    <w:multiLevelType w:val="hybridMultilevel"/>
    <w:tmpl w:val="C96A95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9373AB"/>
    <w:multiLevelType w:val="multilevel"/>
    <w:tmpl w:val="B89CB32C"/>
    <w:lvl w:ilvl="0">
      <w:start w:val="1"/>
      <w:numFmt w:val="decimal"/>
      <w:lvlText w:val="(%1)"/>
      <w:lvlJc w:val="right"/>
      <w:pPr>
        <w:ind w:left="720" w:hanging="15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3EA2A64"/>
    <w:multiLevelType w:val="hybridMultilevel"/>
    <w:tmpl w:val="D5AA6592"/>
    <w:lvl w:ilvl="0" w:tplc="0410000F">
      <w:start w:val="1"/>
      <w:numFmt w:val="decimal"/>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num w:numId="1">
    <w:abstractNumId w:val="16"/>
  </w:num>
  <w:num w:numId="2">
    <w:abstractNumId w:val="20"/>
  </w:num>
  <w:num w:numId="3">
    <w:abstractNumId w:val="1"/>
  </w:num>
  <w:num w:numId="4">
    <w:abstractNumId w:val="2"/>
  </w:num>
  <w:num w:numId="5">
    <w:abstractNumId w:val="3"/>
  </w:num>
  <w:num w:numId="6">
    <w:abstractNumId w:val="4"/>
  </w:num>
  <w:num w:numId="7">
    <w:abstractNumId w:val="9"/>
  </w:num>
  <w:num w:numId="8">
    <w:abstractNumId w:val="5"/>
  </w:num>
  <w:num w:numId="9">
    <w:abstractNumId w:val="7"/>
  </w:num>
  <w:num w:numId="10">
    <w:abstractNumId w:val="6"/>
  </w:num>
  <w:num w:numId="11">
    <w:abstractNumId w:val="10"/>
  </w:num>
  <w:num w:numId="12">
    <w:abstractNumId w:val="8"/>
  </w:num>
  <w:num w:numId="13">
    <w:abstractNumId w:val="18"/>
  </w:num>
  <w:num w:numId="14">
    <w:abstractNumId w:val="22"/>
  </w:num>
  <w:num w:numId="15">
    <w:abstractNumId w:val="15"/>
  </w:num>
  <w:num w:numId="16">
    <w:abstractNumId w:val="17"/>
  </w:num>
  <w:num w:numId="17">
    <w:abstractNumId w:val="11"/>
  </w:num>
  <w:num w:numId="18">
    <w:abstractNumId w:val="0"/>
  </w:num>
  <w:num w:numId="19">
    <w:abstractNumId w:val="12"/>
  </w:num>
  <w:num w:numId="20">
    <w:abstractNumId w:val="22"/>
  </w:num>
  <w:num w:numId="21">
    <w:abstractNumId w:val="22"/>
  </w:num>
  <w:num w:numId="22">
    <w:abstractNumId w:val="22"/>
  </w:num>
  <w:num w:numId="23">
    <w:abstractNumId w:val="22"/>
  </w:num>
  <w:num w:numId="24">
    <w:abstractNumId w:val="18"/>
  </w:num>
  <w:num w:numId="25">
    <w:abstractNumId w:val="19"/>
  </w:num>
  <w:num w:numId="26">
    <w:abstractNumId w:val="23"/>
  </w:num>
  <w:num w:numId="27">
    <w:abstractNumId w:val="24"/>
  </w:num>
  <w:num w:numId="28">
    <w:abstractNumId w:val="22"/>
  </w:num>
  <w:num w:numId="29">
    <w:abstractNumId w:val="14"/>
  </w:num>
  <w:num w:numId="30">
    <w:abstractNumId w:val="25"/>
  </w:num>
  <w:num w:numId="31">
    <w:abstractNumId w:val="21"/>
  </w:num>
  <w:num w:numId="32">
    <w:abstractNumId w:val="13"/>
  </w:num>
  <w:num w:numId="33">
    <w:abstractNumId w:val="26"/>
  </w:num>
  <w:num w:numId="34">
    <w:abstractNumId w:val="18"/>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283"/>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AD4"/>
    <w:rsid w:val="00001899"/>
    <w:rsid w:val="000049AD"/>
    <w:rsid w:val="0000681B"/>
    <w:rsid w:val="000133C0"/>
    <w:rsid w:val="00014C4E"/>
    <w:rsid w:val="0001575A"/>
    <w:rsid w:val="00017107"/>
    <w:rsid w:val="000202E2"/>
    <w:rsid w:val="00022441"/>
    <w:rsid w:val="0002261E"/>
    <w:rsid w:val="0002284E"/>
    <w:rsid w:val="00023753"/>
    <w:rsid w:val="00024839"/>
    <w:rsid w:val="00026871"/>
    <w:rsid w:val="00033880"/>
    <w:rsid w:val="00037A98"/>
    <w:rsid w:val="000427FB"/>
    <w:rsid w:val="0004455E"/>
    <w:rsid w:val="00047308"/>
    <w:rsid w:val="00047425"/>
    <w:rsid w:val="00047CB5"/>
    <w:rsid w:val="00051FAA"/>
    <w:rsid w:val="000549E5"/>
    <w:rsid w:val="0005647B"/>
    <w:rsid w:val="000572A9"/>
    <w:rsid w:val="00060137"/>
    <w:rsid w:val="00061325"/>
    <w:rsid w:val="000733AC"/>
    <w:rsid w:val="00074B81"/>
    <w:rsid w:val="00074D22"/>
    <w:rsid w:val="00075081"/>
    <w:rsid w:val="0007528A"/>
    <w:rsid w:val="000810F3"/>
    <w:rsid w:val="000811AB"/>
    <w:rsid w:val="00083C5F"/>
    <w:rsid w:val="00083E13"/>
    <w:rsid w:val="0008729A"/>
    <w:rsid w:val="000902A0"/>
    <w:rsid w:val="0009172C"/>
    <w:rsid w:val="00091742"/>
    <w:rsid w:val="000930EC"/>
    <w:rsid w:val="00095E61"/>
    <w:rsid w:val="000966C1"/>
    <w:rsid w:val="000970AC"/>
    <w:rsid w:val="000A1167"/>
    <w:rsid w:val="000A4262"/>
    <w:rsid w:val="000A4428"/>
    <w:rsid w:val="000A6D40"/>
    <w:rsid w:val="000A7BC3"/>
    <w:rsid w:val="000B1661"/>
    <w:rsid w:val="000B1F0B"/>
    <w:rsid w:val="000B2E88"/>
    <w:rsid w:val="000B4603"/>
    <w:rsid w:val="000C0835"/>
    <w:rsid w:val="000C09BE"/>
    <w:rsid w:val="000C1380"/>
    <w:rsid w:val="000C4547"/>
    <w:rsid w:val="000C554F"/>
    <w:rsid w:val="000C6433"/>
    <w:rsid w:val="000C6574"/>
    <w:rsid w:val="000D0DC5"/>
    <w:rsid w:val="000D15FF"/>
    <w:rsid w:val="000D28DF"/>
    <w:rsid w:val="000D488B"/>
    <w:rsid w:val="000D68DF"/>
    <w:rsid w:val="000D6DD1"/>
    <w:rsid w:val="000E138C"/>
    <w:rsid w:val="000E138D"/>
    <w:rsid w:val="000E187A"/>
    <w:rsid w:val="000E2D61"/>
    <w:rsid w:val="000E450E"/>
    <w:rsid w:val="000E6259"/>
    <w:rsid w:val="000F22DB"/>
    <w:rsid w:val="000F3F1E"/>
    <w:rsid w:val="000F4677"/>
    <w:rsid w:val="000F5BE0"/>
    <w:rsid w:val="000F5ECD"/>
    <w:rsid w:val="00100587"/>
    <w:rsid w:val="001018AA"/>
    <w:rsid w:val="00101EA8"/>
    <w:rsid w:val="0010284E"/>
    <w:rsid w:val="00103122"/>
    <w:rsid w:val="0010336A"/>
    <w:rsid w:val="001050F1"/>
    <w:rsid w:val="00105AEA"/>
    <w:rsid w:val="00106DAF"/>
    <w:rsid w:val="00114ABE"/>
    <w:rsid w:val="00116023"/>
    <w:rsid w:val="00134A51"/>
    <w:rsid w:val="00137EE5"/>
    <w:rsid w:val="001405C1"/>
    <w:rsid w:val="00140727"/>
    <w:rsid w:val="00144149"/>
    <w:rsid w:val="00144386"/>
    <w:rsid w:val="00152497"/>
    <w:rsid w:val="00153B94"/>
    <w:rsid w:val="00155AF1"/>
    <w:rsid w:val="001572F9"/>
    <w:rsid w:val="00157A4D"/>
    <w:rsid w:val="00160628"/>
    <w:rsid w:val="00160C26"/>
    <w:rsid w:val="00160DB6"/>
    <w:rsid w:val="00161344"/>
    <w:rsid w:val="00162195"/>
    <w:rsid w:val="001626ED"/>
    <w:rsid w:val="0016322A"/>
    <w:rsid w:val="00165A21"/>
    <w:rsid w:val="00167A17"/>
    <w:rsid w:val="001705CE"/>
    <w:rsid w:val="0017486D"/>
    <w:rsid w:val="0017714B"/>
    <w:rsid w:val="001804DF"/>
    <w:rsid w:val="00181BDC"/>
    <w:rsid w:val="00181DB0"/>
    <w:rsid w:val="001829E3"/>
    <w:rsid w:val="001924C0"/>
    <w:rsid w:val="0019474D"/>
    <w:rsid w:val="0019731E"/>
    <w:rsid w:val="001A09FE"/>
    <w:rsid w:val="001A5CF5"/>
    <w:rsid w:val="001A6224"/>
    <w:rsid w:val="001A67C9"/>
    <w:rsid w:val="001A69DE"/>
    <w:rsid w:val="001A713C"/>
    <w:rsid w:val="001B1C7C"/>
    <w:rsid w:val="001B2750"/>
    <w:rsid w:val="001B3977"/>
    <w:rsid w:val="001B398F"/>
    <w:rsid w:val="001B46C6"/>
    <w:rsid w:val="001B4A82"/>
    <w:rsid w:val="001B4B48"/>
    <w:rsid w:val="001B4D1F"/>
    <w:rsid w:val="001B7681"/>
    <w:rsid w:val="001B7CAE"/>
    <w:rsid w:val="001C0772"/>
    <w:rsid w:val="001C0D4F"/>
    <w:rsid w:val="001C1BA3"/>
    <w:rsid w:val="001C1DEC"/>
    <w:rsid w:val="001C289C"/>
    <w:rsid w:val="001C5736"/>
    <w:rsid w:val="001D1DCE"/>
    <w:rsid w:val="001D647F"/>
    <w:rsid w:val="001D6857"/>
    <w:rsid w:val="001D7C11"/>
    <w:rsid w:val="001D7E01"/>
    <w:rsid w:val="001E0572"/>
    <w:rsid w:val="001E0A67"/>
    <w:rsid w:val="001E1028"/>
    <w:rsid w:val="001E14E2"/>
    <w:rsid w:val="001E6302"/>
    <w:rsid w:val="001E7DCB"/>
    <w:rsid w:val="001F3344"/>
    <w:rsid w:val="001F3411"/>
    <w:rsid w:val="001F4287"/>
    <w:rsid w:val="001F438C"/>
    <w:rsid w:val="001F452D"/>
    <w:rsid w:val="001F4DBA"/>
    <w:rsid w:val="002027AC"/>
    <w:rsid w:val="0020415E"/>
    <w:rsid w:val="00204FF4"/>
    <w:rsid w:val="00207374"/>
    <w:rsid w:val="00207EAB"/>
    <w:rsid w:val="002102CD"/>
    <w:rsid w:val="0021056E"/>
    <w:rsid w:val="0021075D"/>
    <w:rsid w:val="00210BEB"/>
    <w:rsid w:val="0021165A"/>
    <w:rsid w:val="00211BC9"/>
    <w:rsid w:val="00212707"/>
    <w:rsid w:val="00215E90"/>
    <w:rsid w:val="0021620C"/>
    <w:rsid w:val="002167F8"/>
    <w:rsid w:val="00216E78"/>
    <w:rsid w:val="00217275"/>
    <w:rsid w:val="00227E2A"/>
    <w:rsid w:val="00236F4B"/>
    <w:rsid w:val="00241B99"/>
    <w:rsid w:val="00242B0D"/>
    <w:rsid w:val="00243D87"/>
    <w:rsid w:val="002467C6"/>
    <w:rsid w:val="0024692A"/>
    <w:rsid w:val="00252BBA"/>
    <w:rsid w:val="00253123"/>
    <w:rsid w:val="002602A3"/>
    <w:rsid w:val="002602D3"/>
    <w:rsid w:val="00264001"/>
    <w:rsid w:val="00266354"/>
    <w:rsid w:val="00267A18"/>
    <w:rsid w:val="00273462"/>
    <w:rsid w:val="0027395B"/>
    <w:rsid w:val="00275854"/>
    <w:rsid w:val="00282224"/>
    <w:rsid w:val="002836DC"/>
    <w:rsid w:val="00283B41"/>
    <w:rsid w:val="00283D7B"/>
    <w:rsid w:val="00285808"/>
    <w:rsid w:val="00285F28"/>
    <w:rsid w:val="00286398"/>
    <w:rsid w:val="0028705E"/>
    <w:rsid w:val="00292665"/>
    <w:rsid w:val="002A3C42"/>
    <w:rsid w:val="002A5D75"/>
    <w:rsid w:val="002B1B1A"/>
    <w:rsid w:val="002B613A"/>
    <w:rsid w:val="002B7228"/>
    <w:rsid w:val="002C30C0"/>
    <w:rsid w:val="002C53EE"/>
    <w:rsid w:val="002C5F52"/>
    <w:rsid w:val="002D24F7"/>
    <w:rsid w:val="002D2799"/>
    <w:rsid w:val="002D2CD7"/>
    <w:rsid w:val="002D4DDC"/>
    <w:rsid w:val="002D4F75"/>
    <w:rsid w:val="002D548A"/>
    <w:rsid w:val="002D595E"/>
    <w:rsid w:val="002D6493"/>
    <w:rsid w:val="002D7AB6"/>
    <w:rsid w:val="002E06D0"/>
    <w:rsid w:val="002E3C27"/>
    <w:rsid w:val="002E403A"/>
    <w:rsid w:val="002E6840"/>
    <w:rsid w:val="002E7F3A"/>
    <w:rsid w:val="002F027B"/>
    <w:rsid w:val="002F4EDB"/>
    <w:rsid w:val="002F6054"/>
    <w:rsid w:val="002F6FA4"/>
    <w:rsid w:val="003019B3"/>
    <w:rsid w:val="0031070D"/>
    <w:rsid w:val="00310E13"/>
    <w:rsid w:val="00312F87"/>
    <w:rsid w:val="00314A96"/>
    <w:rsid w:val="00315713"/>
    <w:rsid w:val="003166A0"/>
    <w:rsid w:val="0031686C"/>
    <w:rsid w:val="00316FE0"/>
    <w:rsid w:val="0031775F"/>
    <w:rsid w:val="003204D2"/>
    <w:rsid w:val="003207E3"/>
    <w:rsid w:val="00321EB9"/>
    <w:rsid w:val="0032605E"/>
    <w:rsid w:val="0032758F"/>
    <w:rsid w:val="003275D1"/>
    <w:rsid w:val="00330B2A"/>
    <w:rsid w:val="00331E17"/>
    <w:rsid w:val="00333063"/>
    <w:rsid w:val="003408E3"/>
    <w:rsid w:val="00343480"/>
    <w:rsid w:val="00345E89"/>
    <w:rsid w:val="0035014D"/>
    <w:rsid w:val="003522A1"/>
    <w:rsid w:val="0035254B"/>
    <w:rsid w:val="00353555"/>
    <w:rsid w:val="003565D4"/>
    <w:rsid w:val="003607FB"/>
    <w:rsid w:val="00360FD5"/>
    <w:rsid w:val="0036277D"/>
    <w:rsid w:val="0036340D"/>
    <w:rsid w:val="003634A5"/>
    <w:rsid w:val="00366868"/>
    <w:rsid w:val="00367506"/>
    <w:rsid w:val="0036765C"/>
    <w:rsid w:val="00370085"/>
    <w:rsid w:val="003744A7"/>
    <w:rsid w:val="00376235"/>
    <w:rsid w:val="00376FD0"/>
    <w:rsid w:val="00381FB6"/>
    <w:rsid w:val="003836D3"/>
    <w:rsid w:val="00383A52"/>
    <w:rsid w:val="00384B1B"/>
    <w:rsid w:val="003855AE"/>
    <w:rsid w:val="00386B08"/>
    <w:rsid w:val="00391652"/>
    <w:rsid w:val="003939E5"/>
    <w:rsid w:val="0039507F"/>
    <w:rsid w:val="003A04AF"/>
    <w:rsid w:val="003A1260"/>
    <w:rsid w:val="003A295F"/>
    <w:rsid w:val="003A41DD"/>
    <w:rsid w:val="003A655F"/>
    <w:rsid w:val="003A6D71"/>
    <w:rsid w:val="003A7033"/>
    <w:rsid w:val="003B15FE"/>
    <w:rsid w:val="003B47FE"/>
    <w:rsid w:val="003B5082"/>
    <w:rsid w:val="003B5673"/>
    <w:rsid w:val="003B6287"/>
    <w:rsid w:val="003B62C9"/>
    <w:rsid w:val="003B6A93"/>
    <w:rsid w:val="003C44BA"/>
    <w:rsid w:val="003C7176"/>
    <w:rsid w:val="003D0929"/>
    <w:rsid w:val="003D2E5C"/>
    <w:rsid w:val="003D4729"/>
    <w:rsid w:val="003D6559"/>
    <w:rsid w:val="003D7DD6"/>
    <w:rsid w:val="003E10D3"/>
    <w:rsid w:val="003E4A73"/>
    <w:rsid w:val="003E5AAF"/>
    <w:rsid w:val="003E600D"/>
    <w:rsid w:val="003E64DF"/>
    <w:rsid w:val="003E6A5D"/>
    <w:rsid w:val="003F0D39"/>
    <w:rsid w:val="003F193A"/>
    <w:rsid w:val="003F4146"/>
    <w:rsid w:val="003F4207"/>
    <w:rsid w:val="003F5C46"/>
    <w:rsid w:val="003F7CBB"/>
    <w:rsid w:val="003F7D34"/>
    <w:rsid w:val="004007DC"/>
    <w:rsid w:val="004022AB"/>
    <w:rsid w:val="00403F29"/>
    <w:rsid w:val="00412C8E"/>
    <w:rsid w:val="0041518D"/>
    <w:rsid w:val="00420B5F"/>
    <w:rsid w:val="0042221D"/>
    <w:rsid w:val="0042325B"/>
    <w:rsid w:val="00424DD3"/>
    <w:rsid w:val="004269C5"/>
    <w:rsid w:val="004319B6"/>
    <w:rsid w:val="00435939"/>
    <w:rsid w:val="00437CC7"/>
    <w:rsid w:val="00440AD4"/>
    <w:rsid w:val="0044238D"/>
    <w:rsid w:val="00442B9C"/>
    <w:rsid w:val="00443580"/>
    <w:rsid w:val="00445EFA"/>
    <w:rsid w:val="004465CC"/>
    <w:rsid w:val="0044738A"/>
    <w:rsid w:val="004473D3"/>
    <w:rsid w:val="00450BBB"/>
    <w:rsid w:val="00452231"/>
    <w:rsid w:val="00453824"/>
    <w:rsid w:val="00460C13"/>
    <w:rsid w:val="00462401"/>
    <w:rsid w:val="00462626"/>
    <w:rsid w:val="00462A76"/>
    <w:rsid w:val="00463228"/>
    <w:rsid w:val="00463606"/>
    <w:rsid w:val="00463782"/>
    <w:rsid w:val="004667E0"/>
    <w:rsid w:val="0046760E"/>
    <w:rsid w:val="00470E10"/>
    <w:rsid w:val="00471E73"/>
    <w:rsid w:val="00477A97"/>
    <w:rsid w:val="00481343"/>
    <w:rsid w:val="0048549E"/>
    <w:rsid w:val="004902E7"/>
    <w:rsid w:val="00493347"/>
    <w:rsid w:val="00496092"/>
    <w:rsid w:val="0049618C"/>
    <w:rsid w:val="004A08DB"/>
    <w:rsid w:val="004A25D0"/>
    <w:rsid w:val="004A37E8"/>
    <w:rsid w:val="004A5CF0"/>
    <w:rsid w:val="004A609F"/>
    <w:rsid w:val="004A7549"/>
    <w:rsid w:val="004B09D4"/>
    <w:rsid w:val="004B309D"/>
    <w:rsid w:val="004B330A"/>
    <w:rsid w:val="004B60DC"/>
    <w:rsid w:val="004B7C8E"/>
    <w:rsid w:val="004C3D3C"/>
    <w:rsid w:val="004D0EDC"/>
    <w:rsid w:val="004D1220"/>
    <w:rsid w:val="004D14B3"/>
    <w:rsid w:val="004D1529"/>
    <w:rsid w:val="004D2253"/>
    <w:rsid w:val="004D3C2B"/>
    <w:rsid w:val="004D5514"/>
    <w:rsid w:val="004D56C3"/>
    <w:rsid w:val="004E0338"/>
    <w:rsid w:val="004E4FF3"/>
    <w:rsid w:val="004E56A8"/>
    <w:rsid w:val="004E5A4D"/>
    <w:rsid w:val="004F222F"/>
    <w:rsid w:val="004F3B55"/>
    <w:rsid w:val="004F4E46"/>
    <w:rsid w:val="004F6B7D"/>
    <w:rsid w:val="00500B85"/>
    <w:rsid w:val="005015F6"/>
    <w:rsid w:val="00501783"/>
    <w:rsid w:val="00501E7D"/>
    <w:rsid w:val="005030C4"/>
    <w:rsid w:val="005031C5"/>
    <w:rsid w:val="00504FDC"/>
    <w:rsid w:val="0050715B"/>
    <w:rsid w:val="00507E75"/>
    <w:rsid w:val="005120CC"/>
    <w:rsid w:val="00512B7B"/>
    <w:rsid w:val="00514EA1"/>
    <w:rsid w:val="005165EB"/>
    <w:rsid w:val="00517672"/>
    <w:rsid w:val="0051798B"/>
    <w:rsid w:val="00521F5A"/>
    <w:rsid w:val="0052257C"/>
    <w:rsid w:val="00525E06"/>
    <w:rsid w:val="00526454"/>
    <w:rsid w:val="00527E99"/>
    <w:rsid w:val="00531823"/>
    <w:rsid w:val="00534ECC"/>
    <w:rsid w:val="00536E4C"/>
    <w:rsid w:val="0053720D"/>
    <w:rsid w:val="00540EF5"/>
    <w:rsid w:val="00541BF3"/>
    <w:rsid w:val="00541CD3"/>
    <w:rsid w:val="00543433"/>
    <w:rsid w:val="00543D1B"/>
    <w:rsid w:val="00544C89"/>
    <w:rsid w:val="005457FA"/>
    <w:rsid w:val="005476FA"/>
    <w:rsid w:val="00554D4D"/>
    <w:rsid w:val="0055595E"/>
    <w:rsid w:val="00557221"/>
    <w:rsid w:val="00557988"/>
    <w:rsid w:val="00562C49"/>
    <w:rsid w:val="00562DEF"/>
    <w:rsid w:val="0056321A"/>
    <w:rsid w:val="005635DE"/>
    <w:rsid w:val="00563A35"/>
    <w:rsid w:val="00566596"/>
    <w:rsid w:val="005671E7"/>
    <w:rsid w:val="00572513"/>
    <w:rsid w:val="005741E9"/>
    <w:rsid w:val="005744B6"/>
    <w:rsid w:val="005748CF"/>
    <w:rsid w:val="005774DC"/>
    <w:rsid w:val="00582073"/>
    <w:rsid w:val="00584270"/>
    <w:rsid w:val="00584738"/>
    <w:rsid w:val="005851F0"/>
    <w:rsid w:val="005920B0"/>
    <w:rsid w:val="0059380D"/>
    <w:rsid w:val="00595A8F"/>
    <w:rsid w:val="005977C2"/>
    <w:rsid w:val="00597BF2"/>
    <w:rsid w:val="005A418D"/>
    <w:rsid w:val="005B134E"/>
    <w:rsid w:val="005B2039"/>
    <w:rsid w:val="005B2570"/>
    <w:rsid w:val="005B2B21"/>
    <w:rsid w:val="005B344F"/>
    <w:rsid w:val="005B3FBA"/>
    <w:rsid w:val="005B4A1D"/>
    <w:rsid w:val="005B674D"/>
    <w:rsid w:val="005C0CBE"/>
    <w:rsid w:val="005C1FCF"/>
    <w:rsid w:val="005D11C0"/>
    <w:rsid w:val="005D1885"/>
    <w:rsid w:val="005D2475"/>
    <w:rsid w:val="005D3705"/>
    <w:rsid w:val="005D3D8F"/>
    <w:rsid w:val="005D4A38"/>
    <w:rsid w:val="005E2EEA"/>
    <w:rsid w:val="005E3708"/>
    <w:rsid w:val="005E3CCD"/>
    <w:rsid w:val="005E3D6B"/>
    <w:rsid w:val="005E4338"/>
    <w:rsid w:val="005E5B55"/>
    <w:rsid w:val="005E5E4A"/>
    <w:rsid w:val="005E693D"/>
    <w:rsid w:val="005E69D7"/>
    <w:rsid w:val="005E75BF"/>
    <w:rsid w:val="005E7DBA"/>
    <w:rsid w:val="005F3334"/>
    <w:rsid w:val="005F57BA"/>
    <w:rsid w:val="005F61E6"/>
    <w:rsid w:val="005F6C45"/>
    <w:rsid w:val="005F766E"/>
    <w:rsid w:val="00605A69"/>
    <w:rsid w:val="00606C54"/>
    <w:rsid w:val="00607F75"/>
    <w:rsid w:val="00610FE8"/>
    <w:rsid w:val="00614375"/>
    <w:rsid w:val="00614391"/>
    <w:rsid w:val="00615B0A"/>
    <w:rsid w:val="006168CF"/>
    <w:rsid w:val="0062011B"/>
    <w:rsid w:val="00626DE0"/>
    <w:rsid w:val="00627253"/>
    <w:rsid w:val="00630901"/>
    <w:rsid w:val="00631196"/>
    <w:rsid w:val="00631F8E"/>
    <w:rsid w:val="006324C9"/>
    <w:rsid w:val="00636EE9"/>
    <w:rsid w:val="00637777"/>
    <w:rsid w:val="00640950"/>
    <w:rsid w:val="00641AE7"/>
    <w:rsid w:val="00642629"/>
    <w:rsid w:val="00645B6F"/>
    <w:rsid w:val="0065293D"/>
    <w:rsid w:val="00653EFC"/>
    <w:rsid w:val="00654021"/>
    <w:rsid w:val="00656717"/>
    <w:rsid w:val="00661045"/>
    <w:rsid w:val="006618D6"/>
    <w:rsid w:val="0066479D"/>
    <w:rsid w:val="00666DA8"/>
    <w:rsid w:val="00671057"/>
    <w:rsid w:val="00671E4C"/>
    <w:rsid w:val="00673D45"/>
    <w:rsid w:val="00675AAF"/>
    <w:rsid w:val="0068031A"/>
    <w:rsid w:val="00681B2F"/>
    <w:rsid w:val="0068335F"/>
    <w:rsid w:val="00687217"/>
    <w:rsid w:val="00693302"/>
    <w:rsid w:val="0069640B"/>
    <w:rsid w:val="006A1A0A"/>
    <w:rsid w:val="006A1B83"/>
    <w:rsid w:val="006A21CD"/>
    <w:rsid w:val="006A5918"/>
    <w:rsid w:val="006A6465"/>
    <w:rsid w:val="006B21B2"/>
    <w:rsid w:val="006B4A4A"/>
    <w:rsid w:val="006B7695"/>
    <w:rsid w:val="006C19B2"/>
    <w:rsid w:val="006C2C4A"/>
    <w:rsid w:val="006C4409"/>
    <w:rsid w:val="006C5BB8"/>
    <w:rsid w:val="006C6936"/>
    <w:rsid w:val="006C6A20"/>
    <w:rsid w:val="006C7B01"/>
    <w:rsid w:val="006D0FE8"/>
    <w:rsid w:val="006D334B"/>
    <w:rsid w:val="006D349A"/>
    <w:rsid w:val="006D4B2B"/>
    <w:rsid w:val="006D4F3C"/>
    <w:rsid w:val="006D5C66"/>
    <w:rsid w:val="006E1B3C"/>
    <w:rsid w:val="006E23FB"/>
    <w:rsid w:val="006E325A"/>
    <w:rsid w:val="006E33EC"/>
    <w:rsid w:val="006E3802"/>
    <w:rsid w:val="006E6C02"/>
    <w:rsid w:val="006F1011"/>
    <w:rsid w:val="006F15B3"/>
    <w:rsid w:val="006F231A"/>
    <w:rsid w:val="006F6B55"/>
    <w:rsid w:val="006F788D"/>
    <w:rsid w:val="006F78E1"/>
    <w:rsid w:val="00701072"/>
    <w:rsid w:val="00702054"/>
    <w:rsid w:val="007035A4"/>
    <w:rsid w:val="00707DBC"/>
    <w:rsid w:val="00711799"/>
    <w:rsid w:val="00712B78"/>
    <w:rsid w:val="0071393B"/>
    <w:rsid w:val="00713EE2"/>
    <w:rsid w:val="007177FC"/>
    <w:rsid w:val="00720C5E"/>
    <w:rsid w:val="007216D5"/>
    <w:rsid w:val="00721701"/>
    <w:rsid w:val="007251E8"/>
    <w:rsid w:val="00731835"/>
    <w:rsid w:val="007324FA"/>
    <w:rsid w:val="007341F8"/>
    <w:rsid w:val="00734372"/>
    <w:rsid w:val="00734EB8"/>
    <w:rsid w:val="00735F8B"/>
    <w:rsid w:val="007405B1"/>
    <w:rsid w:val="00742D1F"/>
    <w:rsid w:val="00743EBA"/>
    <w:rsid w:val="00744C8E"/>
    <w:rsid w:val="0074707E"/>
    <w:rsid w:val="00750056"/>
    <w:rsid w:val="007516DC"/>
    <w:rsid w:val="00752E58"/>
    <w:rsid w:val="00754B80"/>
    <w:rsid w:val="00756527"/>
    <w:rsid w:val="00761918"/>
    <w:rsid w:val="00762F03"/>
    <w:rsid w:val="0076413B"/>
    <w:rsid w:val="007648AE"/>
    <w:rsid w:val="00764BF8"/>
    <w:rsid w:val="0076514D"/>
    <w:rsid w:val="007668B1"/>
    <w:rsid w:val="00773AA3"/>
    <w:rsid w:val="00773D59"/>
    <w:rsid w:val="0077403A"/>
    <w:rsid w:val="00781003"/>
    <w:rsid w:val="00783B3E"/>
    <w:rsid w:val="007911FD"/>
    <w:rsid w:val="00793930"/>
    <w:rsid w:val="00793DD1"/>
    <w:rsid w:val="00794647"/>
    <w:rsid w:val="00794FEC"/>
    <w:rsid w:val="00795387"/>
    <w:rsid w:val="007A003E"/>
    <w:rsid w:val="007A1965"/>
    <w:rsid w:val="007A2DCA"/>
    <w:rsid w:val="007A2ED1"/>
    <w:rsid w:val="007A4BE6"/>
    <w:rsid w:val="007B0DC6"/>
    <w:rsid w:val="007B1094"/>
    <w:rsid w:val="007B1762"/>
    <w:rsid w:val="007B3320"/>
    <w:rsid w:val="007C0DFB"/>
    <w:rsid w:val="007C301F"/>
    <w:rsid w:val="007C4540"/>
    <w:rsid w:val="007C65AF"/>
    <w:rsid w:val="007D135D"/>
    <w:rsid w:val="007D6C59"/>
    <w:rsid w:val="007D730F"/>
    <w:rsid w:val="007D7CD8"/>
    <w:rsid w:val="007E3AA7"/>
    <w:rsid w:val="007E3FB4"/>
    <w:rsid w:val="007E6D5D"/>
    <w:rsid w:val="007F02A1"/>
    <w:rsid w:val="007F737D"/>
    <w:rsid w:val="00802775"/>
    <w:rsid w:val="0080308E"/>
    <w:rsid w:val="00803386"/>
    <w:rsid w:val="00805303"/>
    <w:rsid w:val="00806705"/>
    <w:rsid w:val="00806738"/>
    <w:rsid w:val="00814EAD"/>
    <w:rsid w:val="008216D5"/>
    <w:rsid w:val="00822850"/>
    <w:rsid w:val="008249CE"/>
    <w:rsid w:val="00831A50"/>
    <w:rsid w:val="00831B3C"/>
    <w:rsid w:val="00831C89"/>
    <w:rsid w:val="00832114"/>
    <w:rsid w:val="00833E3C"/>
    <w:rsid w:val="00834C46"/>
    <w:rsid w:val="0084093E"/>
    <w:rsid w:val="00841CE1"/>
    <w:rsid w:val="0084553F"/>
    <w:rsid w:val="008473D8"/>
    <w:rsid w:val="00850542"/>
    <w:rsid w:val="008528DC"/>
    <w:rsid w:val="00852B8C"/>
    <w:rsid w:val="00853E09"/>
    <w:rsid w:val="00854981"/>
    <w:rsid w:val="0085749C"/>
    <w:rsid w:val="00864B2E"/>
    <w:rsid w:val="00865963"/>
    <w:rsid w:val="00871C1D"/>
    <w:rsid w:val="0087450E"/>
    <w:rsid w:val="00874D76"/>
    <w:rsid w:val="00875543"/>
    <w:rsid w:val="00875A82"/>
    <w:rsid w:val="00876CA3"/>
    <w:rsid w:val="008772FE"/>
    <w:rsid w:val="0087754A"/>
    <w:rsid w:val="008775F1"/>
    <w:rsid w:val="008821AE"/>
    <w:rsid w:val="00883D3A"/>
    <w:rsid w:val="008854F7"/>
    <w:rsid w:val="00885A9D"/>
    <w:rsid w:val="008929D2"/>
    <w:rsid w:val="00893636"/>
    <w:rsid w:val="00893B94"/>
    <w:rsid w:val="00893BC1"/>
    <w:rsid w:val="0089401D"/>
    <w:rsid w:val="00896E9D"/>
    <w:rsid w:val="00896F11"/>
    <w:rsid w:val="008A1049"/>
    <w:rsid w:val="008A1C98"/>
    <w:rsid w:val="008A322D"/>
    <w:rsid w:val="008A490E"/>
    <w:rsid w:val="008A49F8"/>
    <w:rsid w:val="008A4D72"/>
    <w:rsid w:val="008A6285"/>
    <w:rsid w:val="008A63B2"/>
    <w:rsid w:val="008B345D"/>
    <w:rsid w:val="008B678D"/>
    <w:rsid w:val="008C1FC2"/>
    <w:rsid w:val="008C2980"/>
    <w:rsid w:val="008C345F"/>
    <w:rsid w:val="008C4DD6"/>
    <w:rsid w:val="008C5AFB"/>
    <w:rsid w:val="008C7406"/>
    <w:rsid w:val="008C74F7"/>
    <w:rsid w:val="008C7701"/>
    <w:rsid w:val="008D07FB"/>
    <w:rsid w:val="008D0C02"/>
    <w:rsid w:val="008D2AE2"/>
    <w:rsid w:val="008D357D"/>
    <w:rsid w:val="008D435A"/>
    <w:rsid w:val="008E387B"/>
    <w:rsid w:val="008E4E65"/>
    <w:rsid w:val="008E6087"/>
    <w:rsid w:val="008E758D"/>
    <w:rsid w:val="008F10A7"/>
    <w:rsid w:val="008F755D"/>
    <w:rsid w:val="008F7A39"/>
    <w:rsid w:val="009009A0"/>
    <w:rsid w:val="009021E8"/>
    <w:rsid w:val="00904677"/>
    <w:rsid w:val="00904E98"/>
    <w:rsid w:val="00905EE2"/>
    <w:rsid w:val="00906B0A"/>
    <w:rsid w:val="00911440"/>
    <w:rsid w:val="00911712"/>
    <w:rsid w:val="00911B27"/>
    <w:rsid w:val="00912472"/>
    <w:rsid w:val="009170BE"/>
    <w:rsid w:val="00920B55"/>
    <w:rsid w:val="009238DB"/>
    <w:rsid w:val="009262C9"/>
    <w:rsid w:val="00926398"/>
    <w:rsid w:val="009263A6"/>
    <w:rsid w:val="00930E0F"/>
    <w:rsid w:val="00930EB9"/>
    <w:rsid w:val="00933DC7"/>
    <w:rsid w:val="00936BFC"/>
    <w:rsid w:val="009418F4"/>
    <w:rsid w:val="00941B29"/>
    <w:rsid w:val="00942BBC"/>
    <w:rsid w:val="00944180"/>
    <w:rsid w:val="00944AA0"/>
    <w:rsid w:val="00945F3F"/>
    <w:rsid w:val="00946629"/>
    <w:rsid w:val="00947DA2"/>
    <w:rsid w:val="00947F10"/>
    <w:rsid w:val="00951177"/>
    <w:rsid w:val="0095465B"/>
    <w:rsid w:val="009668A5"/>
    <w:rsid w:val="009673E8"/>
    <w:rsid w:val="00974DB8"/>
    <w:rsid w:val="00980661"/>
    <w:rsid w:val="0098093B"/>
    <w:rsid w:val="00985426"/>
    <w:rsid w:val="009876D4"/>
    <w:rsid w:val="009909F4"/>
    <w:rsid w:val="009914A5"/>
    <w:rsid w:val="00991B88"/>
    <w:rsid w:val="0099548E"/>
    <w:rsid w:val="00996456"/>
    <w:rsid w:val="00996A12"/>
    <w:rsid w:val="00997B0F"/>
    <w:rsid w:val="009A0CC3"/>
    <w:rsid w:val="009A1CAD"/>
    <w:rsid w:val="009A3440"/>
    <w:rsid w:val="009A4839"/>
    <w:rsid w:val="009A5832"/>
    <w:rsid w:val="009A6838"/>
    <w:rsid w:val="009B24B5"/>
    <w:rsid w:val="009B4EBC"/>
    <w:rsid w:val="009B5ABB"/>
    <w:rsid w:val="009B6E14"/>
    <w:rsid w:val="009B73CE"/>
    <w:rsid w:val="009B7FA7"/>
    <w:rsid w:val="009C2461"/>
    <w:rsid w:val="009C2A40"/>
    <w:rsid w:val="009C6FE2"/>
    <w:rsid w:val="009C7674"/>
    <w:rsid w:val="009D004A"/>
    <w:rsid w:val="009D067F"/>
    <w:rsid w:val="009D5880"/>
    <w:rsid w:val="009E1FD4"/>
    <w:rsid w:val="009E3B07"/>
    <w:rsid w:val="009E51D1"/>
    <w:rsid w:val="009E5531"/>
    <w:rsid w:val="009E5F54"/>
    <w:rsid w:val="009F171E"/>
    <w:rsid w:val="009F3521"/>
    <w:rsid w:val="009F3D2F"/>
    <w:rsid w:val="009F7052"/>
    <w:rsid w:val="00A0070A"/>
    <w:rsid w:val="00A02668"/>
    <w:rsid w:val="00A02801"/>
    <w:rsid w:val="00A06A39"/>
    <w:rsid w:val="00A07F58"/>
    <w:rsid w:val="00A131CB"/>
    <w:rsid w:val="00A1437A"/>
    <w:rsid w:val="00A14847"/>
    <w:rsid w:val="00A161F3"/>
    <w:rsid w:val="00A16D6D"/>
    <w:rsid w:val="00A17775"/>
    <w:rsid w:val="00A21383"/>
    <w:rsid w:val="00A21494"/>
    <w:rsid w:val="00A2199F"/>
    <w:rsid w:val="00A21B31"/>
    <w:rsid w:val="00A2360E"/>
    <w:rsid w:val="00A26A68"/>
    <w:rsid w:val="00A26D5A"/>
    <w:rsid w:val="00A26E0C"/>
    <w:rsid w:val="00A26FE7"/>
    <w:rsid w:val="00A30159"/>
    <w:rsid w:val="00A32FCB"/>
    <w:rsid w:val="00A341E3"/>
    <w:rsid w:val="00A34C25"/>
    <w:rsid w:val="00A3507D"/>
    <w:rsid w:val="00A3717A"/>
    <w:rsid w:val="00A4088C"/>
    <w:rsid w:val="00A4351A"/>
    <w:rsid w:val="00A4456B"/>
    <w:rsid w:val="00A448D4"/>
    <w:rsid w:val="00A452E0"/>
    <w:rsid w:val="00A46E67"/>
    <w:rsid w:val="00A51EA5"/>
    <w:rsid w:val="00A53742"/>
    <w:rsid w:val="00A557A1"/>
    <w:rsid w:val="00A5663F"/>
    <w:rsid w:val="00A63059"/>
    <w:rsid w:val="00A63AE3"/>
    <w:rsid w:val="00A64964"/>
    <w:rsid w:val="00A651A4"/>
    <w:rsid w:val="00A71361"/>
    <w:rsid w:val="00A71FFE"/>
    <w:rsid w:val="00A746E2"/>
    <w:rsid w:val="00A7764D"/>
    <w:rsid w:val="00A81FF2"/>
    <w:rsid w:val="00A83904"/>
    <w:rsid w:val="00A85C25"/>
    <w:rsid w:val="00A85C5D"/>
    <w:rsid w:val="00A90A79"/>
    <w:rsid w:val="00A92AE1"/>
    <w:rsid w:val="00A93AA0"/>
    <w:rsid w:val="00A95C25"/>
    <w:rsid w:val="00A96B30"/>
    <w:rsid w:val="00AA59B5"/>
    <w:rsid w:val="00AA7777"/>
    <w:rsid w:val="00AA7B84"/>
    <w:rsid w:val="00AB41D4"/>
    <w:rsid w:val="00AC0B4C"/>
    <w:rsid w:val="00AC1164"/>
    <w:rsid w:val="00AC2296"/>
    <w:rsid w:val="00AC2754"/>
    <w:rsid w:val="00AC2818"/>
    <w:rsid w:val="00AC2CBF"/>
    <w:rsid w:val="00AC48B0"/>
    <w:rsid w:val="00AC4ACD"/>
    <w:rsid w:val="00AC5DFB"/>
    <w:rsid w:val="00AD13DC"/>
    <w:rsid w:val="00AD6DE2"/>
    <w:rsid w:val="00AE0A40"/>
    <w:rsid w:val="00AE18EB"/>
    <w:rsid w:val="00AE1ED4"/>
    <w:rsid w:val="00AE21E1"/>
    <w:rsid w:val="00AE2F8D"/>
    <w:rsid w:val="00AE3BAE"/>
    <w:rsid w:val="00AE6A21"/>
    <w:rsid w:val="00AE782B"/>
    <w:rsid w:val="00AF1C8F"/>
    <w:rsid w:val="00AF2B68"/>
    <w:rsid w:val="00AF2C92"/>
    <w:rsid w:val="00AF3EC1"/>
    <w:rsid w:val="00AF4889"/>
    <w:rsid w:val="00AF5025"/>
    <w:rsid w:val="00AF519F"/>
    <w:rsid w:val="00AF5387"/>
    <w:rsid w:val="00AF55F5"/>
    <w:rsid w:val="00AF7E86"/>
    <w:rsid w:val="00B024B9"/>
    <w:rsid w:val="00B077FA"/>
    <w:rsid w:val="00B127D7"/>
    <w:rsid w:val="00B12DFB"/>
    <w:rsid w:val="00B13B0C"/>
    <w:rsid w:val="00B1453A"/>
    <w:rsid w:val="00B16127"/>
    <w:rsid w:val="00B179C5"/>
    <w:rsid w:val="00B20276"/>
    <w:rsid w:val="00B20F82"/>
    <w:rsid w:val="00B22613"/>
    <w:rsid w:val="00B230EB"/>
    <w:rsid w:val="00B23151"/>
    <w:rsid w:val="00B25BD5"/>
    <w:rsid w:val="00B2745C"/>
    <w:rsid w:val="00B34079"/>
    <w:rsid w:val="00B3793A"/>
    <w:rsid w:val="00B401BA"/>
    <w:rsid w:val="00B407E4"/>
    <w:rsid w:val="00B425B6"/>
    <w:rsid w:val="00B42A72"/>
    <w:rsid w:val="00B43B48"/>
    <w:rsid w:val="00B441AE"/>
    <w:rsid w:val="00B44B84"/>
    <w:rsid w:val="00B45A65"/>
    <w:rsid w:val="00B45F33"/>
    <w:rsid w:val="00B46D50"/>
    <w:rsid w:val="00B473A9"/>
    <w:rsid w:val="00B53170"/>
    <w:rsid w:val="00B548B9"/>
    <w:rsid w:val="00B556B7"/>
    <w:rsid w:val="00B56DBE"/>
    <w:rsid w:val="00B60703"/>
    <w:rsid w:val="00B62999"/>
    <w:rsid w:val="00B63BE3"/>
    <w:rsid w:val="00B64885"/>
    <w:rsid w:val="00B66810"/>
    <w:rsid w:val="00B72BE3"/>
    <w:rsid w:val="00B73B80"/>
    <w:rsid w:val="00B770C7"/>
    <w:rsid w:val="00B808DB"/>
    <w:rsid w:val="00B80F26"/>
    <w:rsid w:val="00B822BD"/>
    <w:rsid w:val="00B842F4"/>
    <w:rsid w:val="00B84F5F"/>
    <w:rsid w:val="00B91A7B"/>
    <w:rsid w:val="00B929DD"/>
    <w:rsid w:val="00B934A6"/>
    <w:rsid w:val="00B93AF6"/>
    <w:rsid w:val="00B95405"/>
    <w:rsid w:val="00B95C2B"/>
    <w:rsid w:val="00B963F1"/>
    <w:rsid w:val="00BA020A"/>
    <w:rsid w:val="00BA199F"/>
    <w:rsid w:val="00BB025A"/>
    <w:rsid w:val="00BB02A4"/>
    <w:rsid w:val="00BB1270"/>
    <w:rsid w:val="00BB146B"/>
    <w:rsid w:val="00BB1E44"/>
    <w:rsid w:val="00BB5267"/>
    <w:rsid w:val="00BB52B8"/>
    <w:rsid w:val="00BB59D8"/>
    <w:rsid w:val="00BB7E69"/>
    <w:rsid w:val="00BC01CB"/>
    <w:rsid w:val="00BC0E51"/>
    <w:rsid w:val="00BC3C1F"/>
    <w:rsid w:val="00BC74F9"/>
    <w:rsid w:val="00BC7CE7"/>
    <w:rsid w:val="00BC7F75"/>
    <w:rsid w:val="00BD295E"/>
    <w:rsid w:val="00BD4664"/>
    <w:rsid w:val="00BD57D6"/>
    <w:rsid w:val="00BE1193"/>
    <w:rsid w:val="00BE6606"/>
    <w:rsid w:val="00BF31D8"/>
    <w:rsid w:val="00BF4849"/>
    <w:rsid w:val="00BF4CB8"/>
    <w:rsid w:val="00BF4EA7"/>
    <w:rsid w:val="00C00EDB"/>
    <w:rsid w:val="00C02863"/>
    <w:rsid w:val="00C0383A"/>
    <w:rsid w:val="00C067FF"/>
    <w:rsid w:val="00C12862"/>
    <w:rsid w:val="00C13D28"/>
    <w:rsid w:val="00C14585"/>
    <w:rsid w:val="00C165A0"/>
    <w:rsid w:val="00C216CE"/>
    <w:rsid w:val="00C2184F"/>
    <w:rsid w:val="00C22A24"/>
    <w:rsid w:val="00C22A78"/>
    <w:rsid w:val="00C23C7E"/>
    <w:rsid w:val="00C246C5"/>
    <w:rsid w:val="00C25A82"/>
    <w:rsid w:val="00C27F1E"/>
    <w:rsid w:val="00C3096A"/>
    <w:rsid w:val="00C30A2A"/>
    <w:rsid w:val="00C33993"/>
    <w:rsid w:val="00C361C2"/>
    <w:rsid w:val="00C36926"/>
    <w:rsid w:val="00C4022D"/>
    <w:rsid w:val="00C4069E"/>
    <w:rsid w:val="00C41ADC"/>
    <w:rsid w:val="00C44149"/>
    <w:rsid w:val="00C44375"/>
    <w:rsid w:val="00C44410"/>
    <w:rsid w:val="00C44A15"/>
    <w:rsid w:val="00C4630A"/>
    <w:rsid w:val="00C523F0"/>
    <w:rsid w:val="00C526D2"/>
    <w:rsid w:val="00C53A91"/>
    <w:rsid w:val="00C5794E"/>
    <w:rsid w:val="00C60968"/>
    <w:rsid w:val="00C60A9E"/>
    <w:rsid w:val="00C62D3B"/>
    <w:rsid w:val="00C632C4"/>
    <w:rsid w:val="00C63D39"/>
    <w:rsid w:val="00C63EDD"/>
    <w:rsid w:val="00C65B36"/>
    <w:rsid w:val="00C70F2C"/>
    <w:rsid w:val="00C7292E"/>
    <w:rsid w:val="00C74E88"/>
    <w:rsid w:val="00C80924"/>
    <w:rsid w:val="00C80B90"/>
    <w:rsid w:val="00C815BC"/>
    <w:rsid w:val="00C8286B"/>
    <w:rsid w:val="00C87445"/>
    <w:rsid w:val="00C91433"/>
    <w:rsid w:val="00C947F8"/>
    <w:rsid w:val="00C9515F"/>
    <w:rsid w:val="00C963C5"/>
    <w:rsid w:val="00CA030C"/>
    <w:rsid w:val="00CA1F41"/>
    <w:rsid w:val="00CA32EE"/>
    <w:rsid w:val="00CA4960"/>
    <w:rsid w:val="00CA5771"/>
    <w:rsid w:val="00CA6289"/>
    <w:rsid w:val="00CA6A1A"/>
    <w:rsid w:val="00CA727D"/>
    <w:rsid w:val="00CA7FD9"/>
    <w:rsid w:val="00CB2E0E"/>
    <w:rsid w:val="00CB77C6"/>
    <w:rsid w:val="00CC1E75"/>
    <w:rsid w:val="00CC1EE1"/>
    <w:rsid w:val="00CC2E0E"/>
    <w:rsid w:val="00CC361C"/>
    <w:rsid w:val="00CC474B"/>
    <w:rsid w:val="00CC587A"/>
    <w:rsid w:val="00CC658C"/>
    <w:rsid w:val="00CC67BF"/>
    <w:rsid w:val="00CC6C83"/>
    <w:rsid w:val="00CD0843"/>
    <w:rsid w:val="00CD2D1E"/>
    <w:rsid w:val="00CD324C"/>
    <w:rsid w:val="00CD3975"/>
    <w:rsid w:val="00CD4E31"/>
    <w:rsid w:val="00CD5A78"/>
    <w:rsid w:val="00CD7345"/>
    <w:rsid w:val="00CE0C02"/>
    <w:rsid w:val="00CE372E"/>
    <w:rsid w:val="00CE3AFE"/>
    <w:rsid w:val="00CE6B2C"/>
    <w:rsid w:val="00CF0A1B"/>
    <w:rsid w:val="00CF19F6"/>
    <w:rsid w:val="00CF2F4F"/>
    <w:rsid w:val="00CF536D"/>
    <w:rsid w:val="00CF5C2F"/>
    <w:rsid w:val="00CF7F91"/>
    <w:rsid w:val="00D018F3"/>
    <w:rsid w:val="00D02E9D"/>
    <w:rsid w:val="00D10CB8"/>
    <w:rsid w:val="00D12806"/>
    <w:rsid w:val="00D12D44"/>
    <w:rsid w:val="00D15018"/>
    <w:rsid w:val="00D158AC"/>
    <w:rsid w:val="00D1694C"/>
    <w:rsid w:val="00D20828"/>
    <w:rsid w:val="00D20F5E"/>
    <w:rsid w:val="00D23B76"/>
    <w:rsid w:val="00D24B4A"/>
    <w:rsid w:val="00D379A3"/>
    <w:rsid w:val="00D42278"/>
    <w:rsid w:val="00D45FF3"/>
    <w:rsid w:val="00D512CF"/>
    <w:rsid w:val="00D528B9"/>
    <w:rsid w:val="00D53186"/>
    <w:rsid w:val="00D5487D"/>
    <w:rsid w:val="00D551DD"/>
    <w:rsid w:val="00D60140"/>
    <w:rsid w:val="00D6024A"/>
    <w:rsid w:val="00D608B5"/>
    <w:rsid w:val="00D63A30"/>
    <w:rsid w:val="00D64739"/>
    <w:rsid w:val="00D65918"/>
    <w:rsid w:val="00D71F99"/>
    <w:rsid w:val="00D73CA4"/>
    <w:rsid w:val="00D73D71"/>
    <w:rsid w:val="00D74396"/>
    <w:rsid w:val="00D80284"/>
    <w:rsid w:val="00D81F71"/>
    <w:rsid w:val="00D82368"/>
    <w:rsid w:val="00D82E6E"/>
    <w:rsid w:val="00D83199"/>
    <w:rsid w:val="00D836D5"/>
    <w:rsid w:val="00D8642D"/>
    <w:rsid w:val="00D90552"/>
    <w:rsid w:val="00D90A5E"/>
    <w:rsid w:val="00D91A68"/>
    <w:rsid w:val="00D95A68"/>
    <w:rsid w:val="00DA17C7"/>
    <w:rsid w:val="00DA48A3"/>
    <w:rsid w:val="00DA59F5"/>
    <w:rsid w:val="00DA6A9A"/>
    <w:rsid w:val="00DB12CF"/>
    <w:rsid w:val="00DB1EFD"/>
    <w:rsid w:val="00DB3EAF"/>
    <w:rsid w:val="00DB46C6"/>
    <w:rsid w:val="00DC0231"/>
    <w:rsid w:val="00DC29A2"/>
    <w:rsid w:val="00DC3203"/>
    <w:rsid w:val="00DC3C99"/>
    <w:rsid w:val="00DC52F5"/>
    <w:rsid w:val="00DC5FD0"/>
    <w:rsid w:val="00DC7EBC"/>
    <w:rsid w:val="00DD0344"/>
    <w:rsid w:val="00DD0354"/>
    <w:rsid w:val="00DD0EF1"/>
    <w:rsid w:val="00DD14AA"/>
    <w:rsid w:val="00DD27D7"/>
    <w:rsid w:val="00DD458C"/>
    <w:rsid w:val="00DD45E4"/>
    <w:rsid w:val="00DD72E9"/>
    <w:rsid w:val="00DD7605"/>
    <w:rsid w:val="00DD7E65"/>
    <w:rsid w:val="00DE0AB3"/>
    <w:rsid w:val="00DE2020"/>
    <w:rsid w:val="00DE3476"/>
    <w:rsid w:val="00DE7860"/>
    <w:rsid w:val="00DE7BEA"/>
    <w:rsid w:val="00DF48B7"/>
    <w:rsid w:val="00DF5B84"/>
    <w:rsid w:val="00DF6D5B"/>
    <w:rsid w:val="00DF771B"/>
    <w:rsid w:val="00DF7EE2"/>
    <w:rsid w:val="00E00848"/>
    <w:rsid w:val="00E0094A"/>
    <w:rsid w:val="00E01BAA"/>
    <w:rsid w:val="00E0282A"/>
    <w:rsid w:val="00E02F9B"/>
    <w:rsid w:val="00E07E14"/>
    <w:rsid w:val="00E13003"/>
    <w:rsid w:val="00E136AE"/>
    <w:rsid w:val="00E147EB"/>
    <w:rsid w:val="00E14F94"/>
    <w:rsid w:val="00E17336"/>
    <w:rsid w:val="00E17D15"/>
    <w:rsid w:val="00E2026E"/>
    <w:rsid w:val="00E22B95"/>
    <w:rsid w:val="00E24CCF"/>
    <w:rsid w:val="00E271E4"/>
    <w:rsid w:val="00E30331"/>
    <w:rsid w:val="00E30BB8"/>
    <w:rsid w:val="00E31F9C"/>
    <w:rsid w:val="00E32F15"/>
    <w:rsid w:val="00E40488"/>
    <w:rsid w:val="00E46DB5"/>
    <w:rsid w:val="00E50367"/>
    <w:rsid w:val="00E51ABA"/>
    <w:rsid w:val="00E524CB"/>
    <w:rsid w:val="00E529AB"/>
    <w:rsid w:val="00E52ECF"/>
    <w:rsid w:val="00E65456"/>
    <w:rsid w:val="00E65A91"/>
    <w:rsid w:val="00E66188"/>
    <w:rsid w:val="00E664FB"/>
    <w:rsid w:val="00E672F0"/>
    <w:rsid w:val="00E70373"/>
    <w:rsid w:val="00E72E40"/>
    <w:rsid w:val="00E73665"/>
    <w:rsid w:val="00E73999"/>
    <w:rsid w:val="00E73BDC"/>
    <w:rsid w:val="00E73E9E"/>
    <w:rsid w:val="00E81660"/>
    <w:rsid w:val="00E854FE"/>
    <w:rsid w:val="00E8586B"/>
    <w:rsid w:val="00E906CC"/>
    <w:rsid w:val="00E91135"/>
    <w:rsid w:val="00E939A0"/>
    <w:rsid w:val="00E948DB"/>
    <w:rsid w:val="00E94957"/>
    <w:rsid w:val="00E969C7"/>
    <w:rsid w:val="00E96ADD"/>
    <w:rsid w:val="00E97E4E"/>
    <w:rsid w:val="00EA1CC2"/>
    <w:rsid w:val="00EA2D76"/>
    <w:rsid w:val="00EA31C9"/>
    <w:rsid w:val="00EA4644"/>
    <w:rsid w:val="00EA758A"/>
    <w:rsid w:val="00EB096F"/>
    <w:rsid w:val="00EB199F"/>
    <w:rsid w:val="00EB1F3C"/>
    <w:rsid w:val="00EB27C4"/>
    <w:rsid w:val="00EB2895"/>
    <w:rsid w:val="00EB40BF"/>
    <w:rsid w:val="00EB5387"/>
    <w:rsid w:val="00EB5C10"/>
    <w:rsid w:val="00EB7322"/>
    <w:rsid w:val="00EB74B0"/>
    <w:rsid w:val="00EC0FE9"/>
    <w:rsid w:val="00EC198B"/>
    <w:rsid w:val="00EC426D"/>
    <w:rsid w:val="00EC571B"/>
    <w:rsid w:val="00EC57D7"/>
    <w:rsid w:val="00EC6385"/>
    <w:rsid w:val="00ED0AD5"/>
    <w:rsid w:val="00ED17EF"/>
    <w:rsid w:val="00ED18B2"/>
    <w:rsid w:val="00ED1DE9"/>
    <w:rsid w:val="00ED23D4"/>
    <w:rsid w:val="00ED3908"/>
    <w:rsid w:val="00ED5B60"/>
    <w:rsid w:val="00ED5E0B"/>
    <w:rsid w:val="00ED7345"/>
    <w:rsid w:val="00ED7604"/>
    <w:rsid w:val="00EE02BF"/>
    <w:rsid w:val="00EE07FD"/>
    <w:rsid w:val="00EE37B6"/>
    <w:rsid w:val="00EE5F6C"/>
    <w:rsid w:val="00EF0F45"/>
    <w:rsid w:val="00EF2D13"/>
    <w:rsid w:val="00EF4118"/>
    <w:rsid w:val="00EF7463"/>
    <w:rsid w:val="00EF7971"/>
    <w:rsid w:val="00F002EF"/>
    <w:rsid w:val="00F00BF4"/>
    <w:rsid w:val="00F01EE9"/>
    <w:rsid w:val="00F04900"/>
    <w:rsid w:val="00F065A4"/>
    <w:rsid w:val="00F126B9"/>
    <w:rsid w:val="00F12715"/>
    <w:rsid w:val="00F133D0"/>
    <w:rsid w:val="00F144D5"/>
    <w:rsid w:val="00F146F0"/>
    <w:rsid w:val="00F15039"/>
    <w:rsid w:val="00F20FF3"/>
    <w:rsid w:val="00F2190B"/>
    <w:rsid w:val="00F228B5"/>
    <w:rsid w:val="00F2389C"/>
    <w:rsid w:val="00F24707"/>
    <w:rsid w:val="00F25C67"/>
    <w:rsid w:val="00F30DFF"/>
    <w:rsid w:val="00F32B80"/>
    <w:rsid w:val="00F340EB"/>
    <w:rsid w:val="00F35285"/>
    <w:rsid w:val="00F370FA"/>
    <w:rsid w:val="00F40726"/>
    <w:rsid w:val="00F43B9D"/>
    <w:rsid w:val="00F43F0E"/>
    <w:rsid w:val="00F44D5E"/>
    <w:rsid w:val="00F53A35"/>
    <w:rsid w:val="00F55A3D"/>
    <w:rsid w:val="00F56642"/>
    <w:rsid w:val="00F569EA"/>
    <w:rsid w:val="00F5744B"/>
    <w:rsid w:val="00F61209"/>
    <w:rsid w:val="00F62106"/>
    <w:rsid w:val="00F6259E"/>
    <w:rsid w:val="00F6406A"/>
    <w:rsid w:val="00F64598"/>
    <w:rsid w:val="00F64FFA"/>
    <w:rsid w:val="00F65DD4"/>
    <w:rsid w:val="00F672B2"/>
    <w:rsid w:val="00F70B69"/>
    <w:rsid w:val="00F759A7"/>
    <w:rsid w:val="00F83973"/>
    <w:rsid w:val="00F86401"/>
    <w:rsid w:val="00F87BA4"/>
    <w:rsid w:val="00F87FA3"/>
    <w:rsid w:val="00F90E7E"/>
    <w:rsid w:val="00F91EB1"/>
    <w:rsid w:val="00F93D8C"/>
    <w:rsid w:val="00FA2427"/>
    <w:rsid w:val="00FA3102"/>
    <w:rsid w:val="00FA48D4"/>
    <w:rsid w:val="00FA54FA"/>
    <w:rsid w:val="00FA6339"/>
    <w:rsid w:val="00FA6D39"/>
    <w:rsid w:val="00FB227E"/>
    <w:rsid w:val="00FB3D61"/>
    <w:rsid w:val="00FB44CE"/>
    <w:rsid w:val="00FB5009"/>
    <w:rsid w:val="00FB76AB"/>
    <w:rsid w:val="00FC3DAA"/>
    <w:rsid w:val="00FD03FE"/>
    <w:rsid w:val="00FD126E"/>
    <w:rsid w:val="00FD3C36"/>
    <w:rsid w:val="00FD4D81"/>
    <w:rsid w:val="00FD7498"/>
    <w:rsid w:val="00FD7FB3"/>
    <w:rsid w:val="00FE4713"/>
    <w:rsid w:val="00FF1F44"/>
    <w:rsid w:val="00FF225E"/>
    <w:rsid w:val="00FF4AFD"/>
    <w:rsid w:val="00FF672C"/>
    <w:rsid w:val="00FF6CE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CE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1" w:qFormat="1"/>
    <w:lsdException w:name="heading 2" w:uiPriority="9"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B096F"/>
    <w:pPr>
      <w:spacing w:line="480" w:lineRule="auto"/>
    </w:pPr>
    <w:rPr>
      <w:sz w:val="24"/>
      <w:szCs w:val="24"/>
    </w:rPr>
  </w:style>
  <w:style w:type="paragraph" w:styleId="Titolo1">
    <w:name w:val="heading 1"/>
    <w:basedOn w:val="Normale"/>
    <w:next w:val="Paragraph"/>
    <w:link w:val="Titolo1Carattere"/>
    <w:qFormat/>
    <w:rsid w:val="00AE1ED4"/>
    <w:pPr>
      <w:keepNext/>
      <w:spacing w:before="360" w:after="60" w:line="360" w:lineRule="auto"/>
      <w:ind w:right="567"/>
      <w:contextualSpacing/>
      <w:outlineLvl w:val="0"/>
    </w:pPr>
    <w:rPr>
      <w:rFonts w:cs="Arial"/>
      <w:b/>
      <w:bCs/>
      <w:kern w:val="32"/>
      <w:szCs w:val="32"/>
    </w:rPr>
  </w:style>
  <w:style w:type="paragraph" w:styleId="Titolo2">
    <w:name w:val="heading 2"/>
    <w:basedOn w:val="Normale"/>
    <w:next w:val="Paragraph"/>
    <w:link w:val="Titolo2Carattere"/>
    <w:uiPriority w:val="9"/>
    <w:qFormat/>
    <w:rsid w:val="008D07FB"/>
    <w:pPr>
      <w:keepNext/>
      <w:spacing w:before="360" w:after="60" w:line="360" w:lineRule="auto"/>
      <w:ind w:right="567"/>
      <w:contextualSpacing/>
      <w:outlineLvl w:val="1"/>
    </w:pPr>
    <w:rPr>
      <w:rFonts w:cs="Arial"/>
      <w:b/>
      <w:bCs/>
      <w:i/>
      <w:iCs/>
      <w:szCs w:val="28"/>
    </w:rPr>
  </w:style>
  <w:style w:type="paragraph" w:styleId="Titolo3">
    <w:name w:val="heading 3"/>
    <w:basedOn w:val="Normale"/>
    <w:next w:val="Paragraph"/>
    <w:link w:val="Titolo3Carattere"/>
    <w:qFormat/>
    <w:rsid w:val="00DF7EE2"/>
    <w:pPr>
      <w:keepNext/>
      <w:spacing w:before="360" w:after="60" w:line="360" w:lineRule="auto"/>
      <w:ind w:right="567"/>
      <w:contextualSpacing/>
      <w:outlineLvl w:val="2"/>
    </w:pPr>
    <w:rPr>
      <w:rFonts w:cs="Arial"/>
      <w:bCs/>
      <w:i/>
      <w:szCs w:val="26"/>
    </w:rPr>
  </w:style>
  <w:style w:type="paragraph" w:styleId="Titolo4">
    <w:name w:val="heading 4"/>
    <w:basedOn w:val="Paragraph"/>
    <w:next w:val="Newparagraph"/>
    <w:link w:val="Titolo4Carattere"/>
    <w:rsid w:val="00F43B9D"/>
    <w:pPr>
      <w:spacing w:before="360"/>
      <w:outlineLvl w:val="3"/>
    </w:pPr>
    <w:rPr>
      <w:bCs/>
      <w:szCs w:val="28"/>
    </w:rPr>
  </w:style>
  <w:style w:type="paragraph" w:styleId="Titolo5">
    <w:name w:val="heading 5"/>
    <w:basedOn w:val="Normale"/>
    <w:next w:val="Normale"/>
    <w:link w:val="Titolo5Carattere"/>
    <w:rsid w:val="00946629"/>
    <w:pPr>
      <w:keepNext/>
      <w:keepLines/>
      <w:spacing w:before="4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Articletitle">
    <w:name w:val="Article title"/>
    <w:basedOn w:val="Normale"/>
    <w:next w:val="Normale"/>
    <w:qFormat/>
    <w:rsid w:val="0024692A"/>
    <w:pPr>
      <w:spacing w:after="120" w:line="360" w:lineRule="auto"/>
    </w:pPr>
    <w:rPr>
      <w:b/>
      <w:sz w:val="28"/>
    </w:rPr>
  </w:style>
  <w:style w:type="paragraph" w:customStyle="1" w:styleId="Authornames">
    <w:name w:val="Author names"/>
    <w:basedOn w:val="Normale"/>
    <w:next w:val="Normale"/>
    <w:qFormat/>
    <w:rsid w:val="00F04900"/>
    <w:pPr>
      <w:spacing w:before="240" w:line="360" w:lineRule="auto"/>
    </w:pPr>
    <w:rPr>
      <w:sz w:val="28"/>
    </w:rPr>
  </w:style>
  <w:style w:type="paragraph" w:customStyle="1" w:styleId="Affiliation">
    <w:name w:val="Affiliation"/>
    <w:basedOn w:val="Normale"/>
    <w:qFormat/>
    <w:rsid w:val="00F04900"/>
    <w:pPr>
      <w:spacing w:before="240" w:line="360" w:lineRule="auto"/>
    </w:pPr>
    <w:rPr>
      <w:i/>
    </w:rPr>
  </w:style>
  <w:style w:type="paragraph" w:customStyle="1" w:styleId="Receiveddates">
    <w:name w:val="Received dates"/>
    <w:basedOn w:val="Affiliation"/>
    <w:next w:val="Normale"/>
    <w:qFormat/>
    <w:rsid w:val="00CC474B"/>
  </w:style>
  <w:style w:type="paragraph" w:customStyle="1" w:styleId="Abstract">
    <w:name w:val="Abstract"/>
    <w:basedOn w:val="Normale"/>
    <w:next w:val="Keywords"/>
    <w:qFormat/>
    <w:rsid w:val="00310E13"/>
    <w:pPr>
      <w:spacing w:before="360" w:after="300" w:line="360" w:lineRule="auto"/>
      <w:ind w:left="720" w:right="567"/>
    </w:pPr>
    <w:rPr>
      <w:sz w:val="22"/>
    </w:rPr>
  </w:style>
  <w:style w:type="paragraph" w:customStyle="1" w:styleId="Keywords">
    <w:name w:val="Keywords"/>
    <w:basedOn w:val="Normale"/>
    <w:next w:val="Paragraph"/>
    <w:qFormat/>
    <w:rsid w:val="00BB1270"/>
    <w:pPr>
      <w:spacing w:before="240" w:after="240" w:line="360" w:lineRule="auto"/>
      <w:ind w:left="720" w:right="567"/>
    </w:pPr>
    <w:rPr>
      <w:sz w:val="22"/>
    </w:rPr>
  </w:style>
  <w:style w:type="paragraph" w:customStyle="1" w:styleId="Correspondencedetails">
    <w:name w:val="Correspondence details"/>
    <w:basedOn w:val="Normale"/>
    <w:qFormat/>
    <w:rsid w:val="00F04900"/>
    <w:pPr>
      <w:spacing w:before="240" w:line="360" w:lineRule="auto"/>
    </w:pPr>
  </w:style>
  <w:style w:type="paragraph" w:customStyle="1" w:styleId="Displayedquotation">
    <w:name w:val="Displayed quotation"/>
    <w:basedOn w:val="Normale"/>
    <w:qFormat/>
    <w:rsid w:val="00731835"/>
    <w:pPr>
      <w:tabs>
        <w:tab w:val="left" w:pos="1077"/>
        <w:tab w:val="left" w:pos="1440"/>
        <w:tab w:val="left" w:pos="1797"/>
        <w:tab w:val="left" w:pos="2155"/>
        <w:tab w:val="left" w:pos="2512"/>
      </w:tabs>
      <w:spacing w:before="240" w:after="360" w:line="360" w:lineRule="auto"/>
      <w:ind w:left="709" w:right="425"/>
      <w:contextualSpacing/>
    </w:pPr>
    <w:rPr>
      <w:sz w:val="22"/>
    </w:rPr>
  </w:style>
  <w:style w:type="paragraph" w:customStyle="1" w:styleId="Numberedlist">
    <w:name w:val="Numbered list"/>
    <w:basedOn w:val="Paragraph"/>
    <w:next w:val="Paragraph"/>
    <w:qFormat/>
    <w:rsid w:val="00D80284"/>
    <w:pPr>
      <w:widowControl/>
      <w:numPr>
        <w:numId w:val="24"/>
      </w:numPr>
      <w:spacing w:after="240"/>
      <w:contextualSpacing/>
    </w:pPr>
  </w:style>
  <w:style w:type="paragraph" w:customStyle="1" w:styleId="Displayedequation">
    <w:name w:val="Displayed equation"/>
    <w:basedOn w:val="Normale"/>
    <w:next w:val="Paragraph"/>
    <w:qFormat/>
    <w:rsid w:val="00EF0F45"/>
    <w:pPr>
      <w:tabs>
        <w:tab w:val="center" w:pos="4253"/>
        <w:tab w:val="right" w:pos="8222"/>
      </w:tabs>
      <w:spacing w:before="240" w:after="240"/>
      <w:jc w:val="center"/>
    </w:pPr>
  </w:style>
  <w:style w:type="paragraph" w:customStyle="1" w:styleId="Acknowledgements">
    <w:name w:val="Acknowledgements"/>
    <w:basedOn w:val="Normale"/>
    <w:next w:val="Normale"/>
    <w:qFormat/>
    <w:rsid w:val="00D379A3"/>
    <w:pPr>
      <w:spacing w:before="120" w:line="360" w:lineRule="auto"/>
    </w:pPr>
    <w:rPr>
      <w:sz w:val="22"/>
    </w:rPr>
  </w:style>
  <w:style w:type="paragraph" w:customStyle="1" w:styleId="Tabletitle">
    <w:name w:val="Table title"/>
    <w:basedOn w:val="Normale"/>
    <w:next w:val="Normale"/>
    <w:qFormat/>
    <w:rsid w:val="0031686C"/>
    <w:pPr>
      <w:spacing w:before="240" w:line="360" w:lineRule="auto"/>
    </w:pPr>
  </w:style>
  <w:style w:type="paragraph" w:customStyle="1" w:styleId="Figurecaption">
    <w:name w:val="Figure caption"/>
    <w:basedOn w:val="Normale"/>
    <w:next w:val="Normale"/>
    <w:qFormat/>
    <w:rsid w:val="0031686C"/>
    <w:pPr>
      <w:spacing w:before="240" w:line="360" w:lineRule="auto"/>
    </w:pPr>
  </w:style>
  <w:style w:type="paragraph" w:customStyle="1" w:styleId="Footnotes">
    <w:name w:val="Footnotes"/>
    <w:basedOn w:val="Normale"/>
    <w:qFormat/>
    <w:rsid w:val="00773AA3"/>
    <w:pPr>
      <w:widowControl w:val="0"/>
      <w:spacing w:before="120" w:line="360" w:lineRule="auto"/>
      <w:ind w:left="482" w:hanging="482"/>
      <w:contextualSpacing/>
    </w:pPr>
    <w:rPr>
      <w:sz w:val="22"/>
    </w:rPr>
  </w:style>
  <w:style w:type="paragraph" w:customStyle="1" w:styleId="Notesoncontributors">
    <w:name w:val="Notes on contributors"/>
    <w:basedOn w:val="Normale"/>
    <w:qFormat/>
    <w:rsid w:val="00F04900"/>
    <w:pPr>
      <w:spacing w:before="240" w:line="360" w:lineRule="auto"/>
    </w:pPr>
    <w:rPr>
      <w:sz w:val="22"/>
    </w:rPr>
  </w:style>
  <w:style w:type="paragraph" w:customStyle="1" w:styleId="Normalparagraphstyle">
    <w:name w:val="Normal paragraph style"/>
    <w:basedOn w:val="Normale"/>
    <w:next w:val="Normale"/>
    <w:rsid w:val="00562DEF"/>
  </w:style>
  <w:style w:type="paragraph" w:customStyle="1" w:styleId="Paragraph">
    <w:name w:val="Paragraph"/>
    <w:basedOn w:val="Normale"/>
    <w:next w:val="Newparagraph"/>
    <w:qFormat/>
    <w:rsid w:val="001B7681"/>
    <w:pPr>
      <w:widowControl w:val="0"/>
      <w:spacing w:before="240"/>
    </w:pPr>
  </w:style>
  <w:style w:type="paragraph" w:customStyle="1" w:styleId="Newparagraph">
    <w:name w:val="New paragraph"/>
    <w:basedOn w:val="Normale"/>
    <w:qFormat/>
    <w:rsid w:val="00AE2F8D"/>
    <w:pPr>
      <w:ind w:firstLine="720"/>
    </w:pPr>
  </w:style>
  <w:style w:type="paragraph" w:styleId="Rientronormale">
    <w:name w:val="Normal Indent"/>
    <w:basedOn w:val="Normale"/>
    <w:rsid w:val="00526454"/>
    <w:pPr>
      <w:ind w:left="720"/>
    </w:pPr>
  </w:style>
  <w:style w:type="paragraph" w:customStyle="1" w:styleId="References">
    <w:name w:val="References"/>
    <w:basedOn w:val="Normale"/>
    <w:qFormat/>
    <w:rsid w:val="002C53EE"/>
    <w:pPr>
      <w:spacing w:before="120" w:line="360" w:lineRule="auto"/>
      <w:ind w:left="720" w:hanging="720"/>
      <w:contextualSpacing/>
    </w:pPr>
  </w:style>
  <w:style w:type="paragraph" w:customStyle="1" w:styleId="Subjectcodes">
    <w:name w:val="Subject codes"/>
    <w:basedOn w:val="Keywords"/>
    <w:next w:val="Paragraph"/>
    <w:qFormat/>
    <w:rsid w:val="0000681B"/>
  </w:style>
  <w:style w:type="character" w:customStyle="1" w:styleId="Titolo2Carattere">
    <w:name w:val="Titolo 2 Carattere"/>
    <w:basedOn w:val="Carpredefinitoparagrafo"/>
    <w:link w:val="Titolo2"/>
    <w:rsid w:val="008D07FB"/>
    <w:rPr>
      <w:rFonts w:cs="Arial"/>
      <w:b/>
      <w:bCs/>
      <w:i/>
      <w:iCs/>
      <w:sz w:val="24"/>
      <w:szCs w:val="28"/>
    </w:rPr>
  </w:style>
  <w:style w:type="character" w:customStyle="1" w:styleId="Titolo1Carattere">
    <w:name w:val="Titolo 1 Carattere"/>
    <w:basedOn w:val="Carpredefinitoparagrafo"/>
    <w:link w:val="Titolo1"/>
    <w:rsid w:val="00AE1ED4"/>
    <w:rPr>
      <w:rFonts w:cs="Arial"/>
      <w:b/>
      <w:bCs/>
      <w:kern w:val="32"/>
      <w:sz w:val="24"/>
      <w:szCs w:val="32"/>
    </w:rPr>
  </w:style>
  <w:style w:type="character" w:customStyle="1" w:styleId="Titolo3Carattere">
    <w:name w:val="Titolo 3 Carattere"/>
    <w:basedOn w:val="Carpredefinitoparagrafo"/>
    <w:link w:val="Titolo3"/>
    <w:rsid w:val="00DF7EE2"/>
    <w:rPr>
      <w:rFonts w:eastAsia="Times New Roman" w:cs="Arial"/>
      <w:bCs/>
      <w:i/>
      <w:sz w:val="24"/>
      <w:szCs w:val="26"/>
      <w:lang w:eastAsia="en-GB"/>
    </w:rPr>
  </w:style>
  <w:style w:type="paragraph" w:customStyle="1" w:styleId="Bulletedlist">
    <w:name w:val="Bulleted list"/>
    <w:basedOn w:val="Paragraph"/>
    <w:next w:val="Paragraph"/>
    <w:qFormat/>
    <w:rsid w:val="004E0338"/>
    <w:pPr>
      <w:widowControl/>
      <w:numPr>
        <w:numId w:val="28"/>
      </w:numPr>
      <w:spacing w:after="240"/>
      <w:contextualSpacing/>
    </w:pPr>
  </w:style>
  <w:style w:type="paragraph" w:styleId="Testonotaapidipagina">
    <w:name w:val="footnote text"/>
    <w:aliases w:val="Testo nota a piè di pagina Carattere Carattere,Testo nota a piè di pagina Carattere1 Carattere,Testo nota a piè di pagina Carattere Carattere Carattere Carattere,stile 1,Footnote,Footnote1,Footnote2,Footnote3,Footnote4,Footnot"/>
    <w:basedOn w:val="Normale"/>
    <w:link w:val="TestonotaapidipaginaCarattere"/>
    <w:autoRedefine/>
    <w:uiPriority w:val="99"/>
    <w:qFormat/>
    <w:rsid w:val="005F3334"/>
    <w:pPr>
      <w:ind w:left="284" w:hanging="284"/>
    </w:pPr>
    <w:rPr>
      <w:sz w:val="22"/>
      <w:szCs w:val="20"/>
    </w:rPr>
  </w:style>
  <w:style w:type="character" w:customStyle="1" w:styleId="TestonotaapidipaginaCarattere">
    <w:name w:val="Testo nota a piè di pagina Carattere"/>
    <w:aliases w:val="Testo nota a piè di pagina Carattere Carattere Carattere,Testo nota a piè di pagina Carattere1 Carattere Carattere,Testo nota a piè di pagina Carattere Carattere Carattere Carattere Carattere,stile 1 Carattere"/>
    <w:basedOn w:val="Carpredefinitoparagrafo"/>
    <w:link w:val="Testonotaapidipagina"/>
    <w:uiPriority w:val="99"/>
    <w:rsid w:val="005F3334"/>
    <w:rPr>
      <w:sz w:val="22"/>
    </w:rPr>
  </w:style>
  <w:style w:type="character" w:styleId="Rimandonotaapidipagina">
    <w:name w:val="footnote reference"/>
    <w:basedOn w:val="Carpredefinitoparagrafo"/>
    <w:uiPriority w:val="99"/>
    <w:rsid w:val="00AF2C92"/>
    <w:rPr>
      <w:vertAlign w:val="superscript"/>
    </w:rPr>
  </w:style>
  <w:style w:type="paragraph" w:styleId="Testonotadichiusura">
    <w:name w:val="endnote text"/>
    <w:basedOn w:val="Normale"/>
    <w:link w:val="TestonotadichiusuraCarattere"/>
    <w:autoRedefine/>
    <w:rsid w:val="006C19B2"/>
    <w:pPr>
      <w:ind w:left="284" w:hanging="284"/>
    </w:pPr>
    <w:rPr>
      <w:sz w:val="22"/>
      <w:szCs w:val="20"/>
    </w:rPr>
  </w:style>
  <w:style w:type="character" w:customStyle="1" w:styleId="TestonotadichiusuraCarattere">
    <w:name w:val="Testo nota di chiusura Carattere"/>
    <w:basedOn w:val="Carpredefinitoparagrafo"/>
    <w:link w:val="Testonotadichiusura"/>
    <w:rsid w:val="006C19B2"/>
    <w:rPr>
      <w:sz w:val="22"/>
    </w:rPr>
  </w:style>
  <w:style w:type="character" w:styleId="Rimandonotadichiusura">
    <w:name w:val="endnote reference"/>
    <w:basedOn w:val="Carpredefinitoparagrafo"/>
    <w:rsid w:val="00EC571B"/>
    <w:rPr>
      <w:vertAlign w:val="superscript"/>
    </w:rPr>
  </w:style>
  <w:style w:type="character" w:customStyle="1" w:styleId="Titolo4Carattere">
    <w:name w:val="Titolo 4 Carattere"/>
    <w:basedOn w:val="Carpredefinitoparagrafo"/>
    <w:link w:val="Titolo4"/>
    <w:rsid w:val="00F43B9D"/>
    <w:rPr>
      <w:bCs/>
      <w:sz w:val="24"/>
      <w:szCs w:val="28"/>
    </w:rPr>
  </w:style>
  <w:style w:type="paragraph" w:styleId="Intestazione">
    <w:name w:val="header"/>
    <w:basedOn w:val="Normale"/>
    <w:link w:val="IntestazioneCarattere"/>
    <w:rsid w:val="003F193A"/>
    <w:pPr>
      <w:tabs>
        <w:tab w:val="center" w:pos="4320"/>
        <w:tab w:val="right" w:pos="8640"/>
      </w:tabs>
      <w:spacing w:after="120" w:line="240" w:lineRule="auto"/>
      <w:contextualSpacing/>
    </w:pPr>
  </w:style>
  <w:style w:type="character" w:customStyle="1" w:styleId="IntestazioneCarattere">
    <w:name w:val="Intestazione Carattere"/>
    <w:basedOn w:val="Carpredefinitoparagrafo"/>
    <w:link w:val="Intestazione"/>
    <w:rsid w:val="003F193A"/>
    <w:rPr>
      <w:rFonts w:eastAsia="Times New Roman"/>
      <w:sz w:val="24"/>
      <w:szCs w:val="24"/>
      <w:lang w:eastAsia="en-GB"/>
    </w:rPr>
  </w:style>
  <w:style w:type="paragraph" w:styleId="Pidipagina">
    <w:name w:val="footer"/>
    <w:basedOn w:val="Normale"/>
    <w:link w:val="PidipaginaCarattere"/>
    <w:uiPriority w:val="99"/>
    <w:rsid w:val="00AE6A21"/>
    <w:pPr>
      <w:tabs>
        <w:tab w:val="center" w:pos="4320"/>
        <w:tab w:val="right" w:pos="8640"/>
      </w:tabs>
      <w:spacing w:before="240" w:line="240" w:lineRule="auto"/>
      <w:contextualSpacing/>
    </w:pPr>
  </w:style>
  <w:style w:type="character" w:customStyle="1" w:styleId="PidipaginaCarattere">
    <w:name w:val="Piè di pagina Carattere"/>
    <w:basedOn w:val="Carpredefinitoparagrafo"/>
    <w:link w:val="Pidipagina"/>
    <w:uiPriority w:val="99"/>
    <w:rsid w:val="00AE6A21"/>
    <w:rPr>
      <w:sz w:val="24"/>
      <w:szCs w:val="24"/>
    </w:rPr>
  </w:style>
  <w:style w:type="paragraph" w:customStyle="1" w:styleId="Heading4Paragraph">
    <w:name w:val="Heading 4 + Paragraph"/>
    <w:basedOn w:val="Paragraph"/>
    <w:next w:val="Newparagraph"/>
    <w:qFormat/>
    <w:rsid w:val="00AE1ED4"/>
    <w:pPr>
      <w:widowControl/>
      <w:spacing w:before="360"/>
    </w:pPr>
  </w:style>
  <w:style w:type="paragraph" w:styleId="Didascalia">
    <w:name w:val="caption"/>
    <w:basedOn w:val="Normale"/>
    <w:next w:val="Normale"/>
    <w:link w:val="DidascaliaCarattere"/>
    <w:uiPriority w:val="99"/>
    <w:qFormat/>
    <w:rsid w:val="0035014D"/>
    <w:pPr>
      <w:keepNext/>
      <w:spacing w:before="240" w:after="120" w:line="240" w:lineRule="auto"/>
      <w:jc w:val="both"/>
    </w:pPr>
    <w:rPr>
      <w:rFonts w:eastAsia="Calibri"/>
      <w:b/>
      <w:bCs/>
      <w:color w:val="000000"/>
      <w:sz w:val="20"/>
      <w:szCs w:val="18"/>
      <w:lang w:eastAsia="en-US"/>
    </w:rPr>
  </w:style>
  <w:style w:type="character" w:customStyle="1" w:styleId="DidascaliaCarattere">
    <w:name w:val="Didascalia Carattere"/>
    <w:link w:val="Didascalia"/>
    <w:uiPriority w:val="99"/>
    <w:locked/>
    <w:rsid w:val="0035014D"/>
    <w:rPr>
      <w:rFonts w:eastAsia="Calibri"/>
      <w:b/>
      <w:bCs/>
      <w:color w:val="000000"/>
      <w:szCs w:val="18"/>
      <w:lang w:eastAsia="en-US"/>
    </w:rPr>
  </w:style>
  <w:style w:type="paragraph" w:customStyle="1" w:styleId="Fonte">
    <w:name w:val="Fonte"/>
    <w:basedOn w:val="Normale"/>
    <w:qFormat/>
    <w:rsid w:val="005F3334"/>
    <w:pPr>
      <w:autoSpaceDE w:val="0"/>
      <w:autoSpaceDN w:val="0"/>
      <w:adjustRightInd w:val="0"/>
      <w:spacing w:before="120" w:after="360" w:line="240" w:lineRule="auto"/>
      <w:contextualSpacing/>
      <w:jc w:val="both"/>
    </w:pPr>
    <w:rPr>
      <w:rFonts w:eastAsia="Calibri"/>
      <w:noProof/>
      <w:sz w:val="20"/>
      <w:szCs w:val="20"/>
      <w:lang w:eastAsia="it-IT"/>
    </w:rPr>
  </w:style>
  <w:style w:type="paragraph" w:customStyle="1" w:styleId="tab-testo">
    <w:name w:val="tab-testo"/>
    <w:basedOn w:val="Normale"/>
    <w:qFormat/>
    <w:rsid w:val="00946629"/>
    <w:pPr>
      <w:spacing w:line="240" w:lineRule="auto"/>
    </w:pPr>
    <w:rPr>
      <w:rFonts w:ascii="Arial" w:hAnsi="Arial" w:cs="Arial"/>
      <w:color w:val="000000"/>
      <w:sz w:val="16"/>
      <w:szCs w:val="18"/>
      <w:lang w:val="it-IT" w:eastAsia="it-IT"/>
    </w:rPr>
  </w:style>
  <w:style w:type="paragraph" w:customStyle="1" w:styleId="tabTITOLIi">
    <w:name w:val="tabTITOLIi"/>
    <w:basedOn w:val="Normale"/>
    <w:qFormat/>
    <w:rsid w:val="00946629"/>
    <w:pPr>
      <w:spacing w:line="240" w:lineRule="auto"/>
    </w:pPr>
    <w:rPr>
      <w:rFonts w:ascii="Arial" w:hAnsi="Arial" w:cs="Arial"/>
      <w:b/>
      <w:bCs/>
      <w:color w:val="000000"/>
      <w:sz w:val="14"/>
      <w:szCs w:val="18"/>
      <w:lang w:eastAsia="it-IT"/>
    </w:rPr>
  </w:style>
  <w:style w:type="character" w:customStyle="1" w:styleId="Titolo5Carattere">
    <w:name w:val="Titolo 5 Carattere"/>
    <w:basedOn w:val="Carpredefinitoparagrafo"/>
    <w:link w:val="Titolo5"/>
    <w:uiPriority w:val="9"/>
    <w:rsid w:val="00946629"/>
    <w:rPr>
      <w:rFonts w:asciiTheme="majorHAnsi" w:eastAsiaTheme="majorEastAsia" w:hAnsiTheme="majorHAnsi" w:cstheme="majorBidi"/>
      <w:color w:val="365F91" w:themeColor="accent1" w:themeShade="BF"/>
      <w:sz w:val="24"/>
      <w:szCs w:val="24"/>
    </w:rPr>
  </w:style>
  <w:style w:type="paragraph" w:styleId="Paragrafoelenco">
    <w:name w:val="List Paragraph"/>
    <w:basedOn w:val="Normale"/>
    <w:uiPriority w:val="34"/>
    <w:qFormat/>
    <w:rsid w:val="008C7701"/>
    <w:pPr>
      <w:numPr>
        <w:numId w:val="32"/>
      </w:numPr>
      <w:spacing w:line="360" w:lineRule="auto"/>
      <w:contextualSpacing/>
      <w:jc w:val="both"/>
    </w:pPr>
    <w:rPr>
      <w:rFonts w:eastAsia="Calibri"/>
      <w:szCs w:val="22"/>
      <w:lang w:eastAsia="en-US"/>
    </w:rPr>
  </w:style>
  <w:style w:type="paragraph" w:customStyle="1" w:styleId="Riferimentibibliografici">
    <w:name w:val="Riferimenti bibliografici"/>
    <w:basedOn w:val="Normale"/>
    <w:qFormat/>
    <w:rsid w:val="00A71FFE"/>
    <w:pPr>
      <w:spacing w:line="360" w:lineRule="auto"/>
      <w:ind w:left="567" w:hanging="567"/>
      <w:jc w:val="both"/>
    </w:pPr>
    <w:rPr>
      <w:rFonts w:eastAsia="Calibri"/>
      <w:sz w:val="20"/>
      <w:szCs w:val="22"/>
      <w:lang w:val="en-US" w:eastAsia="en-US"/>
    </w:rPr>
  </w:style>
  <w:style w:type="paragraph" w:styleId="Testofumetto">
    <w:name w:val="Balloon Text"/>
    <w:basedOn w:val="Normale"/>
    <w:link w:val="TestofumettoCarattere"/>
    <w:semiHidden/>
    <w:unhideWhenUsed/>
    <w:rsid w:val="00CB2E0E"/>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semiHidden/>
    <w:rsid w:val="00CB2E0E"/>
    <w:rPr>
      <w:rFonts w:ascii="Segoe UI" w:hAnsi="Segoe UI" w:cs="Segoe UI"/>
      <w:sz w:val="18"/>
      <w:szCs w:val="18"/>
    </w:rPr>
  </w:style>
  <w:style w:type="paragraph" w:styleId="Revisione">
    <w:name w:val="Revision"/>
    <w:hidden/>
    <w:semiHidden/>
    <w:rsid w:val="007E3FB4"/>
    <w:rPr>
      <w:sz w:val="24"/>
      <w:szCs w:val="24"/>
    </w:rPr>
  </w:style>
  <w:style w:type="character" w:styleId="Rimandocommento">
    <w:name w:val="annotation reference"/>
    <w:basedOn w:val="Carpredefinitoparagrafo"/>
    <w:semiHidden/>
    <w:unhideWhenUsed/>
    <w:rsid w:val="0001575A"/>
    <w:rPr>
      <w:sz w:val="16"/>
      <w:szCs w:val="16"/>
    </w:rPr>
  </w:style>
  <w:style w:type="paragraph" w:styleId="Testocommento">
    <w:name w:val="annotation text"/>
    <w:basedOn w:val="Normale"/>
    <w:link w:val="TestocommentoCarattere"/>
    <w:unhideWhenUsed/>
    <w:rsid w:val="0001575A"/>
    <w:pPr>
      <w:spacing w:line="240" w:lineRule="auto"/>
    </w:pPr>
    <w:rPr>
      <w:sz w:val="20"/>
      <w:szCs w:val="20"/>
    </w:rPr>
  </w:style>
  <w:style w:type="character" w:customStyle="1" w:styleId="TestocommentoCarattere">
    <w:name w:val="Testo commento Carattere"/>
    <w:basedOn w:val="Carpredefinitoparagrafo"/>
    <w:link w:val="Testocommento"/>
    <w:rsid w:val="0001575A"/>
  </w:style>
  <w:style w:type="paragraph" w:styleId="Soggettocommento">
    <w:name w:val="annotation subject"/>
    <w:basedOn w:val="Testocommento"/>
    <w:next w:val="Testocommento"/>
    <w:link w:val="SoggettocommentoCarattere"/>
    <w:semiHidden/>
    <w:unhideWhenUsed/>
    <w:rsid w:val="0001575A"/>
    <w:rPr>
      <w:b/>
      <w:bCs/>
    </w:rPr>
  </w:style>
  <w:style w:type="character" w:customStyle="1" w:styleId="SoggettocommentoCarattere">
    <w:name w:val="Soggetto commento Carattere"/>
    <w:basedOn w:val="TestocommentoCarattere"/>
    <w:link w:val="Soggettocommento"/>
    <w:semiHidden/>
    <w:rsid w:val="0001575A"/>
    <w:rPr>
      <w:b/>
      <w:bCs/>
    </w:rPr>
  </w:style>
  <w:style w:type="paragraph" w:styleId="PreformattatoHTML">
    <w:name w:val="HTML Preformatted"/>
    <w:basedOn w:val="Normale"/>
    <w:link w:val="PreformattatoHTMLCarattere"/>
    <w:uiPriority w:val="99"/>
    <w:semiHidden/>
    <w:unhideWhenUsed/>
    <w:rsid w:val="00327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it-IT" w:eastAsia="it-IT"/>
    </w:rPr>
  </w:style>
  <w:style w:type="character" w:customStyle="1" w:styleId="PreformattatoHTMLCarattere">
    <w:name w:val="Preformattato HTML Carattere"/>
    <w:basedOn w:val="Carpredefinitoparagrafo"/>
    <w:link w:val="PreformattatoHTML"/>
    <w:uiPriority w:val="99"/>
    <w:semiHidden/>
    <w:rsid w:val="0032758F"/>
    <w:rPr>
      <w:rFonts w:ascii="Courier New" w:hAnsi="Courier New" w:cs="Courier New"/>
      <w:lang w:val="it-IT" w:eastAsia="it-IT"/>
    </w:rPr>
  </w:style>
  <w:style w:type="paragraph" w:customStyle="1" w:styleId="PaperAISReBibliografia">
    <w:name w:val="PaperAISRe_Bibliografia"/>
    <w:basedOn w:val="Normale"/>
    <w:rsid w:val="002602D3"/>
    <w:pPr>
      <w:spacing w:before="60" w:after="60" w:line="280" w:lineRule="atLeast"/>
      <w:ind w:left="284" w:hanging="284"/>
      <w:jc w:val="both"/>
    </w:pPr>
    <w:rPr>
      <w:sz w:val="22"/>
      <w:szCs w:val="20"/>
      <w:lang w:val="it-IT" w:eastAsia="it-IT" w:bidi="he-IL"/>
    </w:rPr>
  </w:style>
  <w:style w:type="character" w:styleId="Collegamentoipertestuale">
    <w:name w:val="Hyperlink"/>
    <w:basedOn w:val="Carpredefinitoparagrafo"/>
    <w:unhideWhenUsed/>
    <w:rsid w:val="00FA63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359058">
      <w:bodyDiv w:val="1"/>
      <w:marLeft w:val="0"/>
      <w:marRight w:val="0"/>
      <w:marTop w:val="0"/>
      <w:marBottom w:val="0"/>
      <w:divBdr>
        <w:top w:val="none" w:sz="0" w:space="0" w:color="auto"/>
        <w:left w:val="none" w:sz="0" w:space="0" w:color="auto"/>
        <w:bottom w:val="none" w:sz="0" w:space="0" w:color="auto"/>
        <w:right w:val="none" w:sz="0" w:space="0" w:color="auto"/>
      </w:divBdr>
    </w:div>
    <w:div w:id="387189817">
      <w:bodyDiv w:val="1"/>
      <w:marLeft w:val="0"/>
      <w:marRight w:val="0"/>
      <w:marTop w:val="0"/>
      <w:marBottom w:val="0"/>
      <w:divBdr>
        <w:top w:val="none" w:sz="0" w:space="0" w:color="auto"/>
        <w:left w:val="none" w:sz="0" w:space="0" w:color="auto"/>
        <w:bottom w:val="none" w:sz="0" w:space="0" w:color="auto"/>
        <w:right w:val="none" w:sz="0" w:space="0" w:color="auto"/>
      </w:divBdr>
    </w:div>
    <w:div w:id="432894885">
      <w:bodyDiv w:val="1"/>
      <w:marLeft w:val="0"/>
      <w:marRight w:val="0"/>
      <w:marTop w:val="0"/>
      <w:marBottom w:val="0"/>
      <w:divBdr>
        <w:top w:val="none" w:sz="0" w:space="0" w:color="auto"/>
        <w:left w:val="none" w:sz="0" w:space="0" w:color="auto"/>
        <w:bottom w:val="none" w:sz="0" w:space="0" w:color="auto"/>
        <w:right w:val="none" w:sz="0" w:space="0" w:color="auto"/>
      </w:divBdr>
    </w:div>
    <w:div w:id="566958045">
      <w:bodyDiv w:val="1"/>
      <w:marLeft w:val="0"/>
      <w:marRight w:val="0"/>
      <w:marTop w:val="0"/>
      <w:marBottom w:val="0"/>
      <w:divBdr>
        <w:top w:val="none" w:sz="0" w:space="0" w:color="auto"/>
        <w:left w:val="none" w:sz="0" w:space="0" w:color="auto"/>
        <w:bottom w:val="none" w:sz="0" w:space="0" w:color="auto"/>
        <w:right w:val="none" w:sz="0" w:space="0" w:color="auto"/>
      </w:divBdr>
    </w:div>
    <w:div w:id="745566335">
      <w:bodyDiv w:val="1"/>
      <w:marLeft w:val="0"/>
      <w:marRight w:val="0"/>
      <w:marTop w:val="0"/>
      <w:marBottom w:val="0"/>
      <w:divBdr>
        <w:top w:val="none" w:sz="0" w:space="0" w:color="auto"/>
        <w:left w:val="none" w:sz="0" w:space="0" w:color="auto"/>
        <w:bottom w:val="none" w:sz="0" w:space="0" w:color="auto"/>
        <w:right w:val="none" w:sz="0" w:space="0" w:color="auto"/>
      </w:divBdr>
    </w:div>
    <w:div w:id="817840924">
      <w:bodyDiv w:val="1"/>
      <w:marLeft w:val="0"/>
      <w:marRight w:val="0"/>
      <w:marTop w:val="0"/>
      <w:marBottom w:val="0"/>
      <w:divBdr>
        <w:top w:val="none" w:sz="0" w:space="0" w:color="auto"/>
        <w:left w:val="none" w:sz="0" w:space="0" w:color="auto"/>
        <w:bottom w:val="none" w:sz="0" w:space="0" w:color="auto"/>
        <w:right w:val="none" w:sz="0" w:space="0" w:color="auto"/>
      </w:divBdr>
    </w:div>
    <w:div w:id="909926053">
      <w:bodyDiv w:val="1"/>
      <w:marLeft w:val="0"/>
      <w:marRight w:val="0"/>
      <w:marTop w:val="0"/>
      <w:marBottom w:val="0"/>
      <w:divBdr>
        <w:top w:val="none" w:sz="0" w:space="0" w:color="auto"/>
        <w:left w:val="none" w:sz="0" w:space="0" w:color="auto"/>
        <w:bottom w:val="none" w:sz="0" w:space="0" w:color="auto"/>
        <w:right w:val="none" w:sz="0" w:space="0" w:color="auto"/>
      </w:divBdr>
    </w:div>
    <w:div w:id="1136145616">
      <w:bodyDiv w:val="1"/>
      <w:marLeft w:val="0"/>
      <w:marRight w:val="0"/>
      <w:marTop w:val="0"/>
      <w:marBottom w:val="0"/>
      <w:divBdr>
        <w:top w:val="none" w:sz="0" w:space="0" w:color="auto"/>
        <w:left w:val="none" w:sz="0" w:space="0" w:color="auto"/>
        <w:bottom w:val="none" w:sz="0" w:space="0" w:color="auto"/>
        <w:right w:val="none" w:sz="0" w:space="0" w:color="auto"/>
      </w:divBdr>
    </w:div>
    <w:div w:id="1277327409">
      <w:bodyDiv w:val="1"/>
      <w:marLeft w:val="0"/>
      <w:marRight w:val="0"/>
      <w:marTop w:val="0"/>
      <w:marBottom w:val="0"/>
      <w:divBdr>
        <w:top w:val="none" w:sz="0" w:space="0" w:color="auto"/>
        <w:left w:val="none" w:sz="0" w:space="0" w:color="auto"/>
        <w:bottom w:val="none" w:sz="0" w:space="0" w:color="auto"/>
        <w:right w:val="none" w:sz="0" w:space="0" w:color="auto"/>
      </w:divBdr>
    </w:div>
    <w:div w:id="1471171725">
      <w:bodyDiv w:val="1"/>
      <w:marLeft w:val="0"/>
      <w:marRight w:val="0"/>
      <w:marTop w:val="0"/>
      <w:marBottom w:val="0"/>
      <w:divBdr>
        <w:top w:val="none" w:sz="0" w:space="0" w:color="auto"/>
        <w:left w:val="none" w:sz="0" w:space="0" w:color="auto"/>
        <w:bottom w:val="none" w:sz="0" w:space="0" w:color="auto"/>
        <w:right w:val="none" w:sz="0" w:space="0" w:color="auto"/>
      </w:divBdr>
    </w:div>
    <w:div w:id="1478912590">
      <w:bodyDiv w:val="1"/>
      <w:marLeft w:val="0"/>
      <w:marRight w:val="0"/>
      <w:marTop w:val="0"/>
      <w:marBottom w:val="0"/>
      <w:divBdr>
        <w:top w:val="none" w:sz="0" w:space="0" w:color="auto"/>
        <w:left w:val="none" w:sz="0" w:space="0" w:color="auto"/>
        <w:bottom w:val="none" w:sz="0" w:space="0" w:color="auto"/>
        <w:right w:val="none" w:sz="0" w:space="0" w:color="auto"/>
      </w:divBdr>
      <w:divsChild>
        <w:div w:id="677931429">
          <w:marLeft w:val="0"/>
          <w:marRight w:val="0"/>
          <w:marTop w:val="0"/>
          <w:marBottom w:val="0"/>
          <w:divBdr>
            <w:top w:val="none" w:sz="0" w:space="0" w:color="auto"/>
            <w:left w:val="none" w:sz="0" w:space="0" w:color="auto"/>
            <w:bottom w:val="none" w:sz="0" w:space="0" w:color="auto"/>
            <w:right w:val="none" w:sz="0" w:space="0" w:color="auto"/>
          </w:divBdr>
        </w:div>
        <w:div w:id="10842819">
          <w:marLeft w:val="0"/>
          <w:marRight w:val="0"/>
          <w:marTop w:val="0"/>
          <w:marBottom w:val="0"/>
          <w:divBdr>
            <w:top w:val="none" w:sz="0" w:space="0" w:color="auto"/>
            <w:left w:val="none" w:sz="0" w:space="0" w:color="auto"/>
            <w:bottom w:val="none" w:sz="0" w:space="0" w:color="auto"/>
            <w:right w:val="none" w:sz="0" w:space="0" w:color="auto"/>
          </w:divBdr>
        </w:div>
        <w:div w:id="1056662714">
          <w:marLeft w:val="0"/>
          <w:marRight w:val="0"/>
          <w:marTop w:val="0"/>
          <w:marBottom w:val="0"/>
          <w:divBdr>
            <w:top w:val="none" w:sz="0" w:space="0" w:color="auto"/>
            <w:left w:val="none" w:sz="0" w:space="0" w:color="auto"/>
            <w:bottom w:val="none" w:sz="0" w:space="0" w:color="auto"/>
            <w:right w:val="none" w:sz="0" w:space="0" w:color="auto"/>
          </w:divBdr>
        </w:div>
      </w:divsChild>
    </w:div>
    <w:div w:id="1614678120">
      <w:bodyDiv w:val="1"/>
      <w:marLeft w:val="0"/>
      <w:marRight w:val="0"/>
      <w:marTop w:val="0"/>
      <w:marBottom w:val="0"/>
      <w:divBdr>
        <w:top w:val="none" w:sz="0" w:space="0" w:color="auto"/>
        <w:left w:val="none" w:sz="0" w:space="0" w:color="auto"/>
        <w:bottom w:val="none" w:sz="0" w:space="0" w:color="auto"/>
        <w:right w:val="none" w:sz="0" w:space="0" w:color="auto"/>
      </w:divBdr>
      <w:divsChild>
        <w:div w:id="1533959407">
          <w:marLeft w:val="480"/>
          <w:marRight w:val="0"/>
          <w:marTop w:val="0"/>
          <w:marBottom w:val="0"/>
          <w:divBdr>
            <w:top w:val="none" w:sz="0" w:space="0" w:color="auto"/>
            <w:left w:val="none" w:sz="0" w:space="0" w:color="auto"/>
            <w:bottom w:val="none" w:sz="0" w:space="0" w:color="auto"/>
            <w:right w:val="none" w:sz="0" w:space="0" w:color="auto"/>
          </w:divBdr>
          <w:divsChild>
            <w:div w:id="180908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290901">
      <w:bodyDiv w:val="1"/>
      <w:marLeft w:val="0"/>
      <w:marRight w:val="0"/>
      <w:marTop w:val="0"/>
      <w:marBottom w:val="0"/>
      <w:divBdr>
        <w:top w:val="none" w:sz="0" w:space="0" w:color="auto"/>
        <w:left w:val="none" w:sz="0" w:space="0" w:color="auto"/>
        <w:bottom w:val="none" w:sz="0" w:space="0" w:color="auto"/>
        <w:right w:val="none" w:sz="0" w:space="0" w:color="auto"/>
      </w:divBdr>
    </w:div>
    <w:div w:id="1701661910">
      <w:bodyDiv w:val="1"/>
      <w:marLeft w:val="0"/>
      <w:marRight w:val="0"/>
      <w:marTop w:val="0"/>
      <w:marBottom w:val="0"/>
      <w:divBdr>
        <w:top w:val="none" w:sz="0" w:space="0" w:color="auto"/>
        <w:left w:val="none" w:sz="0" w:space="0" w:color="auto"/>
        <w:bottom w:val="none" w:sz="0" w:space="0" w:color="auto"/>
        <w:right w:val="none" w:sz="0" w:space="0" w:color="auto"/>
      </w:divBdr>
    </w:div>
    <w:div w:id="1761952038">
      <w:bodyDiv w:val="1"/>
      <w:marLeft w:val="0"/>
      <w:marRight w:val="0"/>
      <w:marTop w:val="0"/>
      <w:marBottom w:val="0"/>
      <w:divBdr>
        <w:top w:val="none" w:sz="0" w:space="0" w:color="auto"/>
        <w:left w:val="none" w:sz="0" w:space="0" w:color="auto"/>
        <w:bottom w:val="none" w:sz="0" w:space="0" w:color="auto"/>
        <w:right w:val="none" w:sz="0" w:space="0" w:color="auto"/>
      </w:divBdr>
    </w:div>
    <w:div w:id="1772628728">
      <w:bodyDiv w:val="1"/>
      <w:marLeft w:val="0"/>
      <w:marRight w:val="0"/>
      <w:marTop w:val="0"/>
      <w:marBottom w:val="0"/>
      <w:divBdr>
        <w:top w:val="none" w:sz="0" w:space="0" w:color="auto"/>
        <w:left w:val="none" w:sz="0" w:space="0" w:color="auto"/>
        <w:bottom w:val="none" w:sz="0" w:space="0" w:color="auto"/>
        <w:right w:val="none" w:sz="0" w:space="0" w:color="auto"/>
      </w:divBdr>
    </w:div>
    <w:div w:id="1786731711">
      <w:bodyDiv w:val="1"/>
      <w:marLeft w:val="0"/>
      <w:marRight w:val="0"/>
      <w:marTop w:val="0"/>
      <w:marBottom w:val="0"/>
      <w:divBdr>
        <w:top w:val="none" w:sz="0" w:space="0" w:color="auto"/>
        <w:left w:val="none" w:sz="0" w:space="0" w:color="auto"/>
        <w:bottom w:val="none" w:sz="0" w:space="0" w:color="auto"/>
        <w:right w:val="none" w:sz="0" w:space="0" w:color="auto"/>
      </w:divBdr>
    </w:div>
    <w:div w:id="1793479299">
      <w:bodyDiv w:val="1"/>
      <w:marLeft w:val="0"/>
      <w:marRight w:val="0"/>
      <w:marTop w:val="0"/>
      <w:marBottom w:val="0"/>
      <w:divBdr>
        <w:top w:val="none" w:sz="0" w:space="0" w:color="auto"/>
        <w:left w:val="none" w:sz="0" w:space="0" w:color="auto"/>
        <w:bottom w:val="none" w:sz="0" w:space="0" w:color="auto"/>
        <w:right w:val="none" w:sz="0" w:space="0" w:color="auto"/>
      </w:divBdr>
      <w:divsChild>
        <w:div w:id="1155142142">
          <w:marLeft w:val="0"/>
          <w:marRight w:val="0"/>
          <w:marTop w:val="0"/>
          <w:marBottom w:val="0"/>
          <w:divBdr>
            <w:top w:val="none" w:sz="0" w:space="0" w:color="auto"/>
            <w:left w:val="none" w:sz="0" w:space="0" w:color="auto"/>
            <w:bottom w:val="none" w:sz="0" w:space="0" w:color="auto"/>
            <w:right w:val="none" w:sz="0" w:space="0" w:color="auto"/>
          </w:divBdr>
        </w:div>
        <w:div w:id="1304893119">
          <w:marLeft w:val="0"/>
          <w:marRight w:val="0"/>
          <w:marTop w:val="0"/>
          <w:marBottom w:val="0"/>
          <w:divBdr>
            <w:top w:val="none" w:sz="0" w:space="0" w:color="auto"/>
            <w:left w:val="none" w:sz="0" w:space="0" w:color="auto"/>
            <w:bottom w:val="none" w:sz="0" w:space="0" w:color="auto"/>
            <w:right w:val="none" w:sz="0" w:space="0" w:color="auto"/>
          </w:divBdr>
        </w:div>
        <w:div w:id="784420859">
          <w:marLeft w:val="0"/>
          <w:marRight w:val="0"/>
          <w:marTop w:val="0"/>
          <w:marBottom w:val="0"/>
          <w:divBdr>
            <w:top w:val="none" w:sz="0" w:space="0" w:color="auto"/>
            <w:left w:val="none" w:sz="0" w:space="0" w:color="auto"/>
            <w:bottom w:val="none" w:sz="0" w:space="0" w:color="auto"/>
            <w:right w:val="none" w:sz="0" w:space="0" w:color="auto"/>
          </w:divBdr>
        </w:div>
        <w:div w:id="2045909560">
          <w:marLeft w:val="0"/>
          <w:marRight w:val="0"/>
          <w:marTop w:val="0"/>
          <w:marBottom w:val="0"/>
          <w:divBdr>
            <w:top w:val="none" w:sz="0" w:space="0" w:color="auto"/>
            <w:left w:val="none" w:sz="0" w:space="0" w:color="auto"/>
            <w:bottom w:val="none" w:sz="0" w:space="0" w:color="auto"/>
            <w:right w:val="none" w:sz="0" w:space="0" w:color="auto"/>
          </w:divBdr>
        </w:div>
        <w:div w:id="1888683819">
          <w:marLeft w:val="0"/>
          <w:marRight w:val="0"/>
          <w:marTop w:val="0"/>
          <w:marBottom w:val="0"/>
          <w:divBdr>
            <w:top w:val="none" w:sz="0" w:space="0" w:color="auto"/>
            <w:left w:val="none" w:sz="0" w:space="0" w:color="auto"/>
            <w:bottom w:val="none" w:sz="0" w:space="0" w:color="auto"/>
            <w:right w:val="none" w:sz="0" w:space="0" w:color="auto"/>
          </w:divBdr>
        </w:div>
        <w:div w:id="365133602">
          <w:marLeft w:val="0"/>
          <w:marRight w:val="0"/>
          <w:marTop w:val="0"/>
          <w:marBottom w:val="0"/>
          <w:divBdr>
            <w:top w:val="none" w:sz="0" w:space="0" w:color="auto"/>
            <w:left w:val="none" w:sz="0" w:space="0" w:color="auto"/>
            <w:bottom w:val="none" w:sz="0" w:space="0" w:color="auto"/>
            <w:right w:val="none" w:sz="0" w:space="0" w:color="auto"/>
          </w:divBdr>
        </w:div>
        <w:div w:id="1554927564">
          <w:marLeft w:val="0"/>
          <w:marRight w:val="0"/>
          <w:marTop w:val="0"/>
          <w:marBottom w:val="0"/>
          <w:divBdr>
            <w:top w:val="none" w:sz="0" w:space="0" w:color="auto"/>
            <w:left w:val="none" w:sz="0" w:space="0" w:color="auto"/>
            <w:bottom w:val="none" w:sz="0" w:space="0" w:color="auto"/>
            <w:right w:val="none" w:sz="0" w:space="0" w:color="auto"/>
          </w:divBdr>
        </w:div>
      </w:divsChild>
    </w:div>
    <w:div w:id="1973755452">
      <w:bodyDiv w:val="1"/>
      <w:marLeft w:val="0"/>
      <w:marRight w:val="0"/>
      <w:marTop w:val="0"/>
      <w:marBottom w:val="0"/>
      <w:divBdr>
        <w:top w:val="none" w:sz="0" w:space="0" w:color="auto"/>
        <w:left w:val="none" w:sz="0" w:space="0" w:color="auto"/>
        <w:bottom w:val="none" w:sz="0" w:space="0" w:color="auto"/>
        <w:right w:val="none" w:sz="0" w:space="0" w:color="auto"/>
      </w:divBdr>
    </w:div>
    <w:div w:id="2070615969">
      <w:bodyDiv w:val="1"/>
      <w:marLeft w:val="0"/>
      <w:marRight w:val="0"/>
      <w:marTop w:val="0"/>
      <w:marBottom w:val="0"/>
      <w:divBdr>
        <w:top w:val="none" w:sz="0" w:space="0" w:color="auto"/>
        <w:left w:val="none" w:sz="0" w:space="0" w:color="auto"/>
        <w:bottom w:val="none" w:sz="0" w:space="0" w:color="auto"/>
        <w:right w:val="none" w:sz="0" w:space="0" w:color="auto"/>
      </w:divBdr>
    </w:div>
    <w:div w:id="212738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tat.it/it/censimento-agricoltura/agricoltura-201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ol.unibo.it/SebinaOpac/Opac?action=search&amp;thNomeDocumento=UBO2184805T" TargetMode="External"/><Relationship Id="rId4" Type="http://schemas.openxmlformats.org/officeDocument/2006/relationships/settings" Target="settings.xml"/><Relationship Id="rId9" Type="http://schemas.openxmlformats.org/officeDocument/2006/relationships/hyperlink" Target="https://ideas.repec.org/s/eee/juec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84A9F-62E3-497B-B25F-541647049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6106</Words>
  <Characters>34807</Characters>
  <Application>Microsoft Office Word</Application>
  <DocSecurity>0</DocSecurity>
  <Lines>290</Lines>
  <Paragraphs>81</Paragraphs>
  <ScaleCrop>false</ScaleCrop>
  <HeadingPairs>
    <vt:vector size="4" baseType="variant">
      <vt:variant>
        <vt:lpstr>Titolo</vt:lpstr>
      </vt:variant>
      <vt:variant>
        <vt:i4>1</vt:i4>
      </vt:variant>
      <vt:variant>
        <vt:lpstr>Intestazioni</vt:lpstr>
      </vt:variant>
      <vt:variant>
        <vt:i4>12</vt:i4>
      </vt:variant>
    </vt:vector>
  </HeadingPairs>
  <TitlesOfParts>
    <vt:vector size="13" baseType="lpstr">
      <vt:lpstr/>
      <vt:lpstr>Spatial and temporal socio-economic effects of natural disasters</vt:lpstr>
      <vt:lpstr>The case study</vt:lpstr>
      <vt:lpstr>Methodology and data</vt:lpstr>
      <vt:lpstr>    Cluster analysis</vt:lpstr>
      <vt:lpstr>    Counterfactual analysis</vt:lpstr>
      <vt:lpstr>Results</vt:lpstr>
      <vt:lpstr>    The results of cluster analysis</vt:lpstr>
      <vt:lpstr>    Estimating counterfactual effects of the 2012 earthquake</vt:lpstr>
      <vt:lpstr>Conclusions</vt:lpstr>
      <vt:lpstr>Acknowledgemnts</vt:lpstr>
      <vt:lpstr>Funding details. </vt:lpstr>
      <vt:lpstr>References</vt:lpstr>
    </vt:vector>
  </TitlesOfParts>
  <Company/>
  <LinksUpToDate>false</LinksUpToDate>
  <CharactersWithSpaces>40832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2018-02-19T09:25:00Z</dcterms:created>
  <dcterms:modified xsi:type="dcterms:W3CDTF">2018-03-29T10:56:00Z</dcterms:modified>
</cp:coreProperties>
</file>