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F7B869" w14:textId="77777777" w:rsidR="00A62E46" w:rsidRDefault="00A62E46" w:rsidP="003A0B87">
      <w:pPr>
        <w:tabs>
          <w:tab w:val="left" w:pos="2552"/>
        </w:tabs>
        <w:spacing w:after="160" w:line="259" w:lineRule="auto"/>
        <w:rPr>
          <w:rFonts w:ascii="Times New Roman" w:eastAsia="Times New Roman" w:hAnsi="Times New Roman" w:cs="Times New Roman"/>
          <w:b/>
          <w:sz w:val="24"/>
          <w:lang w:val="it-IT"/>
        </w:rPr>
      </w:pPr>
    </w:p>
    <w:p w14:paraId="60B1C892" w14:textId="77777777" w:rsidR="00524C0D" w:rsidRDefault="00A94F74" w:rsidP="00A62E46">
      <w:pPr>
        <w:tabs>
          <w:tab w:val="left" w:pos="2552"/>
        </w:tabs>
        <w:spacing w:after="0" w:line="240" w:lineRule="auto"/>
        <w:rPr>
          <w:rFonts w:eastAsia="Times New Roman" w:cs="Times New Roman"/>
          <w:b/>
          <w:sz w:val="24"/>
          <w:lang w:val="it-IT"/>
        </w:rPr>
      </w:pPr>
      <w:r w:rsidRPr="00A62E46">
        <w:rPr>
          <w:rFonts w:eastAsia="Times New Roman" w:cs="Times New Roman"/>
          <w:b/>
          <w:sz w:val="24"/>
          <w:lang w:val="it-IT"/>
        </w:rPr>
        <w:t>Titolo</w:t>
      </w:r>
    </w:p>
    <w:p w14:paraId="1460C292" w14:textId="1F687995" w:rsidR="000015F6" w:rsidRPr="00683AC4" w:rsidRDefault="00524C0D" w:rsidP="00A62E46">
      <w:pPr>
        <w:tabs>
          <w:tab w:val="left" w:pos="2552"/>
        </w:tabs>
        <w:spacing w:after="0" w:line="240" w:lineRule="auto"/>
        <w:rPr>
          <w:rFonts w:eastAsia="Times New Roman" w:cs="Times New Roman"/>
          <w:sz w:val="24"/>
          <w:lang w:val="it-IT"/>
        </w:rPr>
      </w:pPr>
      <w:r w:rsidRPr="00683AC4">
        <w:rPr>
          <w:rFonts w:eastAsia="Times New Roman" w:cs="Times New Roman"/>
          <w:sz w:val="24"/>
          <w:lang w:val="it-IT"/>
        </w:rPr>
        <w:t>Fattori di rischio ambientali e occupazionali per la sclerosi laterale amiotrofica: uno studio caso-controllo di popolazione in Emilia Romagna e Sicilia</w:t>
      </w:r>
    </w:p>
    <w:p w14:paraId="52530EFE" w14:textId="77777777" w:rsidR="00A62E46" w:rsidRPr="00683AC4" w:rsidRDefault="00A62E46" w:rsidP="00A62E46">
      <w:pPr>
        <w:spacing w:after="0" w:line="240" w:lineRule="auto"/>
        <w:rPr>
          <w:rFonts w:eastAsia="Times New Roman" w:cs="Times New Roman"/>
          <w:color w:val="FF0000"/>
          <w:sz w:val="24"/>
          <w:lang w:val="it-IT"/>
        </w:rPr>
      </w:pPr>
    </w:p>
    <w:p w14:paraId="3A0D6F56" w14:textId="77777777" w:rsidR="00683AC4" w:rsidRPr="000340A9" w:rsidRDefault="00683AC4" w:rsidP="00683AC4">
      <w:pPr>
        <w:pStyle w:val="Default"/>
        <w:rPr>
          <w:b/>
          <w:color w:val="auto"/>
          <w:lang w:val="it-IT"/>
        </w:rPr>
      </w:pPr>
      <w:r w:rsidRPr="000340A9">
        <w:rPr>
          <w:b/>
          <w:color w:val="auto"/>
          <w:lang w:val="it-IT"/>
        </w:rPr>
        <w:t>Autori:</w:t>
      </w:r>
    </w:p>
    <w:p w14:paraId="3074FB54" w14:textId="77777777" w:rsidR="00683AC4" w:rsidRPr="000340A9" w:rsidRDefault="00683AC4" w:rsidP="00683AC4">
      <w:pPr>
        <w:spacing w:after="0" w:line="240" w:lineRule="auto"/>
        <w:rPr>
          <w:vertAlign w:val="superscript"/>
          <w:lang w:val="it-IT"/>
        </w:rPr>
      </w:pPr>
      <w:r w:rsidRPr="000340A9">
        <w:rPr>
          <w:lang w:val="it-IT"/>
        </w:rPr>
        <w:t>Tommaso Filippini</w:t>
      </w:r>
      <w:r w:rsidRPr="000340A9">
        <w:rPr>
          <w:vertAlign w:val="superscript"/>
          <w:lang w:val="it-IT"/>
        </w:rPr>
        <w:t>1</w:t>
      </w:r>
      <w:r w:rsidRPr="000340A9">
        <w:rPr>
          <w:lang w:val="it-IT"/>
        </w:rPr>
        <w:t>; Maria Fiore</w:t>
      </w:r>
      <w:r w:rsidRPr="000340A9">
        <w:rPr>
          <w:vertAlign w:val="superscript"/>
          <w:lang w:val="it-IT"/>
        </w:rPr>
        <w:t>2</w:t>
      </w:r>
      <w:r w:rsidRPr="000340A9">
        <w:rPr>
          <w:lang w:val="it-IT"/>
        </w:rPr>
        <w:t>; Federica Violi</w:t>
      </w:r>
      <w:r w:rsidRPr="000340A9">
        <w:rPr>
          <w:vertAlign w:val="superscript"/>
          <w:lang w:val="it-IT"/>
        </w:rPr>
        <w:t>1</w:t>
      </w:r>
      <w:r w:rsidRPr="000340A9">
        <w:rPr>
          <w:lang w:val="it-IT"/>
        </w:rPr>
        <w:t>; Carlotta Malagoli</w:t>
      </w:r>
      <w:r w:rsidRPr="000340A9">
        <w:rPr>
          <w:vertAlign w:val="superscript"/>
          <w:lang w:val="it-IT"/>
        </w:rPr>
        <w:t>1</w:t>
      </w:r>
      <w:r w:rsidRPr="000340A9">
        <w:rPr>
          <w:lang w:val="it-IT"/>
        </w:rPr>
        <w:t>; Caterina Ledda</w:t>
      </w:r>
      <w:r w:rsidRPr="000340A9">
        <w:rPr>
          <w:vertAlign w:val="superscript"/>
          <w:lang w:val="it-IT"/>
        </w:rPr>
        <w:t>2</w:t>
      </w:r>
      <w:r w:rsidRPr="000340A9">
        <w:rPr>
          <w:lang w:val="it-IT"/>
        </w:rPr>
        <w:t>; Cristina Mauceri</w:t>
      </w:r>
      <w:r w:rsidRPr="000340A9">
        <w:rPr>
          <w:vertAlign w:val="superscript"/>
          <w:lang w:val="it-IT"/>
        </w:rPr>
        <w:t>2</w:t>
      </w:r>
      <w:r w:rsidRPr="000340A9">
        <w:rPr>
          <w:lang w:val="it-IT"/>
        </w:rPr>
        <w:t>; Angela Dimartino</w:t>
      </w:r>
      <w:r w:rsidRPr="000340A9">
        <w:rPr>
          <w:vertAlign w:val="superscript"/>
          <w:lang w:val="it-IT"/>
        </w:rPr>
        <w:t>2</w:t>
      </w:r>
      <w:r w:rsidRPr="000340A9">
        <w:rPr>
          <w:lang w:val="it-IT"/>
        </w:rPr>
        <w:t>, Jessica Mandrioli</w:t>
      </w:r>
      <w:r w:rsidRPr="000340A9">
        <w:rPr>
          <w:vertAlign w:val="superscript"/>
          <w:lang w:val="it-IT"/>
        </w:rPr>
        <w:t>3</w:t>
      </w:r>
      <w:r w:rsidRPr="000340A9">
        <w:rPr>
          <w:lang w:val="it-IT"/>
        </w:rPr>
        <w:t>, Nicola Fini</w:t>
      </w:r>
      <w:r w:rsidRPr="000340A9">
        <w:rPr>
          <w:vertAlign w:val="superscript"/>
          <w:lang w:val="it-IT"/>
        </w:rPr>
        <w:t>3</w:t>
      </w:r>
      <w:r w:rsidRPr="000340A9">
        <w:rPr>
          <w:lang w:val="it-IT"/>
        </w:rPr>
        <w:t>, Francesco Patti</w:t>
      </w:r>
      <w:r w:rsidRPr="000340A9">
        <w:rPr>
          <w:vertAlign w:val="superscript"/>
          <w:lang w:val="it-IT"/>
        </w:rPr>
        <w:t>2</w:t>
      </w:r>
      <w:r w:rsidRPr="000340A9">
        <w:rPr>
          <w:lang w:val="it-IT"/>
        </w:rPr>
        <w:t>; Margherita Ferrante</w:t>
      </w:r>
      <w:r w:rsidRPr="000340A9">
        <w:rPr>
          <w:vertAlign w:val="superscript"/>
          <w:lang w:val="it-IT"/>
        </w:rPr>
        <w:t>2</w:t>
      </w:r>
      <w:r w:rsidRPr="000340A9">
        <w:rPr>
          <w:lang w:val="it-IT"/>
        </w:rPr>
        <w:t>; Marco Vinceti</w:t>
      </w:r>
      <w:r w:rsidRPr="000340A9">
        <w:rPr>
          <w:vertAlign w:val="superscript"/>
          <w:lang w:val="it-IT"/>
        </w:rPr>
        <w:t>1</w:t>
      </w:r>
    </w:p>
    <w:p w14:paraId="12DA8B21" w14:textId="77777777" w:rsidR="00683AC4" w:rsidRPr="000340A9" w:rsidRDefault="00683AC4" w:rsidP="00683AC4">
      <w:pPr>
        <w:spacing w:after="0" w:line="240" w:lineRule="auto"/>
        <w:rPr>
          <w:b/>
          <w:lang w:val="it-IT"/>
        </w:rPr>
      </w:pPr>
      <w:bookmarkStart w:id="0" w:name="_GoBack"/>
      <w:bookmarkEnd w:id="0"/>
    </w:p>
    <w:p w14:paraId="65181AA5" w14:textId="77777777" w:rsidR="00683AC4" w:rsidRPr="000340A9" w:rsidRDefault="00683AC4" w:rsidP="00683AC4">
      <w:pPr>
        <w:spacing w:after="0" w:line="240" w:lineRule="auto"/>
        <w:rPr>
          <w:b/>
          <w:lang w:val="it-IT"/>
        </w:rPr>
      </w:pPr>
      <w:r w:rsidRPr="000340A9">
        <w:rPr>
          <w:b/>
          <w:lang w:val="it-IT"/>
        </w:rPr>
        <w:t>Affiliazioni</w:t>
      </w:r>
    </w:p>
    <w:p w14:paraId="68C32BD8" w14:textId="77777777" w:rsidR="00683AC4" w:rsidRPr="000340A9" w:rsidRDefault="00683AC4" w:rsidP="00683AC4">
      <w:pPr>
        <w:spacing w:after="0" w:line="240" w:lineRule="auto"/>
        <w:rPr>
          <w:lang w:val="it-IT"/>
        </w:rPr>
      </w:pPr>
      <w:r w:rsidRPr="000340A9">
        <w:rPr>
          <w:vertAlign w:val="superscript"/>
          <w:lang w:val="it-IT"/>
        </w:rPr>
        <w:t>1</w:t>
      </w:r>
      <w:r w:rsidRPr="000340A9">
        <w:rPr>
          <w:lang w:val="it-IT"/>
        </w:rPr>
        <w:t>CREAGEN – Centro di Ricerca in Epidemiologia Ambientale, Genetica e Nutrizionale, Università di Modena e Reggio Emilia, Modena, Italia</w:t>
      </w:r>
    </w:p>
    <w:p w14:paraId="2275D9A2" w14:textId="77777777" w:rsidR="00683AC4" w:rsidRPr="000340A9" w:rsidRDefault="00683AC4" w:rsidP="00683AC4">
      <w:pPr>
        <w:spacing w:after="0" w:line="240" w:lineRule="auto"/>
        <w:rPr>
          <w:lang w:val="it-IT"/>
        </w:rPr>
      </w:pPr>
      <w:r w:rsidRPr="000340A9">
        <w:rPr>
          <w:vertAlign w:val="superscript"/>
          <w:lang w:val="it-IT"/>
        </w:rPr>
        <w:t>2</w:t>
      </w:r>
      <w:r w:rsidRPr="000340A9">
        <w:rPr>
          <w:lang w:val="it-IT"/>
        </w:rPr>
        <w:t>Dipartimento di Scienze mediche chirurgiche e tecnologie avanzate "G.F. Ingrassia’, Università di Catania, Catania, Italia</w:t>
      </w:r>
    </w:p>
    <w:p w14:paraId="1E2ADF5D" w14:textId="77777777" w:rsidR="00683AC4" w:rsidRPr="000340A9" w:rsidRDefault="00683AC4" w:rsidP="00683AC4">
      <w:pPr>
        <w:spacing w:after="0" w:line="240" w:lineRule="auto"/>
        <w:rPr>
          <w:lang w:val="it-IT"/>
        </w:rPr>
      </w:pPr>
      <w:r w:rsidRPr="000340A9">
        <w:rPr>
          <w:vertAlign w:val="superscript"/>
          <w:lang w:val="it-IT"/>
        </w:rPr>
        <w:t>3</w:t>
      </w:r>
      <w:r w:rsidRPr="000340A9">
        <w:rPr>
          <w:lang w:val="it-IT"/>
        </w:rPr>
        <w:t>Ospedale Sant’Agostino Estense, Azienda Ospedaliero Universitaria Policlinico di Modena, Modena, Italia</w:t>
      </w:r>
    </w:p>
    <w:p w14:paraId="2AB698B7" w14:textId="77777777" w:rsidR="00683AC4" w:rsidRPr="00A62E46" w:rsidRDefault="00683AC4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</w:p>
    <w:p w14:paraId="0F10AC55" w14:textId="05E4A2FD" w:rsidR="000015F6" w:rsidRPr="00A62E46" w:rsidRDefault="000015F6" w:rsidP="00A62E46">
      <w:pPr>
        <w:spacing w:after="0" w:line="240" w:lineRule="auto"/>
        <w:rPr>
          <w:rFonts w:eastAsia="Times New Roman" w:cs="Times New Roman"/>
          <w:b/>
          <w:sz w:val="24"/>
          <w:lang w:val="it-IT"/>
        </w:rPr>
      </w:pPr>
      <w:r w:rsidRPr="00A62E46">
        <w:rPr>
          <w:rFonts w:eastAsia="Times New Roman" w:cs="Times New Roman"/>
          <w:b/>
          <w:sz w:val="24"/>
          <w:lang w:val="it-IT"/>
        </w:rPr>
        <w:t>Introduzione</w:t>
      </w:r>
    </w:p>
    <w:p w14:paraId="3AA516E3" w14:textId="1EFA2B9E" w:rsidR="00FF1A1E" w:rsidRPr="00FF1A1E" w:rsidRDefault="00FF1A1E" w:rsidP="00FF1A1E">
      <w:pPr>
        <w:spacing w:after="0" w:line="240" w:lineRule="auto"/>
        <w:rPr>
          <w:rFonts w:eastAsia="Times New Roman" w:cs="Times New Roman"/>
          <w:sz w:val="24"/>
          <w:lang w:val="it-IT"/>
        </w:rPr>
      </w:pPr>
      <w:r w:rsidRPr="00FF1A1E">
        <w:rPr>
          <w:rFonts w:eastAsia="Times New Roman" w:cs="Times New Roman"/>
          <w:sz w:val="24"/>
          <w:lang w:val="it-IT"/>
        </w:rPr>
        <w:t xml:space="preserve">La Sclerosi Laterale Amiotrofica (SLA) è una malattia neurodegenerativa </w:t>
      </w:r>
      <w:r>
        <w:rPr>
          <w:rFonts w:eastAsia="Times New Roman" w:cs="Times New Roman"/>
          <w:sz w:val="24"/>
          <w:lang w:val="it-IT"/>
        </w:rPr>
        <w:t>che colpisce sia i motoneuroni inferiori del tronco encefalico e del midollo spinale, sia i motoneuroni superiori della corteccia motoria. La perdita di questi neuroni conduce ad atrofia e deb</w:t>
      </w:r>
      <w:r w:rsidR="00A77877">
        <w:rPr>
          <w:rFonts w:eastAsia="Times New Roman" w:cs="Times New Roman"/>
          <w:sz w:val="24"/>
          <w:lang w:val="it-IT"/>
        </w:rPr>
        <w:t>olezza muscolare, fascicolazioni</w:t>
      </w:r>
      <w:r>
        <w:rPr>
          <w:rFonts w:eastAsia="Times New Roman" w:cs="Times New Roman"/>
          <w:sz w:val="24"/>
          <w:lang w:val="it-IT"/>
        </w:rPr>
        <w:t xml:space="preserve"> e spasticità. </w:t>
      </w:r>
      <w:r w:rsidR="00AD7A9B">
        <w:rPr>
          <w:rFonts w:eastAsia="Times New Roman" w:cs="Times New Roman"/>
          <w:sz w:val="24"/>
          <w:lang w:val="it-IT"/>
        </w:rPr>
        <w:t xml:space="preserve">Ad eccezione di alcune forme genetiche, l’eziologia rimane tutt’ora ignota. </w:t>
      </w:r>
    </w:p>
    <w:p w14:paraId="36F844FC" w14:textId="77777777" w:rsidR="00A62E46" w:rsidRPr="00A62E46" w:rsidRDefault="00A62E46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</w:p>
    <w:p w14:paraId="3756DCB8" w14:textId="4090D0E7" w:rsidR="00044BE6" w:rsidRPr="00A62E46" w:rsidRDefault="0058406D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  <w:r w:rsidRPr="00A62E46">
        <w:rPr>
          <w:rFonts w:eastAsia="Times New Roman" w:cs="Times New Roman"/>
          <w:b/>
          <w:sz w:val="24"/>
          <w:lang w:val="it-IT"/>
        </w:rPr>
        <w:t>Obiettiv</w:t>
      </w:r>
      <w:r w:rsidR="00577620" w:rsidRPr="00A62E46">
        <w:rPr>
          <w:rFonts w:eastAsia="Times New Roman" w:cs="Times New Roman"/>
          <w:b/>
          <w:sz w:val="24"/>
          <w:lang w:val="it-IT"/>
        </w:rPr>
        <w:t>i</w:t>
      </w:r>
    </w:p>
    <w:p w14:paraId="0DAFE83D" w14:textId="1DAEB5B0" w:rsidR="00C52F34" w:rsidRDefault="00FF1A1E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  <w:r w:rsidRPr="00FF1A1E">
        <w:rPr>
          <w:rFonts w:eastAsia="Times New Roman" w:cs="Times New Roman"/>
          <w:sz w:val="24"/>
          <w:lang w:val="it-IT"/>
        </w:rPr>
        <w:t>Abbiamo realizzato uno studio caso-controllo di popolazione in due province emiliane (Modena, Reggio Emilia) e in una provincia siciliana (Catania), al fine di valutare</w:t>
      </w:r>
      <w:r w:rsidR="0080336F">
        <w:rPr>
          <w:rFonts w:eastAsia="Times New Roman" w:cs="Times New Roman"/>
          <w:sz w:val="24"/>
          <w:lang w:val="it-IT"/>
        </w:rPr>
        <w:t xml:space="preserve"> il ruolo di alcuni fattori </w:t>
      </w:r>
      <w:r w:rsidR="00AD7A9B">
        <w:rPr>
          <w:rFonts w:eastAsia="Times New Roman" w:cs="Times New Roman"/>
          <w:sz w:val="24"/>
          <w:lang w:val="it-IT"/>
        </w:rPr>
        <w:t xml:space="preserve">ambientali e occupazionali </w:t>
      </w:r>
      <w:r w:rsidR="0080336F">
        <w:rPr>
          <w:rFonts w:eastAsia="Times New Roman" w:cs="Times New Roman"/>
          <w:sz w:val="24"/>
          <w:lang w:val="it-IT"/>
        </w:rPr>
        <w:t>sul rischio di</w:t>
      </w:r>
      <w:r w:rsidRPr="00FF1A1E">
        <w:rPr>
          <w:rFonts w:eastAsia="Times New Roman" w:cs="Times New Roman"/>
          <w:sz w:val="24"/>
          <w:lang w:val="it-IT"/>
        </w:rPr>
        <w:t xml:space="preserve"> SLA</w:t>
      </w:r>
      <w:r w:rsidR="0080336F">
        <w:rPr>
          <w:rFonts w:eastAsia="Times New Roman" w:cs="Times New Roman"/>
          <w:sz w:val="24"/>
          <w:lang w:val="it-IT"/>
        </w:rPr>
        <w:t>.</w:t>
      </w:r>
    </w:p>
    <w:p w14:paraId="6D7B5308" w14:textId="77777777" w:rsidR="00A62E46" w:rsidRPr="00A62E46" w:rsidRDefault="00A62E46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</w:p>
    <w:p w14:paraId="306D17D8" w14:textId="42DCC817" w:rsidR="00C52F34" w:rsidRPr="00A62E46" w:rsidRDefault="000015F6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  <w:r w:rsidRPr="00A62E46">
        <w:rPr>
          <w:rFonts w:eastAsia="Times New Roman" w:cs="Times New Roman"/>
          <w:b/>
          <w:sz w:val="24"/>
          <w:lang w:val="it-IT"/>
        </w:rPr>
        <w:t>Metodi</w:t>
      </w:r>
    </w:p>
    <w:p w14:paraId="18F809F1" w14:textId="1705E822" w:rsidR="00FF1A1E" w:rsidRPr="00FF1A1E" w:rsidRDefault="00D74ED2" w:rsidP="00FF1A1E">
      <w:pPr>
        <w:spacing w:after="0" w:line="240" w:lineRule="auto"/>
        <w:rPr>
          <w:rFonts w:eastAsia="Times New Roman" w:cs="Times New Roman"/>
          <w:sz w:val="24"/>
          <w:lang w:val="it-IT"/>
        </w:rPr>
      </w:pPr>
      <w:r>
        <w:rPr>
          <w:rFonts w:eastAsia="Times New Roman" w:cs="Times New Roman"/>
          <w:sz w:val="24"/>
          <w:lang w:val="it-IT"/>
        </w:rPr>
        <w:t xml:space="preserve">Al fine di identificare tutti i casi </w:t>
      </w:r>
      <w:r w:rsidR="0080336F">
        <w:rPr>
          <w:rFonts w:eastAsia="Times New Roman" w:cs="Times New Roman"/>
          <w:sz w:val="24"/>
          <w:lang w:val="it-IT"/>
        </w:rPr>
        <w:t xml:space="preserve">incidenti </w:t>
      </w:r>
      <w:r w:rsidR="0080336F" w:rsidRPr="00FF1A1E">
        <w:rPr>
          <w:rFonts w:eastAsia="Times New Roman" w:cs="Times New Roman"/>
          <w:sz w:val="24"/>
          <w:lang w:val="it-IT"/>
        </w:rPr>
        <w:t>di SLA diagnosticati nel periodo 2008-2011 ne</w:t>
      </w:r>
      <w:r>
        <w:rPr>
          <w:rFonts w:eastAsia="Times New Roman" w:cs="Times New Roman"/>
          <w:sz w:val="24"/>
          <w:lang w:val="it-IT"/>
        </w:rPr>
        <w:t>lle tre province in studio</w:t>
      </w:r>
      <w:r w:rsidR="0080336F">
        <w:rPr>
          <w:rFonts w:eastAsia="Times New Roman" w:cs="Times New Roman"/>
          <w:sz w:val="24"/>
          <w:lang w:val="it-IT"/>
        </w:rPr>
        <w:t xml:space="preserve"> sono stati utilizzati i dati provenienti dal</w:t>
      </w:r>
      <w:r w:rsidR="00FF1A1E" w:rsidRPr="00FF1A1E">
        <w:rPr>
          <w:rFonts w:eastAsia="Times New Roman" w:cs="Times New Roman"/>
          <w:sz w:val="24"/>
          <w:lang w:val="it-IT"/>
        </w:rPr>
        <w:t xml:space="preserve"> Registro SLA della Regione Emilia-Romagna integrato con i flussi </w:t>
      </w:r>
      <w:r w:rsidR="0080336F">
        <w:rPr>
          <w:rFonts w:eastAsia="Times New Roman" w:cs="Times New Roman"/>
          <w:sz w:val="24"/>
          <w:lang w:val="it-IT"/>
        </w:rPr>
        <w:t>informativi</w:t>
      </w:r>
      <w:r w:rsidR="00FF1A1E" w:rsidRPr="00FF1A1E">
        <w:rPr>
          <w:rFonts w:eastAsia="Times New Roman" w:cs="Times New Roman"/>
          <w:sz w:val="24"/>
          <w:lang w:val="it-IT"/>
        </w:rPr>
        <w:t xml:space="preserve"> d</w:t>
      </w:r>
      <w:r w:rsidR="0080336F">
        <w:rPr>
          <w:rFonts w:eastAsia="Times New Roman" w:cs="Times New Roman"/>
          <w:sz w:val="24"/>
          <w:lang w:val="it-IT"/>
        </w:rPr>
        <w:t>e</w:t>
      </w:r>
      <w:r w:rsidR="00FF1A1E" w:rsidRPr="00FF1A1E">
        <w:rPr>
          <w:rFonts w:eastAsia="Times New Roman" w:cs="Times New Roman"/>
          <w:sz w:val="24"/>
          <w:lang w:val="it-IT"/>
        </w:rPr>
        <w:t xml:space="preserve">gli archivi </w:t>
      </w:r>
      <w:r w:rsidR="0080336F">
        <w:rPr>
          <w:rFonts w:eastAsia="Times New Roman" w:cs="Times New Roman"/>
          <w:sz w:val="24"/>
          <w:lang w:val="it-IT"/>
        </w:rPr>
        <w:t xml:space="preserve">della banca </w:t>
      </w:r>
      <w:r w:rsidR="00FF1A1E" w:rsidRPr="00FF1A1E">
        <w:rPr>
          <w:rFonts w:eastAsia="Times New Roman" w:cs="Times New Roman"/>
          <w:sz w:val="24"/>
          <w:lang w:val="it-IT"/>
        </w:rPr>
        <w:t xml:space="preserve">dati SDO, </w:t>
      </w:r>
      <w:r w:rsidR="0080336F">
        <w:rPr>
          <w:rFonts w:eastAsia="Times New Roman" w:cs="Times New Roman"/>
          <w:sz w:val="24"/>
          <w:lang w:val="it-IT"/>
        </w:rPr>
        <w:t xml:space="preserve">delle </w:t>
      </w:r>
      <w:r>
        <w:rPr>
          <w:rFonts w:eastAsia="Times New Roman" w:cs="Times New Roman"/>
          <w:sz w:val="24"/>
          <w:lang w:val="it-IT"/>
        </w:rPr>
        <w:t>prescrizioni</w:t>
      </w:r>
      <w:r w:rsidR="0080336F">
        <w:rPr>
          <w:rFonts w:eastAsia="Times New Roman" w:cs="Times New Roman"/>
          <w:sz w:val="24"/>
          <w:lang w:val="it-IT"/>
        </w:rPr>
        <w:t xml:space="preserve"> farmacologiche e delle schede di morte. </w:t>
      </w:r>
      <w:r w:rsidR="00A77877">
        <w:rPr>
          <w:rFonts w:eastAsia="Times New Roman" w:cs="Times New Roman"/>
          <w:sz w:val="24"/>
          <w:lang w:val="it-IT"/>
        </w:rPr>
        <w:t>I controlli</w:t>
      </w:r>
      <w:r w:rsidR="0080336F">
        <w:rPr>
          <w:rFonts w:eastAsia="Times New Roman" w:cs="Times New Roman"/>
          <w:sz w:val="24"/>
          <w:lang w:val="it-IT"/>
        </w:rPr>
        <w:t xml:space="preserve"> </w:t>
      </w:r>
      <w:r w:rsidR="00A77877">
        <w:rPr>
          <w:rFonts w:eastAsia="Times New Roman" w:cs="Times New Roman"/>
          <w:sz w:val="24"/>
          <w:lang w:val="it-IT"/>
        </w:rPr>
        <w:t xml:space="preserve">sono stati </w:t>
      </w:r>
      <w:r w:rsidR="00FF1A1E" w:rsidRPr="00FF1A1E">
        <w:rPr>
          <w:rFonts w:eastAsia="Times New Roman" w:cs="Times New Roman"/>
          <w:sz w:val="24"/>
          <w:lang w:val="it-IT"/>
        </w:rPr>
        <w:t>estratti con procedura casuale dalla popolazione generale mediante gli archivi degli assistiti AUSL</w:t>
      </w:r>
      <w:r w:rsidR="0026528C">
        <w:rPr>
          <w:rFonts w:eastAsia="Times New Roman" w:cs="Times New Roman"/>
          <w:sz w:val="24"/>
          <w:lang w:val="it-IT"/>
        </w:rPr>
        <w:t>.</w:t>
      </w:r>
      <w:r w:rsidR="00FF1A1E" w:rsidRPr="00FF1A1E">
        <w:rPr>
          <w:rFonts w:eastAsia="Times New Roman" w:cs="Times New Roman"/>
          <w:sz w:val="24"/>
          <w:lang w:val="it-IT"/>
        </w:rPr>
        <w:t xml:space="preserve"> A ciascun paziente (o alle loro famiglie nel caso di decesso) ed ai relativi controlli è stato </w:t>
      </w:r>
      <w:r w:rsidR="00A77877">
        <w:rPr>
          <w:rFonts w:eastAsia="Times New Roman" w:cs="Times New Roman"/>
          <w:sz w:val="24"/>
          <w:lang w:val="it-IT"/>
        </w:rPr>
        <w:t>inviato per via postale</w:t>
      </w:r>
      <w:r w:rsidR="00FF1A1E" w:rsidRPr="00FF1A1E">
        <w:rPr>
          <w:rFonts w:eastAsia="Times New Roman" w:cs="Times New Roman"/>
          <w:sz w:val="24"/>
          <w:lang w:val="it-IT"/>
        </w:rPr>
        <w:t xml:space="preserve"> un questionario che prevedeva la raccolta di informazioni personali, cliniche e generali.</w:t>
      </w:r>
    </w:p>
    <w:p w14:paraId="4B23BD17" w14:textId="77777777" w:rsidR="00D74ED2" w:rsidRDefault="00D74ED2" w:rsidP="00D74ED2">
      <w:pPr>
        <w:spacing w:after="0" w:line="240" w:lineRule="auto"/>
        <w:rPr>
          <w:sz w:val="24"/>
          <w:szCs w:val="24"/>
          <w:lang w:val="it-IT"/>
        </w:rPr>
      </w:pPr>
    </w:p>
    <w:p w14:paraId="64388F56" w14:textId="14205EA1" w:rsidR="00C52F34" w:rsidRPr="00A62E46" w:rsidRDefault="000015F6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  <w:r w:rsidRPr="00A62E46">
        <w:rPr>
          <w:rFonts w:eastAsia="Times New Roman" w:cs="Times New Roman"/>
          <w:b/>
          <w:sz w:val="24"/>
          <w:lang w:val="it-IT"/>
        </w:rPr>
        <w:t>Risultati</w:t>
      </w:r>
    </w:p>
    <w:p w14:paraId="52650857" w14:textId="54FDBEB7" w:rsidR="00FF1A1E" w:rsidRDefault="00A77877" w:rsidP="00FF1A1E">
      <w:pPr>
        <w:spacing w:after="0" w:line="240" w:lineRule="auto"/>
        <w:rPr>
          <w:rFonts w:eastAsia="Times New Roman" w:cs="Times New Roman"/>
          <w:sz w:val="24"/>
          <w:lang w:val="it-IT"/>
        </w:rPr>
      </w:pPr>
      <w:r>
        <w:rPr>
          <w:rFonts w:eastAsia="Times New Roman" w:cs="Times New Roman"/>
          <w:sz w:val="24"/>
          <w:lang w:val="it-IT"/>
        </w:rPr>
        <w:t xml:space="preserve">In totale sono stati raccolti 162 questionari (61 casi e 101 controlli, tasso di risposta medio di 18,5%). </w:t>
      </w:r>
      <w:r w:rsidR="00FF1A1E" w:rsidRPr="00FF1A1E">
        <w:rPr>
          <w:rFonts w:eastAsia="Times New Roman" w:cs="Times New Roman"/>
          <w:sz w:val="24"/>
          <w:lang w:val="it-IT"/>
        </w:rPr>
        <w:t xml:space="preserve">I risultati ottenuti dall’analisi dei questionari mostrano </w:t>
      </w:r>
      <w:r w:rsidR="00724CEA">
        <w:rPr>
          <w:rFonts w:eastAsia="Times New Roman" w:cs="Times New Roman"/>
          <w:sz w:val="24"/>
          <w:lang w:val="it-IT"/>
        </w:rPr>
        <w:t xml:space="preserve">un </w:t>
      </w:r>
      <w:r>
        <w:rPr>
          <w:rFonts w:eastAsia="Times New Roman" w:cs="Times New Roman"/>
          <w:sz w:val="24"/>
          <w:lang w:val="it-IT"/>
        </w:rPr>
        <w:t xml:space="preserve">aumentato </w:t>
      </w:r>
      <w:r w:rsidR="00724CEA">
        <w:rPr>
          <w:rFonts w:eastAsia="Times New Roman" w:cs="Times New Roman"/>
          <w:sz w:val="24"/>
          <w:lang w:val="it-IT"/>
        </w:rPr>
        <w:t xml:space="preserve">rischio per aver svolto </w:t>
      </w:r>
      <w:r w:rsidR="00FF1A1E" w:rsidRPr="00FF1A1E">
        <w:rPr>
          <w:rFonts w:eastAsia="Times New Roman" w:cs="Times New Roman"/>
          <w:sz w:val="24"/>
          <w:lang w:val="it-IT"/>
        </w:rPr>
        <w:t xml:space="preserve">attività lavorativa in ambito agricolo </w:t>
      </w:r>
      <w:r>
        <w:rPr>
          <w:rFonts w:eastAsia="Times New Roman" w:cs="Times New Roman"/>
          <w:sz w:val="24"/>
          <w:lang w:val="it-IT"/>
        </w:rPr>
        <w:t>(</w:t>
      </w:r>
      <w:proofErr w:type="spellStart"/>
      <w:r>
        <w:rPr>
          <w:rFonts w:eastAsia="Times New Roman" w:cs="Times New Roman"/>
          <w:sz w:val="24"/>
          <w:lang w:val="it-IT"/>
        </w:rPr>
        <w:t>odds</w:t>
      </w:r>
      <w:proofErr w:type="spellEnd"/>
      <w:r>
        <w:rPr>
          <w:rFonts w:eastAsia="Times New Roman" w:cs="Times New Roman"/>
          <w:sz w:val="24"/>
          <w:lang w:val="it-IT"/>
        </w:rPr>
        <w:t xml:space="preserve"> ratio- OR =</w:t>
      </w:r>
      <w:r w:rsidR="00724CEA">
        <w:rPr>
          <w:rFonts w:eastAsia="Times New Roman" w:cs="Times New Roman"/>
          <w:sz w:val="24"/>
          <w:lang w:val="it-IT"/>
        </w:rPr>
        <w:t xml:space="preserve"> 2.44 (intervallo di confidenza </w:t>
      </w:r>
      <w:r w:rsidR="00183ACB">
        <w:rPr>
          <w:rFonts w:eastAsia="Times New Roman" w:cs="Times New Roman"/>
          <w:sz w:val="24"/>
          <w:lang w:val="it-IT"/>
        </w:rPr>
        <w:t xml:space="preserve">– </w:t>
      </w:r>
      <w:r w:rsidR="00724CEA">
        <w:rPr>
          <w:rFonts w:eastAsia="Times New Roman" w:cs="Times New Roman"/>
          <w:sz w:val="24"/>
          <w:lang w:val="it-IT"/>
        </w:rPr>
        <w:t>IC</w:t>
      </w:r>
      <w:r w:rsidR="00183ACB">
        <w:rPr>
          <w:rFonts w:eastAsia="Times New Roman" w:cs="Times New Roman"/>
          <w:sz w:val="24"/>
          <w:lang w:val="it-IT"/>
        </w:rPr>
        <w:t xml:space="preserve"> </w:t>
      </w:r>
      <w:r w:rsidR="00FF1A1E" w:rsidRPr="00FF1A1E">
        <w:rPr>
          <w:rFonts w:eastAsia="Times New Roman" w:cs="Times New Roman"/>
          <w:sz w:val="24"/>
          <w:lang w:val="it-IT"/>
        </w:rPr>
        <w:t xml:space="preserve"> 95% 1.02-5.79), per chi avesse svolto attività lavorativa da saldatore OR</w:t>
      </w:r>
      <w:r w:rsidR="00724CEA">
        <w:rPr>
          <w:rFonts w:eastAsia="Times New Roman" w:cs="Times New Roman"/>
          <w:sz w:val="24"/>
          <w:lang w:val="it-IT"/>
        </w:rPr>
        <w:t xml:space="preserve"> </w:t>
      </w:r>
      <w:r w:rsidR="00FF1A1E" w:rsidRPr="00FF1A1E">
        <w:rPr>
          <w:rFonts w:eastAsia="Times New Roman" w:cs="Times New Roman"/>
          <w:sz w:val="24"/>
          <w:lang w:val="it-IT"/>
        </w:rPr>
        <w:t>= 1.25 (IC 95% 0.27-</w:t>
      </w:r>
      <w:r w:rsidR="00FF1A1E" w:rsidRPr="00FF1A1E">
        <w:rPr>
          <w:rFonts w:eastAsia="Times New Roman" w:cs="Times New Roman"/>
          <w:sz w:val="24"/>
          <w:lang w:val="it-IT"/>
        </w:rPr>
        <w:lastRenderedPageBreak/>
        <w:t>5.80)</w:t>
      </w:r>
      <w:r w:rsidR="00724CEA">
        <w:rPr>
          <w:rFonts w:eastAsia="Times New Roman" w:cs="Times New Roman"/>
          <w:sz w:val="24"/>
          <w:lang w:val="it-IT"/>
        </w:rPr>
        <w:t xml:space="preserve">. </w:t>
      </w:r>
      <w:r w:rsidR="00183ACB">
        <w:rPr>
          <w:rFonts w:eastAsia="Times New Roman" w:cs="Times New Roman"/>
          <w:sz w:val="24"/>
          <w:lang w:val="it-IT"/>
        </w:rPr>
        <w:t xml:space="preserve">In riferimento alla storia occupazionale, abbiamo </w:t>
      </w:r>
      <w:r w:rsidR="00524C0D">
        <w:rPr>
          <w:rFonts w:eastAsia="Times New Roman" w:cs="Times New Roman"/>
          <w:sz w:val="24"/>
          <w:lang w:val="it-IT"/>
        </w:rPr>
        <w:t xml:space="preserve">evidenziato un aumentato rischio </w:t>
      </w:r>
      <w:r w:rsidR="00183ACB">
        <w:rPr>
          <w:rFonts w:eastAsia="Times New Roman" w:cs="Times New Roman"/>
          <w:sz w:val="24"/>
          <w:lang w:val="it-IT"/>
        </w:rPr>
        <w:t>derivante da esposizione a metalli pesanti, tra cui piombo (OR=3.40, IC 95% 1.40-8.56) e mercurio (</w:t>
      </w:r>
      <w:r w:rsidR="00183ACB" w:rsidRPr="00183ACB">
        <w:rPr>
          <w:rFonts w:eastAsia="Times New Roman" w:cs="Times New Roman"/>
          <w:sz w:val="24"/>
          <w:lang w:val="it-IT"/>
        </w:rPr>
        <w:t>OR=6.86, IC 95% 0.75-62.88)</w:t>
      </w:r>
      <w:r w:rsidR="00524C0D">
        <w:rPr>
          <w:rFonts w:eastAsia="Times New Roman" w:cs="Times New Roman"/>
          <w:sz w:val="24"/>
          <w:lang w:val="it-IT"/>
        </w:rPr>
        <w:t xml:space="preserve">, </w:t>
      </w:r>
      <w:r w:rsidR="00183ACB">
        <w:rPr>
          <w:rFonts w:eastAsia="Times New Roman" w:cs="Times New Roman"/>
          <w:sz w:val="24"/>
          <w:lang w:val="it-IT"/>
        </w:rPr>
        <w:t>e</w:t>
      </w:r>
      <w:r w:rsidR="00524C0D">
        <w:rPr>
          <w:rFonts w:eastAsia="Times New Roman" w:cs="Times New Roman"/>
          <w:sz w:val="24"/>
          <w:lang w:val="it-IT"/>
        </w:rPr>
        <w:t xml:space="preserve"> </w:t>
      </w:r>
      <w:r w:rsidR="00183ACB">
        <w:rPr>
          <w:rFonts w:eastAsia="Times New Roman" w:cs="Times New Roman"/>
          <w:sz w:val="24"/>
          <w:lang w:val="it-IT"/>
        </w:rPr>
        <w:t>pesticidi</w:t>
      </w:r>
      <w:r w:rsidR="00524C0D">
        <w:rPr>
          <w:rFonts w:eastAsia="Times New Roman" w:cs="Times New Roman"/>
          <w:sz w:val="24"/>
          <w:lang w:val="it-IT"/>
        </w:rPr>
        <w:t>,</w:t>
      </w:r>
      <w:r w:rsidR="00183ACB">
        <w:rPr>
          <w:rFonts w:eastAsia="Times New Roman" w:cs="Times New Roman"/>
          <w:sz w:val="24"/>
          <w:lang w:val="it-IT"/>
        </w:rPr>
        <w:t xml:space="preserve"> tra cui insetticidi (</w:t>
      </w:r>
      <w:r w:rsidR="00183ACB" w:rsidRPr="00183ACB">
        <w:rPr>
          <w:rFonts w:eastAsia="Times New Roman" w:cs="Times New Roman"/>
          <w:sz w:val="24"/>
          <w:lang w:val="it-IT"/>
        </w:rPr>
        <w:t>OR=1.61, IC 95% 0.77-3.34)</w:t>
      </w:r>
      <w:r w:rsidR="00183ACB">
        <w:rPr>
          <w:rFonts w:eastAsia="Times New Roman" w:cs="Times New Roman"/>
          <w:sz w:val="24"/>
          <w:lang w:val="it-IT"/>
        </w:rPr>
        <w:t>, erbicidi (</w:t>
      </w:r>
      <w:r w:rsidR="00183ACB" w:rsidRPr="00183ACB">
        <w:rPr>
          <w:rFonts w:eastAsia="Times New Roman" w:cs="Times New Roman"/>
          <w:sz w:val="24"/>
          <w:lang w:val="it-IT"/>
        </w:rPr>
        <w:t>OR=1.89, IC 95% 0.75-4.77)</w:t>
      </w:r>
      <w:r w:rsidR="00183ACB">
        <w:rPr>
          <w:rFonts w:eastAsia="Times New Roman" w:cs="Times New Roman"/>
          <w:sz w:val="24"/>
          <w:lang w:val="it-IT"/>
        </w:rPr>
        <w:t xml:space="preserve"> e fungicidi</w:t>
      </w:r>
      <w:r w:rsidR="00524C0D">
        <w:rPr>
          <w:rFonts w:eastAsia="Times New Roman" w:cs="Times New Roman"/>
          <w:sz w:val="24"/>
          <w:lang w:val="it-IT"/>
        </w:rPr>
        <w:t xml:space="preserve"> (</w:t>
      </w:r>
      <w:r w:rsidR="00524C0D" w:rsidRPr="00524C0D">
        <w:rPr>
          <w:rFonts w:eastAsia="Times New Roman" w:cs="Times New Roman"/>
          <w:sz w:val="24"/>
          <w:lang w:val="it-IT"/>
        </w:rPr>
        <w:t>OR=1.93, IC 95% 0.70-5.30)</w:t>
      </w:r>
      <w:r w:rsidR="00524C0D">
        <w:rPr>
          <w:rFonts w:eastAsia="Times New Roman" w:cs="Times New Roman"/>
          <w:sz w:val="24"/>
          <w:lang w:val="it-IT"/>
        </w:rPr>
        <w:t xml:space="preserve">. </w:t>
      </w:r>
    </w:p>
    <w:p w14:paraId="7FDB70F1" w14:textId="77777777" w:rsidR="00724CEA" w:rsidRDefault="00724CEA" w:rsidP="00FF1A1E">
      <w:pPr>
        <w:spacing w:after="0" w:line="240" w:lineRule="auto"/>
        <w:rPr>
          <w:rFonts w:eastAsia="Times New Roman" w:cs="Times New Roman"/>
          <w:sz w:val="24"/>
          <w:lang w:val="it-IT"/>
        </w:rPr>
      </w:pPr>
    </w:p>
    <w:p w14:paraId="68DFB639" w14:textId="38DB0833" w:rsidR="000015F6" w:rsidRPr="00A62E46" w:rsidRDefault="00A94F74" w:rsidP="00A62E46">
      <w:pPr>
        <w:spacing w:after="0" w:line="240" w:lineRule="auto"/>
        <w:rPr>
          <w:rFonts w:eastAsia="Times New Roman" w:cs="Times New Roman"/>
          <w:sz w:val="24"/>
          <w:lang w:val="it-IT"/>
        </w:rPr>
      </w:pPr>
      <w:r w:rsidRPr="00A62E46">
        <w:rPr>
          <w:rFonts w:eastAsia="Times New Roman" w:cs="Times New Roman"/>
          <w:b/>
          <w:sz w:val="24"/>
          <w:lang w:val="it-IT"/>
        </w:rPr>
        <w:t>Conclusioni</w:t>
      </w:r>
    </w:p>
    <w:p w14:paraId="5AE3A73B" w14:textId="28ED5ED2" w:rsidR="00FF1A1E" w:rsidRDefault="00524C0D" w:rsidP="00FF1A1E">
      <w:pPr>
        <w:spacing w:after="0" w:line="240" w:lineRule="auto"/>
        <w:rPr>
          <w:rFonts w:eastAsia="Times New Roman" w:cs="Times New Roman"/>
          <w:sz w:val="24"/>
          <w:lang w:val="it-IT"/>
        </w:rPr>
      </w:pPr>
      <w:r>
        <w:rPr>
          <w:rFonts w:eastAsia="Times New Roman" w:cs="Times New Roman"/>
          <w:sz w:val="24"/>
          <w:lang w:val="it-IT"/>
        </w:rPr>
        <w:t xml:space="preserve">Sebbene tali risultati </w:t>
      </w:r>
      <w:r w:rsidR="00A77877">
        <w:rPr>
          <w:rFonts w:eastAsia="Times New Roman" w:cs="Times New Roman"/>
          <w:sz w:val="24"/>
          <w:lang w:val="it-IT"/>
        </w:rPr>
        <w:t>debbano</w:t>
      </w:r>
      <w:r>
        <w:rPr>
          <w:rFonts w:eastAsia="Times New Roman" w:cs="Times New Roman"/>
          <w:sz w:val="24"/>
          <w:lang w:val="it-IT"/>
        </w:rPr>
        <w:t xml:space="preserve"> essere considerati con cautela per l’</w:t>
      </w:r>
      <w:r w:rsidR="00A77877">
        <w:rPr>
          <w:rFonts w:eastAsia="Times New Roman" w:cs="Times New Roman"/>
          <w:sz w:val="24"/>
          <w:lang w:val="it-IT"/>
        </w:rPr>
        <w:t>eventualità della presenza di</w:t>
      </w:r>
      <w:r>
        <w:rPr>
          <w:rFonts w:eastAsia="Times New Roman" w:cs="Times New Roman"/>
          <w:sz w:val="24"/>
          <w:lang w:val="it-IT"/>
        </w:rPr>
        <w:t xml:space="preserve"> bias di </w:t>
      </w:r>
      <w:r w:rsidR="00A77877">
        <w:rPr>
          <w:rFonts w:eastAsia="Times New Roman" w:cs="Times New Roman"/>
          <w:sz w:val="24"/>
          <w:lang w:val="it-IT"/>
        </w:rPr>
        <w:t xml:space="preserve">selezione e di </w:t>
      </w:r>
      <w:r>
        <w:rPr>
          <w:rFonts w:eastAsia="Times New Roman" w:cs="Times New Roman"/>
          <w:sz w:val="24"/>
          <w:lang w:val="it-IT"/>
        </w:rPr>
        <w:t>informazione, tuttavia suggeriscono un potenziale ruolo eziologico nello sviluppo della forma sporadica di SLA di due categorie di sostanze dal potenziale neurotossico come metalli pesanti e pesticidi</w:t>
      </w:r>
    </w:p>
    <w:p w14:paraId="4A84D45D" w14:textId="77777777" w:rsidR="00524C0D" w:rsidRDefault="00524C0D" w:rsidP="00FF1A1E">
      <w:pPr>
        <w:spacing w:after="0" w:line="240" w:lineRule="auto"/>
        <w:rPr>
          <w:rFonts w:eastAsia="Times New Roman" w:cs="Times New Roman"/>
          <w:sz w:val="24"/>
          <w:lang w:val="it-IT"/>
        </w:rPr>
      </w:pPr>
    </w:p>
    <w:p w14:paraId="695E9CB2" w14:textId="77777777" w:rsidR="000015F6" w:rsidRPr="00683AC4" w:rsidRDefault="000015F6" w:rsidP="000015F6">
      <w:pPr>
        <w:spacing w:after="160" w:line="259" w:lineRule="auto"/>
        <w:rPr>
          <w:rFonts w:eastAsia="Times New Roman" w:cs="Times New Roman"/>
          <w:lang w:val="it-IT"/>
        </w:rPr>
      </w:pPr>
    </w:p>
    <w:p w14:paraId="6DAE3965" w14:textId="77777777" w:rsidR="00B57457" w:rsidRPr="00683AC4" w:rsidRDefault="00B57457" w:rsidP="000015F6">
      <w:pPr>
        <w:rPr>
          <w:lang w:val="it-IT"/>
        </w:rPr>
      </w:pPr>
    </w:p>
    <w:sectPr w:rsidR="00B57457" w:rsidRPr="00683AC4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12C03E" w14:textId="77777777" w:rsidR="00574695" w:rsidRDefault="00574695" w:rsidP="00F5736B">
      <w:pPr>
        <w:spacing w:after="0" w:line="240" w:lineRule="auto"/>
      </w:pPr>
      <w:r>
        <w:separator/>
      </w:r>
    </w:p>
  </w:endnote>
  <w:endnote w:type="continuationSeparator" w:id="0">
    <w:p w14:paraId="0FC713BD" w14:textId="77777777" w:rsidR="00574695" w:rsidRDefault="00574695" w:rsidP="00F573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EE3058" w14:textId="77777777" w:rsidR="00574695" w:rsidRDefault="00574695" w:rsidP="00F5736B">
      <w:pPr>
        <w:spacing w:after="0" w:line="240" w:lineRule="auto"/>
      </w:pPr>
      <w:r>
        <w:separator/>
      </w:r>
    </w:p>
  </w:footnote>
  <w:footnote w:type="continuationSeparator" w:id="0">
    <w:p w14:paraId="3F15C052" w14:textId="77777777" w:rsidR="00574695" w:rsidRDefault="00574695" w:rsidP="00F573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6C5E42" w14:textId="4AA30A48" w:rsidR="00F5736B" w:rsidRPr="00114E63" w:rsidRDefault="00F5736B" w:rsidP="00B62997">
    <w:pPr>
      <w:pStyle w:val="Intestazione"/>
      <w:jc w:val="center"/>
      <w:rPr>
        <w:lang w:val="it-IT"/>
      </w:rPr>
    </w:pPr>
    <w:r w:rsidRPr="00114E63">
      <w:rPr>
        <w:lang w:val="it-IT"/>
      </w:rPr>
      <w:t xml:space="preserve">Modulo invio </w:t>
    </w:r>
    <w:proofErr w:type="spellStart"/>
    <w:r w:rsidRPr="00114E63">
      <w:rPr>
        <w:lang w:val="it-IT"/>
      </w:rPr>
      <w:t>abstract</w:t>
    </w:r>
    <w:proofErr w:type="spellEnd"/>
    <w:r w:rsidRPr="00114E63">
      <w:rPr>
        <w:lang w:val="it-IT"/>
      </w:rPr>
      <w:t xml:space="preserve"> </w:t>
    </w:r>
    <w:r w:rsidR="00B62997" w:rsidRPr="00114E63">
      <w:rPr>
        <w:lang w:val="it-IT"/>
      </w:rPr>
      <w:t>Convegno AIE di Primavera 2017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B88"/>
    <w:rsid w:val="000015F6"/>
    <w:rsid w:val="000340A9"/>
    <w:rsid w:val="00044BE6"/>
    <w:rsid w:val="000507FF"/>
    <w:rsid w:val="00096363"/>
    <w:rsid w:val="000B74EB"/>
    <w:rsid w:val="000D5B17"/>
    <w:rsid w:val="00114E63"/>
    <w:rsid w:val="0012367B"/>
    <w:rsid w:val="00183ACB"/>
    <w:rsid w:val="00195814"/>
    <w:rsid w:val="001967AB"/>
    <w:rsid w:val="001B0CF4"/>
    <w:rsid w:val="00203B58"/>
    <w:rsid w:val="00225EC9"/>
    <w:rsid w:val="002343BE"/>
    <w:rsid w:val="0026195C"/>
    <w:rsid w:val="0026528C"/>
    <w:rsid w:val="00283869"/>
    <w:rsid w:val="00292709"/>
    <w:rsid w:val="002B79F3"/>
    <w:rsid w:val="002E21EC"/>
    <w:rsid w:val="003A0B87"/>
    <w:rsid w:val="00440961"/>
    <w:rsid w:val="004B1FBB"/>
    <w:rsid w:val="00524C0D"/>
    <w:rsid w:val="005509FE"/>
    <w:rsid w:val="00574695"/>
    <w:rsid w:val="00576C3F"/>
    <w:rsid w:val="00577620"/>
    <w:rsid w:val="0058406D"/>
    <w:rsid w:val="00593B68"/>
    <w:rsid w:val="005B7DE7"/>
    <w:rsid w:val="005E25EC"/>
    <w:rsid w:val="00683AC4"/>
    <w:rsid w:val="00706886"/>
    <w:rsid w:val="00724CEA"/>
    <w:rsid w:val="0074044D"/>
    <w:rsid w:val="00774F7A"/>
    <w:rsid w:val="0080336F"/>
    <w:rsid w:val="0081701E"/>
    <w:rsid w:val="0083334B"/>
    <w:rsid w:val="00843DEB"/>
    <w:rsid w:val="00904F4F"/>
    <w:rsid w:val="00924BD8"/>
    <w:rsid w:val="00933A3F"/>
    <w:rsid w:val="00940E43"/>
    <w:rsid w:val="0095792D"/>
    <w:rsid w:val="009B69DC"/>
    <w:rsid w:val="009C61A6"/>
    <w:rsid w:val="009F0A97"/>
    <w:rsid w:val="00A41DB0"/>
    <w:rsid w:val="00A62E46"/>
    <w:rsid w:val="00A77877"/>
    <w:rsid w:val="00A94F74"/>
    <w:rsid w:val="00AD7A9B"/>
    <w:rsid w:val="00AE0B88"/>
    <w:rsid w:val="00B06AEC"/>
    <w:rsid w:val="00B3347A"/>
    <w:rsid w:val="00B57457"/>
    <w:rsid w:val="00B62997"/>
    <w:rsid w:val="00B82D76"/>
    <w:rsid w:val="00BE6972"/>
    <w:rsid w:val="00C04C80"/>
    <w:rsid w:val="00C2609C"/>
    <w:rsid w:val="00C52F34"/>
    <w:rsid w:val="00D43A31"/>
    <w:rsid w:val="00D74ED2"/>
    <w:rsid w:val="00DC0251"/>
    <w:rsid w:val="00E22F85"/>
    <w:rsid w:val="00E949F9"/>
    <w:rsid w:val="00EC5780"/>
    <w:rsid w:val="00F5736B"/>
    <w:rsid w:val="00FC717C"/>
    <w:rsid w:val="00FF1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707F3F"/>
  <w15:docId w15:val="{B5B03FF5-25EB-48E9-A5F2-86CCA9CB8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015F6"/>
    <w:pPr>
      <w:spacing w:after="200" w:line="276" w:lineRule="auto"/>
    </w:pPr>
    <w:rPr>
      <w:rFonts w:eastAsiaTheme="minorEastAsia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74F7A"/>
    <w:pPr>
      <w:spacing w:after="0" w:line="240" w:lineRule="auto"/>
    </w:pPr>
    <w:rPr>
      <w:rFonts w:ascii="Segoe UI" w:eastAsiaTheme="minorHAnsi" w:hAnsi="Segoe UI" w:cs="Segoe UI"/>
      <w:sz w:val="18"/>
      <w:szCs w:val="18"/>
      <w:lang w:val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74F7A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044B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F5736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736B"/>
    <w:rPr>
      <w:rFonts w:eastAsiaTheme="minorEastAsia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F5736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736B"/>
    <w:rPr>
      <w:rFonts w:eastAsiaTheme="minorEastAsia"/>
      <w:lang w:val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4B1FBB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B1FBB"/>
    <w:pPr>
      <w:spacing w:line="240" w:lineRule="auto"/>
    </w:pPr>
    <w:rPr>
      <w:sz w:val="24"/>
      <w:szCs w:val="24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B1FBB"/>
    <w:rPr>
      <w:rFonts w:eastAsiaTheme="minorEastAsia"/>
      <w:sz w:val="24"/>
      <w:szCs w:val="24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B1FBB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B1FBB"/>
    <w:rPr>
      <w:rFonts w:eastAsiaTheme="minorEastAsia"/>
      <w:b/>
      <w:bCs/>
      <w:sz w:val="20"/>
      <w:szCs w:val="20"/>
      <w:lang w:val="en-US"/>
    </w:rPr>
  </w:style>
  <w:style w:type="paragraph" w:customStyle="1" w:styleId="Default">
    <w:name w:val="Default"/>
    <w:rsid w:val="00524C0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0EB958-C8E5-4745-AAB4-F9C23D412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Tommaso</dc:creator>
  <cp:lastModifiedBy>Tommaso</cp:lastModifiedBy>
  <cp:revision>3</cp:revision>
  <dcterms:created xsi:type="dcterms:W3CDTF">2017-04-10T18:49:00Z</dcterms:created>
  <dcterms:modified xsi:type="dcterms:W3CDTF">2018-05-24T08:58:00Z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matteoren@gmail.com@www.mendeley.com</vt:lpwstr>
  </property>
  <property fmtid="{D5CDD505-2E9C-101B-9397-08002B2CF9AE}" pid="4" name="Mendeley Citation Style_1">
    <vt:lpwstr>http://www.zotero.org/styles/occupational-and-environmental-medicine</vt:lpwstr>
  </property>
  <property fmtid="{D5CDD505-2E9C-101B-9397-08002B2CF9AE}" pid="5" name="Mendeley Recent Style Id 0_1">
    <vt:lpwstr>http://www.zotero.org/styles/american-political-science-association</vt:lpwstr>
  </property>
  <property fmtid="{D5CDD505-2E9C-101B-9397-08002B2CF9AE}" pid="6" name="Mendeley Recent Style Name 0_1">
    <vt:lpwstr>American Political Science Association</vt:lpwstr>
  </property>
  <property fmtid="{D5CDD505-2E9C-101B-9397-08002B2CF9AE}" pid="7" name="Mendeley Recent Style Id 1_1">
    <vt:lpwstr>http://www.zotero.org/styles/american-sociological-association</vt:lpwstr>
  </property>
  <property fmtid="{D5CDD505-2E9C-101B-9397-08002B2CF9AE}" pid="8" name="Mendeley Recent Style Name 1_1">
    <vt:lpwstr>American Sociological Association</vt:lpwstr>
  </property>
  <property fmtid="{D5CDD505-2E9C-101B-9397-08002B2CF9AE}" pid="9" name="Mendeley Recent Style Id 2_1">
    <vt:lpwstr>http://www.zotero.org/styles/chicago-author-date</vt:lpwstr>
  </property>
  <property fmtid="{D5CDD505-2E9C-101B-9397-08002B2CF9AE}" pid="10" name="Mendeley Recent Style Name 2_1">
    <vt:lpwstr>Chicago Manual of Style 16th edition (author-date)</vt:lpwstr>
  </property>
  <property fmtid="{D5CDD505-2E9C-101B-9397-08002B2CF9AE}" pid="11" name="Mendeley Recent Style Id 3_1">
    <vt:lpwstr>http://www.zotero.org/styles/environmental-health-perspectives</vt:lpwstr>
  </property>
  <property fmtid="{D5CDD505-2E9C-101B-9397-08002B2CF9AE}" pid="12" name="Mendeley Recent Style Name 3_1">
    <vt:lpwstr>Environmental Health Perspectives</vt:lpwstr>
  </property>
  <property fmtid="{D5CDD505-2E9C-101B-9397-08002B2CF9AE}" pid="13" name="Mendeley Recent Style Id 4_1">
    <vt:lpwstr>http://www.zotero.org/styles/harvard1</vt:lpwstr>
  </property>
  <property fmtid="{D5CDD505-2E9C-101B-9397-08002B2CF9AE}" pid="14" name="Mendeley Recent Style Name 4_1">
    <vt:lpwstr>Harvard Reference format 1 (author-date)</vt:lpwstr>
  </property>
  <property fmtid="{D5CDD505-2E9C-101B-9397-08002B2CF9AE}" pid="15" name="Mendeley Recent Style Id 5_1">
    <vt:lpwstr>http://www.zotero.org/styles/modern-humanities-research-association</vt:lpwstr>
  </property>
  <property fmtid="{D5CDD505-2E9C-101B-9397-08002B2CF9AE}" pid="16" name="Mendeley Recent Style Name 5_1">
    <vt:lpwstr>Modern Humanities Research Association 3rd edition (note with bibliography)</vt:lpwstr>
  </property>
  <property fmtid="{D5CDD505-2E9C-101B-9397-08002B2CF9AE}" pid="17" name="Mendeley Recent Style Id 6_1">
    <vt:lpwstr>http://www.zotero.org/styles/modern-language-association</vt:lpwstr>
  </property>
  <property fmtid="{D5CDD505-2E9C-101B-9397-08002B2CF9AE}" pid="18" name="Mendeley Recent Style Name 6_1">
    <vt:lpwstr>Modern Language Association 7th edition</vt:lpwstr>
  </property>
  <property fmtid="{D5CDD505-2E9C-101B-9397-08002B2CF9AE}" pid="19" name="Mendeley Recent Style Id 7_1">
    <vt:lpwstr>http://www.zotero.org/styles/national-library-of-medicine</vt:lpwstr>
  </property>
  <property fmtid="{D5CDD505-2E9C-101B-9397-08002B2CF9AE}" pid="20" name="Mendeley Recent Style Name 7_1">
    <vt:lpwstr>National Library of Medicine</vt:lpwstr>
  </property>
  <property fmtid="{D5CDD505-2E9C-101B-9397-08002B2CF9AE}" pid="21" name="Mendeley Recent Style Id 8_1">
    <vt:lpwstr>http://www.zotero.org/styles/nature</vt:lpwstr>
  </property>
  <property fmtid="{D5CDD505-2E9C-101B-9397-08002B2CF9AE}" pid="22" name="Mendeley Recent Style Name 8_1">
    <vt:lpwstr>Nature</vt:lpwstr>
  </property>
  <property fmtid="{D5CDD505-2E9C-101B-9397-08002B2CF9AE}" pid="23" name="Mendeley Recent Style Id 9_1">
    <vt:lpwstr>http://www.zotero.org/styles/occupational-and-environmental-medicine</vt:lpwstr>
  </property>
  <property fmtid="{D5CDD505-2E9C-101B-9397-08002B2CF9AE}" pid="24" name="Mendeley Recent Style Name 9_1">
    <vt:lpwstr>Occupational and Environmental Medicine</vt:lpwstr>
  </property>
</Properties>
</file>