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ntTable.xml" ContentType="application/vnd.openxmlformats-officedocument.wordprocessingml.fontTable+xml"/>
  <Override PartName="/word/people.xml" ContentType="application/vnd.openxmlformats-officedocument.wordprocessingml.peop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2BA541F" w14:textId="2BB4C901" w:rsidR="00FC6319" w:rsidRDefault="00FC6319" w:rsidP="00703CF5">
      <w:pPr>
        <w:jc w:val="both"/>
        <w:rPr>
          <w:rFonts w:ascii="Times New Roman" w:eastAsia="Times New Roman" w:hAnsi="Times New Roman" w:cs="Times New Roman"/>
          <w:sz w:val="24"/>
          <w:lang w:val="en-US"/>
        </w:rPr>
      </w:pPr>
      <w:bookmarkStart w:id="0" w:name="_GoBack"/>
      <w:bookmarkEnd w:id="0"/>
      <w:r w:rsidRPr="0002130C">
        <w:rPr>
          <w:rFonts w:ascii="Times New Roman" w:eastAsia="Times New Roman" w:hAnsi="Times New Roman" w:cs="Times New Roman"/>
          <w:sz w:val="24"/>
          <w:lang w:val="en-US"/>
        </w:rPr>
        <w:t>INFECTIONS OF SCLERODERMA DIGITAL ULCERS: A SINGLE CENTER COHORT RETROSPECTIVE STUDY.</w:t>
      </w:r>
    </w:p>
    <w:p w14:paraId="518FF491" w14:textId="1AA64A47" w:rsidR="00E30CD9" w:rsidRDefault="00E30CD9" w:rsidP="00703CF5">
      <w:pPr>
        <w:jc w:val="both"/>
        <w:rPr>
          <w:rFonts w:ascii="Times New Roman" w:eastAsia="Times New Roman" w:hAnsi="Times New Roman" w:cs="Times New Roman"/>
          <w:sz w:val="24"/>
          <w:lang w:val="en-US"/>
        </w:rPr>
      </w:pPr>
    </w:p>
    <w:p w14:paraId="4FBC689A" w14:textId="77777777" w:rsidR="00E30CD9" w:rsidRPr="00332B3C" w:rsidRDefault="00E30CD9" w:rsidP="00E30CD9">
      <w:pPr>
        <w:jc w:val="both"/>
        <w:rPr>
          <w:rFonts w:ascii="Times New Roman" w:eastAsia="Times New Roman" w:hAnsi="Times New Roman" w:cs="Times New Roman"/>
          <w:sz w:val="20"/>
          <w:szCs w:val="20"/>
          <w:lang w:val="en-US"/>
        </w:rPr>
      </w:pPr>
      <w:r w:rsidRPr="00332B3C">
        <w:rPr>
          <w:rFonts w:ascii="Times New Roman" w:eastAsia="Times New Roman" w:hAnsi="Times New Roman" w:cs="Times New Roman"/>
          <w:sz w:val="24"/>
          <w:lang w:val="en-US"/>
        </w:rPr>
        <w:t>Dilia Giuggioli,</w:t>
      </w:r>
      <w:r>
        <w:rPr>
          <w:rFonts w:ascii="Times New Roman" w:eastAsia="Times New Roman" w:hAnsi="Times New Roman" w:cs="Times New Roman"/>
          <w:sz w:val="24"/>
          <w:lang w:val="en-US"/>
        </w:rPr>
        <w:t xml:space="preserve"> Associate Professor of Rheumatology,</w:t>
      </w:r>
      <w:r w:rsidRPr="00332B3C">
        <w:rPr>
          <w:rFonts w:ascii="Times New Roman" w:eastAsia="Times New Roman" w:hAnsi="Times New Roman" w:cs="Times New Roman"/>
          <w:sz w:val="24"/>
          <w:lang w:val="en-US"/>
        </w:rPr>
        <w:t xml:space="preserve"> </w:t>
      </w:r>
      <w:r w:rsidRPr="00332B3C">
        <w:rPr>
          <w:rFonts w:ascii="Times New Roman" w:eastAsia="Times New Roman" w:hAnsi="Times New Roman" w:cs="Times New Roman"/>
          <w:sz w:val="20"/>
          <w:szCs w:val="20"/>
          <w:lang w:val="en-US"/>
        </w:rPr>
        <w:t>Scleroderma Unit, University of Modena and Reggio Emilia, Italy</w:t>
      </w:r>
    </w:p>
    <w:p w14:paraId="0A05B663" w14:textId="77777777" w:rsidR="00E30CD9" w:rsidRPr="00B840D6" w:rsidRDefault="00E30CD9" w:rsidP="00E30CD9">
      <w:pPr>
        <w:jc w:val="both"/>
        <w:rPr>
          <w:rFonts w:ascii="Times New Roman" w:eastAsia="Times New Roman" w:hAnsi="Times New Roman" w:cs="Times New Roman"/>
          <w:sz w:val="24"/>
          <w:lang w:val="en-US"/>
        </w:rPr>
      </w:pPr>
      <w:r w:rsidRPr="00B840D6">
        <w:rPr>
          <w:rFonts w:ascii="Times New Roman" w:eastAsia="Times New Roman" w:hAnsi="Times New Roman" w:cs="Times New Roman"/>
          <w:sz w:val="24"/>
          <w:lang w:val="en-US"/>
        </w:rPr>
        <w:t xml:space="preserve">Luca Magnani, M.D., </w:t>
      </w:r>
      <w:r w:rsidRPr="00B840D6">
        <w:rPr>
          <w:rFonts w:ascii="Times New Roman" w:eastAsia="Times New Roman" w:hAnsi="Times New Roman" w:cs="Times New Roman"/>
          <w:sz w:val="20"/>
          <w:szCs w:val="20"/>
          <w:lang w:val="en-US"/>
        </w:rPr>
        <w:t>Rheumatology Unit, AUSL-IRCCS of Reggio Emilia, Italy</w:t>
      </w:r>
      <w:r w:rsidRPr="00B840D6">
        <w:rPr>
          <w:rFonts w:ascii="Times New Roman" w:eastAsia="Times New Roman" w:hAnsi="Times New Roman" w:cs="Times New Roman"/>
          <w:sz w:val="24"/>
          <w:lang w:val="en-US"/>
        </w:rPr>
        <w:t xml:space="preserve"> </w:t>
      </w:r>
    </w:p>
    <w:p w14:paraId="1832B0A9" w14:textId="77777777" w:rsidR="00E30CD9" w:rsidRPr="00332B3C" w:rsidRDefault="00E30CD9" w:rsidP="00E30CD9">
      <w:pPr>
        <w:jc w:val="both"/>
        <w:rPr>
          <w:rFonts w:ascii="Times New Roman" w:eastAsia="Times New Roman" w:hAnsi="Times New Roman" w:cs="Times New Roman"/>
          <w:sz w:val="20"/>
          <w:szCs w:val="20"/>
          <w:lang w:val="en-US"/>
        </w:rPr>
      </w:pPr>
      <w:r w:rsidRPr="00B840D6">
        <w:rPr>
          <w:rFonts w:ascii="Times New Roman" w:eastAsia="Times New Roman" w:hAnsi="Times New Roman" w:cs="Times New Roman"/>
          <w:sz w:val="24"/>
          <w:lang w:val="en-US"/>
        </w:rPr>
        <w:t>Amelia Spinella, M.D., Ph. D</w:t>
      </w:r>
      <w:r>
        <w:rPr>
          <w:rFonts w:ascii="Times New Roman" w:eastAsia="Times New Roman" w:hAnsi="Times New Roman" w:cs="Times New Roman"/>
          <w:sz w:val="24"/>
          <w:lang w:val="en-US"/>
        </w:rPr>
        <w:t xml:space="preserve">., </w:t>
      </w:r>
      <w:r w:rsidRPr="00332B3C">
        <w:rPr>
          <w:rFonts w:ascii="Times New Roman" w:eastAsia="Times New Roman" w:hAnsi="Times New Roman" w:cs="Times New Roman"/>
          <w:sz w:val="20"/>
          <w:szCs w:val="20"/>
          <w:lang w:val="en-US"/>
        </w:rPr>
        <w:t>Scleroderma Unit, University of Modena and Reggio Emilia, Italy</w:t>
      </w:r>
    </w:p>
    <w:p w14:paraId="6BAFFBD0" w14:textId="77777777" w:rsidR="00E30CD9" w:rsidRPr="00332B3C" w:rsidRDefault="00E30CD9" w:rsidP="00E30CD9">
      <w:pPr>
        <w:jc w:val="both"/>
        <w:rPr>
          <w:rFonts w:ascii="Times New Roman" w:eastAsia="Times New Roman" w:hAnsi="Times New Roman" w:cs="Times New Roman"/>
          <w:sz w:val="24"/>
          <w:lang w:val="en-US"/>
        </w:rPr>
      </w:pPr>
      <w:r w:rsidRPr="00B840D6">
        <w:rPr>
          <w:rFonts w:ascii="Times New Roman" w:eastAsia="Times New Roman" w:hAnsi="Times New Roman" w:cs="Times New Roman"/>
          <w:sz w:val="24"/>
          <w:lang w:val="en-US"/>
        </w:rPr>
        <w:t>Gianluigi Bajocchi, M.D., Ph. D.</w:t>
      </w:r>
      <w:r>
        <w:rPr>
          <w:rFonts w:ascii="Times New Roman" w:eastAsia="Times New Roman" w:hAnsi="Times New Roman" w:cs="Times New Roman"/>
          <w:sz w:val="24"/>
          <w:lang w:val="en-US"/>
        </w:rPr>
        <w:t xml:space="preserve">, </w:t>
      </w:r>
      <w:r w:rsidRPr="00332B3C">
        <w:rPr>
          <w:rFonts w:ascii="Times New Roman" w:eastAsia="Times New Roman" w:hAnsi="Times New Roman" w:cs="Times New Roman"/>
          <w:sz w:val="20"/>
          <w:szCs w:val="20"/>
          <w:lang w:val="en-US"/>
        </w:rPr>
        <w:t>Rheumatology Unit, AUSL-IRCCS of Reggio Emilia, Italy</w:t>
      </w:r>
    </w:p>
    <w:p w14:paraId="595C5226" w14:textId="77777777" w:rsidR="00E30CD9" w:rsidRPr="00332B3C" w:rsidRDefault="00E30CD9" w:rsidP="00E30CD9">
      <w:pPr>
        <w:jc w:val="both"/>
        <w:rPr>
          <w:rFonts w:ascii="Times New Roman" w:eastAsia="Times New Roman" w:hAnsi="Times New Roman" w:cs="Times New Roman"/>
          <w:sz w:val="20"/>
          <w:szCs w:val="20"/>
          <w:lang w:val="en-US"/>
        </w:rPr>
      </w:pPr>
      <w:r w:rsidRPr="00332B3C">
        <w:rPr>
          <w:rFonts w:ascii="Times New Roman" w:eastAsia="Times New Roman" w:hAnsi="Times New Roman" w:cs="Times New Roman"/>
          <w:sz w:val="24"/>
          <w:lang w:val="en-US"/>
        </w:rPr>
        <w:t xml:space="preserve">Adalgisa Palermo, </w:t>
      </w:r>
      <w:r>
        <w:rPr>
          <w:rFonts w:ascii="Times New Roman" w:eastAsia="Times New Roman" w:hAnsi="Times New Roman" w:cs="Times New Roman"/>
          <w:sz w:val="24"/>
          <w:lang w:val="en-US"/>
        </w:rPr>
        <w:t xml:space="preserve">M.D., </w:t>
      </w:r>
      <w:r w:rsidRPr="00332B3C">
        <w:rPr>
          <w:rFonts w:ascii="Times New Roman" w:eastAsia="Times New Roman" w:hAnsi="Times New Roman" w:cs="Times New Roman"/>
          <w:sz w:val="20"/>
          <w:szCs w:val="20"/>
          <w:lang w:val="en-US"/>
        </w:rPr>
        <w:t>Scleroderma Unit, Chair of Rheumatology, University of Modena and Reggio Emilia, Italy</w:t>
      </w:r>
    </w:p>
    <w:p w14:paraId="45C851BF" w14:textId="77777777" w:rsidR="00E30CD9" w:rsidRPr="00332B3C" w:rsidRDefault="00E30CD9" w:rsidP="00E30CD9">
      <w:pPr>
        <w:jc w:val="both"/>
        <w:rPr>
          <w:rFonts w:ascii="Times New Roman" w:eastAsia="Times New Roman" w:hAnsi="Times New Roman" w:cs="Times New Roman"/>
          <w:sz w:val="20"/>
          <w:szCs w:val="20"/>
          <w:lang w:val="en-US"/>
        </w:rPr>
      </w:pPr>
      <w:r w:rsidRPr="00B840D6">
        <w:rPr>
          <w:rFonts w:ascii="Times New Roman" w:eastAsia="Times New Roman" w:hAnsi="Times New Roman" w:cs="Times New Roman"/>
          <w:sz w:val="24"/>
          <w:lang w:val="en-US"/>
        </w:rPr>
        <w:t>Federica Lumetti, M.D., Ph. D.</w:t>
      </w:r>
      <w:r>
        <w:rPr>
          <w:rFonts w:ascii="Times New Roman" w:eastAsia="Times New Roman" w:hAnsi="Times New Roman" w:cs="Times New Roman"/>
          <w:sz w:val="24"/>
          <w:lang w:val="en-US"/>
        </w:rPr>
        <w:t xml:space="preserve">, </w:t>
      </w:r>
      <w:r w:rsidRPr="00332B3C">
        <w:rPr>
          <w:rFonts w:ascii="Times New Roman" w:eastAsia="Times New Roman" w:hAnsi="Times New Roman" w:cs="Times New Roman"/>
          <w:sz w:val="20"/>
          <w:szCs w:val="20"/>
          <w:lang w:val="en-US"/>
        </w:rPr>
        <w:t>Scleroderma Unit, Chair of Rheumatology, University of Modena and Reggio Emilia, Italy</w:t>
      </w:r>
    </w:p>
    <w:p w14:paraId="30F4F357" w14:textId="77777777" w:rsidR="00E30CD9" w:rsidRDefault="00E30CD9" w:rsidP="00E30CD9">
      <w:pPr>
        <w:jc w:val="both"/>
        <w:rPr>
          <w:rFonts w:ascii="Times New Roman" w:eastAsia="Times New Roman" w:hAnsi="Times New Roman" w:cs="Times New Roman"/>
          <w:sz w:val="24"/>
        </w:rPr>
      </w:pPr>
      <w:r w:rsidRPr="0002130C">
        <w:rPr>
          <w:rFonts w:ascii="Times New Roman" w:eastAsia="Times New Roman" w:hAnsi="Times New Roman" w:cs="Times New Roman"/>
          <w:sz w:val="24"/>
        </w:rPr>
        <w:t>E</w:t>
      </w:r>
      <w:r>
        <w:rPr>
          <w:rFonts w:ascii="Times New Roman" w:eastAsia="Times New Roman" w:hAnsi="Times New Roman" w:cs="Times New Roman"/>
          <w:sz w:val="24"/>
        </w:rPr>
        <w:t>manuele</w:t>
      </w:r>
      <w:r w:rsidRPr="0002130C">
        <w:rPr>
          <w:rFonts w:ascii="Times New Roman" w:eastAsia="Times New Roman" w:hAnsi="Times New Roman" w:cs="Times New Roman"/>
          <w:sz w:val="24"/>
        </w:rPr>
        <w:t xml:space="preserve"> Cocchiara, </w:t>
      </w:r>
      <w:r>
        <w:rPr>
          <w:rFonts w:ascii="Times New Roman" w:eastAsia="Times New Roman" w:hAnsi="Times New Roman" w:cs="Times New Roman"/>
          <w:sz w:val="24"/>
        </w:rPr>
        <w:t xml:space="preserve">M.D., </w:t>
      </w:r>
      <w:r w:rsidRPr="00332B3C">
        <w:rPr>
          <w:rFonts w:ascii="Times New Roman" w:eastAsia="Times New Roman" w:hAnsi="Times New Roman" w:cs="Times New Roman"/>
          <w:sz w:val="20"/>
          <w:szCs w:val="20"/>
        </w:rPr>
        <w:t>Rheumatology Unit, AUSL-IRCCS of Reggio Emilia, Italy</w:t>
      </w:r>
    </w:p>
    <w:p w14:paraId="40281A1C" w14:textId="77777777" w:rsidR="00E30CD9" w:rsidRPr="00B840D6" w:rsidRDefault="00E30CD9" w:rsidP="00E30CD9">
      <w:pPr>
        <w:jc w:val="both"/>
        <w:rPr>
          <w:rFonts w:ascii="Times New Roman" w:eastAsia="Times New Roman" w:hAnsi="Times New Roman" w:cs="Times New Roman"/>
          <w:sz w:val="20"/>
          <w:szCs w:val="20"/>
          <w:lang w:val="en-US"/>
        </w:rPr>
      </w:pPr>
      <w:r w:rsidRPr="00B840D6">
        <w:rPr>
          <w:rFonts w:ascii="Times New Roman" w:eastAsia="Times New Roman" w:hAnsi="Times New Roman" w:cs="Times New Roman"/>
          <w:sz w:val="24"/>
          <w:lang w:val="en-US"/>
        </w:rPr>
        <w:t>Carlo Salvarani, Full Professor of Rheumatology</w:t>
      </w:r>
      <w:r>
        <w:rPr>
          <w:rFonts w:ascii="Times New Roman" w:eastAsia="Times New Roman" w:hAnsi="Times New Roman" w:cs="Times New Roman"/>
          <w:sz w:val="24"/>
          <w:lang w:val="en-US"/>
        </w:rPr>
        <w:t>,</w:t>
      </w:r>
      <w:r w:rsidRPr="00B840D6">
        <w:rPr>
          <w:rFonts w:ascii="Times New Roman" w:eastAsia="Times New Roman" w:hAnsi="Times New Roman" w:cs="Times New Roman"/>
          <w:sz w:val="16"/>
          <w:szCs w:val="16"/>
          <w:lang w:val="en-US"/>
        </w:rPr>
        <w:t xml:space="preserve"> </w:t>
      </w:r>
      <w:r w:rsidRPr="00B840D6">
        <w:rPr>
          <w:rFonts w:ascii="Times New Roman" w:eastAsia="Times New Roman" w:hAnsi="Times New Roman" w:cs="Times New Roman"/>
          <w:sz w:val="20"/>
          <w:szCs w:val="20"/>
          <w:lang w:val="en-US"/>
        </w:rPr>
        <w:t>Scleroderma Unit, Chair of Rheumatology, University of Modena and Reggio Emilia, Italy; Rheumatology Unit, AUSL-IRCCS of Reggio Emilia, Italy</w:t>
      </w:r>
    </w:p>
    <w:p w14:paraId="5D7E8547" w14:textId="77777777" w:rsidR="00E30CD9" w:rsidRPr="00B840D6" w:rsidRDefault="00E30CD9" w:rsidP="00E30CD9">
      <w:pPr>
        <w:jc w:val="both"/>
        <w:rPr>
          <w:rFonts w:ascii="Times New Roman" w:eastAsia="Times New Roman" w:hAnsi="Times New Roman" w:cs="Times New Roman"/>
          <w:sz w:val="20"/>
          <w:szCs w:val="20"/>
          <w:lang w:val="en-US"/>
        </w:rPr>
      </w:pPr>
    </w:p>
    <w:p w14:paraId="3C7B6D54" w14:textId="77777777" w:rsidR="00E30CD9" w:rsidRDefault="00E30CD9" w:rsidP="00E30CD9">
      <w:pPr>
        <w:jc w:val="both"/>
        <w:rPr>
          <w:rFonts w:ascii="Times New Roman" w:eastAsia="Times New Roman" w:hAnsi="Times New Roman" w:cs="Times New Roman"/>
          <w:sz w:val="20"/>
          <w:szCs w:val="20"/>
          <w:lang w:val="en-US"/>
        </w:rPr>
      </w:pPr>
    </w:p>
    <w:p w14:paraId="661DFF03" w14:textId="77777777" w:rsidR="00E30CD9" w:rsidRPr="00320C11" w:rsidRDefault="00E30CD9" w:rsidP="00E30CD9">
      <w:pPr>
        <w:jc w:val="both"/>
        <w:rPr>
          <w:rFonts w:ascii="Times New Roman" w:eastAsia="Times New Roman" w:hAnsi="Times New Roman" w:cs="Times New Roman"/>
          <w:sz w:val="24"/>
          <w:szCs w:val="24"/>
        </w:rPr>
      </w:pPr>
      <w:r w:rsidRPr="00320C11">
        <w:rPr>
          <w:rFonts w:ascii="Times New Roman" w:eastAsia="Times New Roman" w:hAnsi="Times New Roman" w:cs="Times New Roman"/>
          <w:sz w:val="24"/>
          <w:szCs w:val="24"/>
        </w:rPr>
        <w:t xml:space="preserve">Corresponding Author: </w:t>
      </w:r>
    </w:p>
    <w:p w14:paraId="27CD0B94" w14:textId="77777777" w:rsidR="00E30CD9" w:rsidRPr="00945C4F" w:rsidRDefault="00E30CD9" w:rsidP="00E30CD9">
      <w:pPr>
        <w:jc w:val="both"/>
        <w:rPr>
          <w:rFonts w:ascii="Times New Roman" w:eastAsia="Times New Roman" w:hAnsi="Times New Roman" w:cs="Times New Roman"/>
          <w:sz w:val="24"/>
          <w:szCs w:val="24"/>
        </w:rPr>
      </w:pPr>
      <w:r w:rsidRPr="00945C4F">
        <w:rPr>
          <w:rFonts w:ascii="Times New Roman" w:eastAsia="Times New Roman" w:hAnsi="Times New Roman" w:cs="Times New Roman"/>
          <w:sz w:val="24"/>
          <w:szCs w:val="24"/>
        </w:rPr>
        <w:t>Prof. Dilia Giuggioli</w:t>
      </w:r>
    </w:p>
    <w:p w14:paraId="787C32F9" w14:textId="688574AF" w:rsidR="00E30CD9" w:rsidRDefault="00E30CD9" w:rsidP="00E30CD9">
      <w:pPr>
        <w:jc w:val="both"/>
        <w:rPr>
          <w:rStyle w:val="Collegamentoipertestuale"/>
          <w:sz w:val="24"/>
          <w:szCs w:val="24"/>
          <w:lang w:val="en-US"/>
        </w:rPr>
      </w:pPr>
      <w:r w:rsidRPr="00B840D6">
        <w:rPr>
          <w:sz w:val="24"/>
          <w:szCs w:val="24"/>
        </w:rPr>
        <w:t>Rheumatology Unit D</w:t>
      </w:r>
      <w:r>
        <w:rPr>
          <w:sz w:val="24"/>
          <w:szCs w:val="24"/>
        </w:rPr>
        <w:t>e</w:t>
      </w:r>
      <w:r w:rsidRPr="00B840D6">
        <w:rPr>
          <w:sz w:val="24"/>
          <w:szCs w:val="24"/>
        </w:rPr>
        <w:t>p</w:t>
      </w:r>
      <w:r>
        <w:rPr>
          <w:sz w:val="24"/>
          <w:szCs w:val="24"/>
        </w:rPr>
        <w:t>artmen</w:t>
      </w:r>
      <w:r w:rsidRPr="00B840D6">
        <w:rPr>
          <w:sz w:val="24"/>
          <w:szCs w:val="24"/>
        </w:rPr>
        <w:t>t of Internal Medicine, University of Modena and Reggio E.</w:t>
      </w:r>
      <w:r>
        <w:rPr>
          <w:sz w:val="24"/>
          <w:szCs w:val="24"/>
        </w:rPr>
        <w:t xml:space="preserve">, </w:t>
      </w:r>
      <w:r w:rsidRPr="00B840D6">
        <w:rPr>
          <w:sz w:val="24"/>
          <w:szCs w:val="24"/>
        </w:rPr>
        <w:t xml:space="preserve">Policlinico di Modena Via del Pozzo, 71 41100 Modena, Italy, Tel +39 059 4224053; fax +39 059 4224178. </w:t>
      </w:r>
      <w:r w:rsidRPr="00F808A1">
        <w:rPr>
          <w:sz w:val="24"/>
          <w:szCs w:val="24"/>
          <w:lang w:val="en-US"/>
        </w:rPr>
        <w:t xml:space="preserve">E-mail: </w:t>
      </w:r>
      <w:hyperlink r:id="rId6" w:history="1">
        <w:r w:rsidRPr="00F808A1">
          <w:rPr>
            <w:rStyle w:val="Collegamentoipertestuale"/>
            <w:sz w:val="24"/>
            <w:szCs w:val="24"/>
            <w:lang w:val="en-US"/>
          </w:rPr>
          <w:t>dilia.giuggioli@unimore.it</w:t>
        </w:r>
      </w:hyperlink>
    </w:p>
    <w:p w14:paraId="62DA595B" w14:textId="6DA2D498" w:rsidR="004F17EE" w:rsidRDefault="004F17EE" w:rsidP="00E30CD9">
      <w:pPr>
        <w:jc w:val="both"/>
        <w:rPr>
          <w:rStyle w:val="Collegamentoipertestuale"/>
          <w:sz w:val="24"/>
          <w:szCs w:val="24"/>
          <w:lang w:val="en-US"/>
        </w:rPr>
      </w:pPr>
    </w:p>
    <w:p w14:paraId="1AC2B193" w14:textId="04E957C7" w:rsidR="004F17EE" w:rsidRDefault="004F17EE" w:rsidP="00E30CD9">
      <w:pPr>
        <w:jc w:val="both"/>
        <w:rPr>
          <w:rStyle w:val="Collegamentoipertestuale"/>
          <w:sz w:val="24"/>
          <w:szCs w:val="24"/>
          <w:lang w:val="en-US"/>
        </w:rPr>
      </w:pPr>
      <w:r>
        <w:rPr>
          <w:rStyle w:val="Collegamentoipertestuale"/>
          <w:sz w:val="24"/>
          <w:szCs w:val="24"/>
          <w:lang w:val="en-US"/>
        </w:rPr>
        <w:t>KEY WORDS</w:t>
      </w:r>
    </w:p>
    <w:p w14:paraId="06D910BD" w14:textId="7091AAB7" w:rsidR="004F17EE" w:rsidRDefault="004F17EE" w:rsidP="004F17EE">
      <w:pPr>
        <w:pStyle w:val="Paragrafoelenco"/>
        <w:numPr>
          <w:ilvl w:val="0"/>
          <w:numId w:val="4"/>
        </w:numPr>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Scleroderma</w:t>
      </w:r>
    </w:p>
    <w:p w14:paraId="1F4F1D01" w14:textId="3E2C52E2" w:rsidR="004F17EE" w:rsidRDefault="004F17EE" w:rsidP="004F17EE">
      <w:pPr>
        <w:pStyle w:val="Paragrafoelenco"/>
        <w:numPr>
          <w:ilvl w:val="0"/>
          <w:numId w:val="4"/>
        </w:numPr>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Digital Ulcers</w:t>
      </w:r>
    </w:p>
    <w:p w14:paraId="45747594" w14:textId="0EEA99A7" w:rsidR="004F17EE" w:rsidRPr="004F17EE" w:rsidRDefault="004F17EE" w:rsidP="004F17EE">
      <w:pPr>
        <w:pStyle w:val="Paragrafoelenco"/>
        <w:numPr>
          <w:ilvl w:val="0"/>
          <w:numId w:val="4"/>
        </w:numPr>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Infections</w:t>
      </w:r>
    </w:p>
    <w:p w14:paraId="7DF6DEED" w14:textId="02D322BC" w:rsidR="00FC6319" w:rsidRDefault="00FC6319" w:rsidP="00703CF5">
      <w:pPr>
        <w:jc w:val="both"/>
        <w:rPr>
          <w:rFonts w:ascii="Times New Roman" w:eastAsia="Times New Roman" w:hAnsi="Times New Roman" w:cs="Times New Roman"/>
          <w:sz w:val="24"/>
          <w:lang w:val="en-US"/>
        </w:rPr>
      </w:pPr>
    </w:p>
    <w:p w14:paraId="373F0330" w14:textId="77777777" w:rsidR="00E30CD9" w:rsidRDefault="00E30CD9">
      <w:pPr>
        <w:rPr>
          <w:rFonts w:ascii="Times New Roman" w:eastAsia="Times New Roman" w:hAnsi="Times New Roman" w:cs="Times New Roman"/>
          <w:sz w:val="24"/>
          <w:lang w:val="en-US"/>
        </w:rPr>
      </w:pPr>
      <w:r>
        <w:rPr>
          <w:rFonts w:ascii="Times New Roman" w:eastAsia="Times New Roman" w:hAnsi="Times New Roman" w:cs="Times New Roman"/>
          <w:sz w:val="24"/>
          <w:lang w:val="en-US"/>
        </w:rPr>
        <w:br w:type="page"/>
      </w:r>
    </w:p>
    <w:p w14:paraId="21572A1D" w14:textId="77777777" w:rsidR="00171B12" w:rsidRDefault="00171B12" w:rsidP="00171B12">
      <w:pPr>
        <w:rPr>
          <w:rFonts w:ascii="Times" w:eastAsia="Times" w:hAnsi="Times" w:cs="Times"/>
          <w:sz w:val="24"/>
          <w:lang w:val="en-US"/>
        </w:rPr>
      </w:pPr>
      <w:r>
        <w:rPr>
          <w:rFonts w:ascii="Times" w:eastAsia="Times" w:hAnsi="Times" w:cs="Times"/>
          <w:sz w:val="24"/>
          <w:lang w:val="en-US"/>
        </w:rPr>
        <w:lastRenderedPageBreak/>
        <w:t xml:space="preserve">Conflict of interest: Authors have nothing to disclose. </w:t>
      </w:r>
    </w:p>
    <w:p w14:paraId="27F75A73" w14:textId="77777777" w:rsidR="00171B12" w:rsidRDefault="00171B12" w:rsidP="00171B12">
      <w:pPr>
        <w:rPr>
          <w:rFonts w:ascii="Times" w:eastAsia="Times" w:hAnsi="Times" w:cs="Times"/>
          <w:sz w:val="24"/>
          <w:lang w:val="en-US"/>
        </w:rPr>
      </w:pPr>
      <w:r>
        <w:rPr>
          <w:rFonts w:ascii="Times" w:eastAsia="Times" w:hAnsi="Times" w:cs="Times"/>
          <w:sz w:val="24"/>
          <w:lang w:val="en-US"/>
        </w:rPr>
        <w:t xml:space="preserve">Funding: none. </w:t>
      </w:r>
    </w:p>
    <w:p w14:paraId="5755C54B" w14:textId="77777777" w:rsidR="00171B12" w:rsidRDefault="00171B12" w:rsidP="00171B12">
      <w:pPr>
        <w:rPr>
          <w:rFonts w:ascii="Times" w:eastAsia="Times" w:hAnsi="Times" w:cs="Times"/>
          <w:sz w:val="24"/>
          <w:lang w:val="en-US"/>
        </w:rPr>
      </w:pPr>
      <w:r>
        <w:rPr>
          <w:rFonts w:ascii="Times" w:eastAsia="Times" w:hAnsi="Times" w:cs="Times"/>
          <w:sz w:val="24"/>
          <w:lang w:val="en-US"/>
        </w:rPr>
        <w:t>Ethical Approval: the study obtained ethics approval</w:t>
      </w:r>
    </w:p>
    <w:p w14:paraId="0431E533" w14:textId="3BBDE559" w:rsidR="001D0E59" w:rsidRDefault="001D0E59" w:rsidP="00FC6319">
      <w:pPr>
        <w:jc w:val="both"/>
        <w:rPr>
          <w:rFonts w:ascii="Times New Roman" w:eastAsia="Times New Roman" w:hAnsi="Times New Roman" w:cs="Times New Roman"/>
          <w:sz w:val="24"/>
          <w:lang w:val="en-US"/>
        </w:rPr>
      </w:pPr>
    </w:p>
    <w:p w14:paraId="794A3F33" w14:textId="7135D591" w:rsidR="001D0E59" w:rsidRPr="001D0E59" w:rsidRDefault="001D0E59" w:rsidP="001D0E59">
      <w:pPr>
        <w:jc w:val="both"/>
        <w:rPr>
          <w:rFonts w:ascii="Times New Roman" w:eastAsia="Times New Roman" w:hAnsi="Times New Roman" w:cs="Times New Roman"/>
          <w:sz w:val="20"/>
          <w:szCs w:val="20"/>
          <w:lang w:val="en-US"/>
        </w:rPr>
      </w:pPr>
      <w:r>
        <w:rPr>
          <w:rFonts w:ascii="Times New Roman" w:eastAsia="Times New Roman" w:hAnsi="Times New Roman" w:cs="Times New Roman"/>
          <w:sz w:val="24"/>
          <w:lang w:val="en-US"/>
        </w:rPr>
        <w:t xml:space="preserve">Prof. </w:t>
      </w:r>
      <w:r w:rsidRPr="00332B3C">
        <w:rPr>
          <w:rFonts w:ascii="Times New Roman" w:eastAsia="Times New Roman" w:hAnsi="Times New Roman" w:cs="Times New Roman"/>
          <w:sz w:val="24"/>
          <w:lang w:val="en-US"/>
        </w:rPr>
        <w:t>Dilia Giuggioli,</w:t>
      </w:r>
      <w:r>
        <w:rPr>
          <w:rFonts w:ascii="Times New Roman" w:eastAsia="Times New Roman" w:hAnsi="Times New Roman" w:cs="Times New Roman"/>
          <w:sz w:val="24"/>
          <w:lang w:val="en-US"/>
        </w:rPr>
        <w:t xml:space="preserve"> </w:t>
      </w:r>
      <w:r w:rsidRPr="001D0E59">
        <w:rPr>
          <w:lang w:val="en-US"/>
        </w:rPr>
        <w:t>Substantial contributions to the conception or design of the work; or the acquisition, analysis, or interpretation of data for the work;</w:t>
      </w:r>
      <w:r>
        <w:rPr>
          <w:lang w:val="en-US"/>
        </w:rPr>
        <w:t xml:space="preserve"> d</w:t>
      </w:r>
      <w:r w:rsidRPr="001D0E59">
        <w:rPr>
          <w:lang w:val="en-US"/>
        </w:rPr>
        <w:t>rafting the work or revising it critically for important intellectual content</w:t>
      </w:r>
    </w:p>
    <w:p w14:paraId="3067729A" w14:textId="4286FAD0" w:rsidR="001D0E59" w:rsidRPr="001D0E59" w:rsidRDefault="001D0E59" w:rsidP="001D0E59">
      <w:pPr>
        <w:jc w:val="both"/>
        <w:rPr>
          <w:rFonts w:ascii="Times New Roman" w:eastAsia="Times New Roman" w:hAnsi="Times New Roman" w:cs="Times New Roman"/>
          <w:sz w:val="24"/>
          <w:lang w:val="en-US"/>
        </w:rPr>
      </w:pPr>
      <w:r w:rsidRPr="00B840D6">
        <w:rPr>
          <w:rFonts w:ascii="Times New Roman" w:eastAsia="Times New Roman" w:hAnsi="Times New Roman" w:cs="Times New Roman"/>
          <w:sz w:val="24"/>
          <w:lang w:val="en-US"/>
        </w:rPr>
        <w:t xml:space="preserve">Luca Magnani, M.D., </w:t>
      </w:r>
      <w:r w:rsidRPr="001D0E59">
        <w:rPr>
          <w:lang w:val="en-US"/>
        </w:rPr>
        <w:t>Substantial contributions to the conception or design of the work; or the acquisition, analysis, or interpretation of data for the work;</w:t>
      </w:r>
    </w:p>
    <w:p w14:paraId="0BA44727" w14:textId="1AB41278" w:rsidR="001D0E59" w:rsidRPr="001D0E59" w:rsidRDefault="001D0E59" w:rsidP="001D0E59">
      <w:pPr>
        <w:jc w:val="both"/>
        <w:rPr>
          <w:rFonts w:ascii="Times New Roman" w:eastAsia="Times New Roman" w:hAnsi="Times New Roman" w:cs="Times New Roman"/>
          <w:sz w:val="20"/>
          <w:szCs w:val="20"/>
          <w:lang w:val="en-US"/>
        </w:rPr>
      </w:pPr>
      <w:r w:rsidRPr="00B840D6">
        <w:rPr>
          <w:rFonts w:ascii="Times New Roman" w:eastAsia="Times New Roman" w:hAnsi="Times New Roman" w:cs="Times New Roman"/>
          <w:sz w:val="24"/>
          <w:lang w:val="en-US"/>
        </w:rPr>
        <w:t>Amelia Spinella, M.D., Ph. D</w:t>
      </w:r>
      <w:r>
        <w:rPr>
          <w:rFonts w:ascii="Times New Roman" w:eastAsia="Times New Roman" w:hAnsi="Times New Roman" w:cs="Times New Roman"/>
          <w:sz w:val="24"/>
          <w:lang w:val="en-US"/>
        </w:rPr>
        <w:t xml:space="preserve">., </w:t>
      </w:r>
      <w:r w:rsidRPr="001D0E59">
        <w:rPr>
          <w:lang w:val="en-US"/>
        </w:rPr>
        <w:t>Substantial contributions to the conception or design of the work; or the acquisition, analysis, or interpretation of data for the work;</w:t>
      </w:r>
    </w:p>
    <w:p w14:paraId="384A6867" w14:textId="224378A8" w:rsidR="001D0E59" w:rsidRPr="001D0E59" w:rsidRDefault="001D0E59" w:rsidP="001D0E59">
      <w:pPr>
        <w:jc w:val="both"/>
        <w:rPr>
          <w:rFonts w:ascii="Times New Roman" w:eastAsia="Times New Roman" w:hAnsi="Times New Roman" w:cs="Times New Roman"/>
          <w:sz w:val="24"/>
          <w:lang w:val="en-US"/>
        </w:rPr>
      </w:pPr>
      <w:r w:rsidRPr="00B840D6">
        <w:rPr>
          <w:rFonts w:ascii="Times New Roman" w:eastAsia="Times New Roman" w:hAnsi="Times New Roman" w:cs="Times New Roman"/>
          <w:sz w:val="24"/>
          <w:lang w:val="en-US"/>
        </w:rPr>
        <w:t>Gianluigi Bajocchi, M.D., Ph. D.</w:t>
      </w:r>
      <w:r>
        <w:rPr>
          <w:rFonts w:ascii="Times New Roman" w:eastAsia="Times New Roman" w:hAnsi="Times New Roman" w:cs="Times New Roman"/>
          <w:sz w:val="24"/>
          <w:lang w:val="en-US"/>
        </w:rPr>
        <w:t xml:space="preserve">, </w:t>
      </w:r>
      <w:r w:rsidRPr="001D0E59">
        <w:rPr>
          <w:lang w:val="en-US"/>
        </w:rPr>
        <w:t>Drafting the work or revising it critically for important intellectual content</w:t>
      </w:r>
    </w:p>
    <w:p w14:paraId="19940AF7" w14:textId="23C688FF" w:rsidR="001D0E59" w:rsidRPr="00332B3C" w:rsidRDefault="001D0E59" w:rsidP="001D0E59">
      <w:pPr>
        <w:jc w:val="both"/>
        <w:rPr>
          <w:rFonts w:ascii="Times New Roman" w:eastAsia="Times New Roman" w:hAnsi="Times New Roman" w:cs="Times New Roman"/>
          <w:sz w:val="20"/>
          <w:szCs w:val="20"/>
          <w:lang w:val="en-US"/>
        </w:rPr>
      </w:pPr>
      <w:r w:rsidRPr="00332B3C">
        <w:rPr>
          <w:rFonts w:ascii="Times New Roman" w:eastAsia="Times New Roman" w:hAnsi="Times New Roman" w:cs="Times New Roman"/>
          <w:sz w:val="24"/>
          <w:lang w:val="en-US"/>
        </w:rPr>
        <w:t xml:space="preserve">Adalgisa Palermo, </w:t>
      </w:r>
      <w:r>
        <w:rPr>
          <w:rFonts w:ascii="Times New Roman" w:eastAsia="Times New Roman" w:hAnsi="Times New Roman" w:cs="Times New Roman"/>
          <w:sz w:val="24"/>
          <w:lang w:val="en-US"/>
        </w:rPr>
        <w:t xml:space="preserve">M.D., </w:t>
      </w:r>
      <w:r w:rsidRPr="001D0E59">
        <w:rPr>
          <w:lang w:val="en-US"/>
        </w:rPr>
        <w:t>Substantial contributions to the conception or design of the work; or the acquisition, analysis, or interpretation of data for the work</w:t>
      </w:r>
    </w:p>
    <w:p w14:paraId="74A02581" w14:textId="77777777" w:rsidR="001D0E59" w:rsidRDefault="001D0E59" w:rsidP="001D0E59">
      <w:pPr>
        <w:jc w:val="both"/>
        <w:rPr>
          <w:rFonts w:ascii="Times New Roman" w:eastAsia="Times New Roman" w:hAnsi="Times New Roman" w:cs="Times New Roman"/>
          <w:sz w:val="24"/>
          <w:lang w:val="en-US"/>
        </w:rPr>
      </w:pPr>
      <w:r w:rsidRPr="00B840D6">
        <w:rPr>
          <w:rFonts w:ascii="Times New Roman" w:eastAsia="Times New Roman" w:hAnsi="Times New Roman" w:cs="Times New Roman"/>
          <w:sz w:val="24"/>
          <w:lang w:val="en-US"/>
        </w:rPr>
        <w:t>Federica Lumetti, M.D., Ph. D.</w:t>
      </w:r>
      <w:r>
        <w:rPr>
          <w:rFonts w:ascii="Times New Roman" w:eastAsia="Times New Roman" w:hAnsi="Times New Roman" w:cs="Times New Roman"/>
          <w:sz w:val="24"/>
          <w:lang w:val="en-US"/>
        </w:rPr>
        <w:t xml:space="preserve">, </w:t>
      </w:r>
      <w:r w:rsidRPr="001D0E59">
        <w:rPr>
          <w:lang w:val="en-US"/>
        </w:rPr>
        <w:t>Substantial contributions to the conception or design of the work; or the acquisition, analysis, or interpretation of data for the work</w:t>
      </w:r>
      <w:r w:rsidRPr="001D0E59">
        <w:rPr>
          <w:rFonts w:ascii="Times New Roman" w:eastAsia="Times New Roman" w:hAnsi="Times New Roman" w:cs="Times New Roman"/>
          <w:sz w:val="24"/>
          <w:lang w:val="en-US"/>
        </w:rPr>
        <w:t xml:space="preserve"> </w:t>
      </w:r>
    </w:p>
    <w:p w14:paraId="36F714E1" w14:textId="28F91D41" w:rsidR="001D0E59" w:rsidRPr="001D0E59" w:rsidRDefault="001D0E59" w:rsidP="001D0E59">
      <w:pPr>
        <w:jc w:val="both"/>
        <w:rPr>
          <w:rFonts w:ascii="Times New Roman" w:eastAsia="Times New Roman" w:hAnsi="Times New Roman" w:cs="Times New Roman"/>
          <w:sz w:val="24"/>
          <w:lang w:val="en-US"/>
        </w:rPr>
      </w:pPr>
      <w:r w:rsidRPr="001D0E59">
        <w:rPr>
          <w:rFonts w:ascii="Times New Roman" w:eastAsia="Times New Roman" w:hAnsi="Times New Roman" w:cs="Times New Roman"/>
          <w:sz w:val="24"/>
          <w:lang w:val="en-US"/>
        </w:rPr>
        <w:t xml:space="preserve">Emanuele Cocchiara, M.D., </w:t>
      </w:r>
      <w:r w:rsidRPr="001D0E59">
        <w:rPr>
          <w:lang w:val="en-US"/>
        </w:rPr>
        <w:t>Substantial contributions to the conception or design of the work; or the acquisition, analysis, or interpretation of data for the work</w:t>
      </w:r>
    </w:p>
    <w:p w14:paraId="3FE8D0DB" w14:textId="789186C3" w:rsidR="001D0E59" w:rsidRPr="001D0E59" w:rsidRDefault="001D0E59" w:rsidP="001D0E59">
      <w:pPr>
        <w:jc w:val="both"/>
        <w:rPr>
          <w:rFonts w:ascii="Times New Roman" w:eastAsia="Times New Roman" w:hAnsi="Times New Roman" w:cs="Times New Roman"/>
          <w:sz w:val="20"/>
          <w:szCs w:val="20"/>
          <w:lang w:val="en-US"/>
        </w:rPr>
      </w:pPr>
      <w:r>
        <w:rPr>
          <w:rFonts w:ascii="Times New Roman" w:eastAsia="Times New Roman" w:hAnsi="Times New Roman" w:cs="Times New Roman"/>
          <w:sz w:val="24"/>
          <w:lang w:val="en-US"/>
        </w:rPr>
        <w:t xml:space="preserve">Prof. </w:t>
      </w:r>
      <w:r w:rsidRPr="00B840D6">
        <w:rPr>
          <w:rFonts w:ascii="Times New Roman" w:eastAsia="Times New Roman" w:hAnsi="Times New Roman" w:cs="Times New Roman"/>
          <w:sz w:val="24"/>
          <w:lang w:val="en-US"/>
        </w:rPr>
        <w:t xml:space="preserve">Carlo Salvarani, </w:t>
      </w:r>
      <w:r w:rsidRPr="001D0E59">
        <w:rPr>
          <w:lang w:val="en-US"/>
        </w:rPr>
        <w:t>Substantial contributions to the conception or design of the work; or the acquisition, analysis, or interpretation of data for the work</w:t>
      </w:r>
      <w:r>
        <w:rPr>
          <w:lang w:val="en-US"/>
        </w:rPr>
        <w:t xml:space="preserve">; </w:t>
      </w:r>
      <w:r w:rsidRPr="001D0E59">
        <w:rPr>
          <w:lang w:val="en-US"/>
        </w:rPr>
        <w:t>Final approval of the version to be published</w:t>
      </w:r>
    </w:p>
    <w:p w14:paraId="7F145315" w14:textId="77777777" w:rsidR="001D0E59" w:rsidRDefault="001D0E59" w:rsidP="00FC6319">
      <w:pPr>
        <w:jc w:val="both"/>
        <w:rPr>
          <w:rFonts w:ascii="Times New Roman" w:eastAsia="Times New Roman" w:hAnsi="Times New Roman" w:cs="Times New Roman"/>
          <w:sz w:val="24"/>
          <w:lang w:val="en-US"/>
        </w:rPr>
      </w:pPr>
    </w:p>
    <w:p w14:paraId="706BB7CE" w14:textId="77777777" w:rsidR="001D0E59" w:rsidRDefault="001D0E59">
      <w:pPr>
        <w:rPr>
          <w:rFonts w:ascii="Times New Roman" w:eastAsia="Times New Roman" w:hAnsi="Times New Roman" w:cs="Times New Roman"/>
          <w:sz w:val="24"/>
          <w:lang w:val="en-US"/>
        </w:rPr>
      </w:pPr>
      <w:r>
        <w:rPr>
          <w:rFonts w:ascii="Times New Roman" w:eastAsia="Times New Roman" w:hAnsi="Times New Roman" w:cs="Times New Roman"/>
          <w:sz w:val="24"/>
          <w:lang w:val="en-US"/>
        </w:rPr>
        <w:br w:type="page"/>
      </w:r>
    </w:p>
    <w:p w14:paraId="028C951F" w14:textId="0932797F" w:rsidR="00FC6319" w:rsidRDefault="00FC6319" w:rsidP="00FC6319">
      <w:pPr>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lastRenderedPageBreak/>
        <w:t>ABSTRACT</w:t>
      </w:r>
    </w:p>
    <w:p w14:paraId="639A2387" w14:textId="77777777" w:rsidR="00FC6319" w:rsidRDefault="00FC6319" w:rsidP="00FC6319">
      <w:pPr>
        <w:jc w:val="both"/>
        <w:rPr>
          <w:rFonts w:ascii="Times New Roman" w:eastAsia="Times New Roman" w:hAnsi="Times New Roman" w:cs="Times New Roman"/>
          <w:sz w:val="24"/>
          <w:lang w:val="en-US"/>
        </w:rPr>
      </w:pPr>
    </w:p>
    <w:p w14:paraId="7977D2DD" w14:textId="1CBC98A0" w:rsidR="00FC6319" w:rsidRDefault="00E30CD9" w:rsidP="00FC6319">
      <w:pPr>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BACKGROUNDS</w:t>
      </w:r>
    </w:p>
    <w:p w14:paraId="04E170CF" w14:textId="2C6CF3C6" w:rsidR="00FC6319" w:rsidRDefault="00FC6319" w:rsidP="00FC6319">
      <w:pPr>
        <w:jc w:val="both"/>
        <w:rPr>
          <w:rFonts w:ascii="Times New Roman" w:eastAsia="Times New Roman" w:hAnsi="Times New Roman" w:cs="Times New Roman"/>
          <w:sz w:val="24"/>
          <w:lang w:val="en-US"/>
        </w:rPr>
      </w:pPr>
      <w:r w:rsidRPr="0002130C">
        <w:rPr>
          <w:rFonts w:ascii="Times New Roman" w:eastAsia="Times New Roman" w:hAnsi="Times New Roman" w:cs="Times New Roman"/>
          <w:sz w:val="24"/>
          <w:lang w:val="en-US"/>
        </w:rPr>
        <w:t xml:space="preserve">Systemic Sclerosis (SSc) is a complex autoimmune </w:t>
      </w:r>
      <w:r w:rsidR="004130C2">
        <w:rPr>
          <w:rFonts w:ascii="Times New Roman" w:eastAsia="Times New Roman" w:hAnsi="Times New Roman" w:cs="Times New Roman"/>
          <w:sz w:val="24"/>
          <w:lang w:val="en-US"/>
        </w:rPr>
        <w:t>and</w:t>
      </w:r>
      <w:r>
        <w:rPr>
          <w:rFonts w:ascii="Times New Roman" w:eastAsia="Times New Roman" w:hAnsi="Times New Roman" w:cs="Times New Roman"/>
          <w:sz w:val="24"/>
          <w:lang w:val="en-US"/>
        </w:rPr>
        <w:t xml:space="preserve"> </w:t>
      </w:r>
      <w:r w:rsidR="004130C2">
        <w:rPr>
          <w:rFonts w:ascii="Times New Roman" w:eastAsia="Times New Roman" w:hAnsi="Times New Roman" w:cs="Times New Roman"/>
          <w:sz w:val="24"/>
          <w:lang w:val="en-US"/>
        </w:rPr>
        <w:t>u</w:t>
      </w:r>
      <w:r>
        <w:rPr>
          <w:rFonts w:ascii="Times New Roman" w:eastAsia="Times New Roman" w:hAnsi="Times New Roman" w:cs="Times New Roman"/>
          <w:sz w:val="24"/>
          <w:lang w:val="en-US"/>
        </w:rPr>
        <w:t>p to fifty percent of patients develop digital ulcers</w:t>
      </w:r>
      <w:r w:rsidR="007F0670">
        <w:rPr>
          <w:rFonts w:ascii="Times New Roman" w:eastAsia="Times New Roman" w:hAnsi="Times New Roman" w:cs="Times New Roman"/>
          <w:sz w:val="24"/>
          <w:lang w:val="en-US"/>
        </w:rPr>
        <w:t>.</w:t>
      </w:r>
      <w:r>
        <w:rPr>
          <w:rFonts w:ascii="Times New Roman" w:eastAsia="Times New Roman" w:hAnsi="Times New Roman" w:cs="Times New Roman"/>
          <w:sz w:val="24"/>
          <w:lang w:val="en-US"/>
        </w:rPr>
        <w:t xml:space="preserve"> </w:t>
      </w:r>
    </w:p>
    <w:p w14:paraId="21BA2538" w14:textId="49A2845E" w:rsidR="00E30CD9" w:rsidRDefault="00E30CD9" w:rsidP="00FC6319">
      <w:pPr>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AIMS</w:t>
      </w:r>
    </w:p>
    <w:p w14:paraId="1672B511" w14:textId="205FC122" w:rsidR="00E30CD9" w:rsidRDefault="004130C2" w:rsidP="00FC6319">
      <w:pPr>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U</w:t>
      </w:r>
      <w:r w:rsidR="00E30CD9">
        <w:rPr>
          <w:rFonts w:ascii="Times New Roman" w:eastAsia="Times New Roman" w:hAnsi="Times New Roman" w:cs="Times New Roman"/>
          <w:sz w:val="24"/>
          <w:lang w:val="en-US"/>
        </w:rPr>
        <w:t xml:space="preserve">nderstand how much infections influence scleroderma digital ulcers’ healing. </w:t>
      </w:r>
    </w:p>
    <w:p w14:paraId="57B166E0" w14:textId="77777777" w:rsidR="00FC6319" w:rsidRDefault="00FC6319" w:rsidP="00FC6319">
      <w:pPr>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METHODS</w:t>
      </w:r>
    </w:p>
    <w:p w14:paraId="6A7CB57B" w14:textId="77777777" w:rsidR="004130C2" w:rsidRDefault="00FC6319" w:rsidP="004130C2">
      <w:pPr>
        <w:spacing w:after="240" w:line="240" w:lineRule="auto"/>
        <w:jc w:val="both"/>
        <w:rPr>
          <w:rFonts w:ascii="Times" w:eastAsia="Times" w:hAnsi="Times" w:cs="Times"/>
          <w:sz w:val="24"/>
          <w:lang w:val="en-US"/>
        </w:rPr>
      </w:pPr>
      <w:r>
        <w:rPr>
          <w:rFonts w:ascii="Times" w:eastAsia="Times" w:hAnsi="Times" w:cs="Times"/>
          <w:sz w:val="24"/>
          <w:lang w:val="en-US"/>
        </w:rPr>
        <w:t xml:space="preserve">We </w:t>
      </w:r>
      <w:r w:rsidRPr="0002130C">
        <w:rPr>
          <w:rFonts w:ascii="Times" w:eastAsia="Times" w:hAnsi="Times" w:cs="Times"/>
          <w:sz w:val="24"/>
          <w:lang w:val="en-US"/>
        </w:rPr>
        <w:t xml:space="preserve">revised </w:t>
      </w:r>
      <w:r>
        <w:rPr>
          <w:rFonts w:ascii="Times" w:eastAsia="Times" w:hAnsi="Times" w:cs="Times"/>
          <w:sz w:val="24"/>
          <w:lang w:val="en-US"/>
        </w:rPr>
        <w:t>fifty</w:t>
      </w:r>
      <w:r w:rsidRPr="0002130C">
        <w:rPr>
          <w:rFonts w:ascii="Times" w:eastAsia="Times" w:hAnsi="Times" w:cs="Times"/>
          <w:sz w:val="24"/>
          <w:lang w:val="en-US"/>
        </w:rPr>
        <w:t xml:space="preserve"> </w:t>
      </w:r>
      <w:r>
        <w:rPr>
          <w:rFonts w:ascii="Times" w:eastAsia="Times" w:hAnsi="Times" w:cs="Times"/>
          <w:sz w:val="24"/>
          <w:lang w:val="en-US"/>
        </w:rPr>
        <w:t xml:space="preserve">consecutive </w:t>
      </w:r>
      <w:r w:rsidRPr="0002130C">
        <w:rPr>
          <w:rFonts w:ascii="Times" w:eastAsia="Times" w:hAnsi="Times" w:cs="Times"/>
          <w:sz w:val="24"/>
          <w:lang w:val="en-US"/>
        </w:rPr>
        <w:t xml:space="preserve">patients with </w:t>
      </w:r>
      <w:r>
        <w:rPr>
          <w:rFonts w:ascii="Times" w:eastAsia="Times" w:hAnsi="Times" w:cs="Times"/>
          <w:sz w:val="24"/>
          <w:lang w:val="en-US"/>
        </w:rPr>
        <w:t xml:space="preserve">SSc-related </w:t>
      </w:r>
      <w:r w:rsidRPr="0002130C">
        <w:rPr>
          <w:rFonts w:ascii="Times" w:eastAsia="Times" w:hAnsi="Times" w:cs="Times"/>
          <w:sz w:val="24"/>
          <w:lang w:val="en-US"/>
        </w:rPr>
        <w:t xml:space="preserve">DUs </w:t>
      </w:r>
      <w:r>
        <w:rPr>
          <w:rFonts w:ascii="Times" w:eastAsia="Times" w:hAnsi="Times" w:cs="Times"/>
          <w:sz w:val="24"/>
          <w:lang w:val="en-US"/>
        </w:rPr>
        <w:t xml:space="preserve">who </w:t>
      </w:r>
      <w:r w:rsidRPr="0002130C">
        <w:rPr>
          <w:rFonts w:ascii="Times" w:eastAsia="Times" w:hAnsi="Times" w:cs="Times"/>
          <w:sz w:val="24"/>
          <w:lang w:val="en-US"/>
        </w:rPr>
        <w:t xml:space="preserve">referred </w:t>
      </w:r>
      <w:r>
        <w:rPr>
          <w:rFonts w:ascii="Times" w:eastAsia="Times" w:hAnsi="Times" w:cs="Times"/>
          <w:sz w:val="24"/>
          <w:lang w:val="en-US"/>
        </w:rPr>
        <w:t>to</w:t>
      </w:r>
      <w:r w:rsidRPr="0002130C">
        <w:rPr>
          <w:rFonts w:ascii="Times" w:eastAsia="Times" w:hAnsi="Times" w:cs="Times"/>
          <w:sz w:val="24"/>
          <w:lang w:val="en-US"/>
        </w:rPr>
        <w:t xml:space="preserve"> our Scleroderm</w:t>
      </w:r>
      <w:r>
        <w:rPr>
          <w:rFonts w:ascii="Times" w:eastAsia="Times" w:hAnsi="Times" w:cs="Times"/>
          <w:sz w:val="24"/>
          <w:lang w:val="en-US"/>
        </w:rPr>
        <w:t>a</w:t>
      </w:r>
      <w:r w:rsidRPr="0002130C">
        <w:rPr>
          <w:rFonts w:ascii="Times" w:eastAsia="Times" w:hAnsi="Times" w:cs="Times"/>
          <w:sz w:val="24"/>
          <w:lang w:val="en-US"/>
        </w:rPr>
        <w:t xml:space="preserve"> Unit. </w:t>
      </w:r>
      <w:r>
        <w:rPr>
          <w:rFonts w:ascii="Times" w:eastAsia="Times" w:hAnsi="Times" w:cs="Times"/>
          <w:sz w:val="24"/>
          <w:lang w:val="en-US"/>
        </w:rPr>
        <w:t>Thirty-five</w:t>
      </w:r>
      <w:r w:rsidRPr="0002130C">
        <w:rPr>
          <w:rFonts w:ascii="Times" w:eastAsia="Times" w:hAnsi="Times" w:cs="Times"/>
          <w:sz w:val="24"/>
          <w:lang w:val="en-US"/>
        </w:rPr>
        <w:t xml:space="preserve"> </w:t>
      </w:r>
      <w:r>
        <w:rPr>
          <w:rFonts w:ascii="Times" w:eastAsia="Times" w:hAnsi="Times" w:cs="Times"/>
          <w:sz w:val="24"/>
          <w:lang w:val="en-US"/>
        </w:rPr>
        <w:t>of them</w:t>
      </w:r>
      <w:r w:rsidRPr="0002130C">
        <w:rPr>
          <w:rFonts w:ascii="Times" w:eastAsia="Times" w:hAnsi="Times" w:cs="Times"/>
          <w:sz w:val="24"/>
          <w:lang w:val="en-US"/>
        </w:rPr>
        <w:t xml:space="preserve"> </w:t>
      </w:r>
      <w:r>
        <w:rPr>
          <w:rFonts w:ascii="Times" w:eastAsia="Times" w:hAnsi="Times" w:cs="Times"/>
          <w:sz w:val="24"/>
          <w:lang w:val="en-US"/>
        </w:rPr>
        <w:t>who</w:t>
      </w:r>
      <w:r w:rsidRPr="0002130C">
        <w:rPr>
          <w:rFonts w:ascii="Times" w:eastAsia="Times" w:hAnsi="Times" w:cs="Times"/>
          <w:sz w:val="24"/>
          <w:lang w:val="en-US"/>
        </w:rPr>
        <w:t xml:space="preserve"> showed clear signs of DUs infection</w:t>
      </w:r>
      <w:r w:rsidR="004130C2">
        <w:rPr>
          <w:rFonts w:ascii="Times" w:eastAsia="Times" w:hAnsi="Times" w:cs="Times"/>
          <w:sz w:val="24"/>
          <w:lang w:val="en-US"/>
        </w:rPr>
        <w:t xml:space="preserve"> </w:t>
      </w:r>
      <w:r>
        <w:rPr>
          <w:rFonts w:ascii="Times" w:eastAsia="Times" w:hAnsi="Times" w:cs="Times"/>
          <w:sz w:val="24"/>
          <w:lang w:val="en-US"/>
        </w:rPr>
        <w:t xml:space="preserve">underwent to cutaneous swab and </w:t>
      </w:r>
      <w:r w:rsidRPr="0002130C">
        <w:rPr>
          <w:rFonts w:ascii="Times" w:eastAsia="Times" w:hAnsi="Times" w:cs="Times"/>
          <w:sz w:val="24"/>
          <w:lang w:val="en-US"/>
        </w:rPr>
        <w:t xml:space="preserve">microbiological data </w:t>
      </w:r>
      <w:r>
        <w:rPr>
          <w:rFonts w:ascii="Times" w:eastAsia="Times" w:hAnsi="Times" w:cs="Times"/>
          <w:sz w:val="24"/>
          <w:lang w:val="en-US"/>
        </w:rPr>
        <w:t>collection</w:t>
      </w:r>
      <w:r w:rsidRPr="0002130C">
        <w:rPr>
          <w:rFonts w:ascii="Times" w:eastAsia="Times" w:hAnsi="Times" w:cs="Times"/>
          <w:sz w:val="24"/>
          <w:lang w:val="en-US"/>
        </w:rPr>
        <w:t xml:space="preserve">. We performed 87 cutaneous swabs </w:t>
      </w:r>
      <w:r>
        <w:rPr>
          <w:rFonts w:ascii="Times" w:eastAsia="Times" w:hAnsi="Times" w:cs="Times"/>
          <w:sz w:val="24"/>
          <w:lang w:val="en-US"/>
        </w:rPr>
        <w:t xml:space="preserve">overall.  </w:t>
      </w:r>
    </w:p>
    <w:p w14:paraId="4DE08854" w14:textId="40F74E1E" w:rsidR="00FC6319" w:rsidRDefault="00FC6319" w:rsidP="004130C2">
      <w:pPr>
        <w:spacing w:after="240" w:line="240" w:lineRule="auto"/>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RESULTS</w:t>
      </w:r>
    </w:p>
    <w:p w14:paraId="39DAEA1D" w14:textId="52E11ABC" w:rsidR="00FC6319" w:rsidRPr="0002130C" w:rsidRDefault="00FC6319" w:rsidP="00FC6319">
      <w:pPr>
        <w:spacing w:after="240" w:line="240" w:lineRule="auto"/>
        <w:jc w:val="both"/>
        <w:rPr>
          <w:rFonts w:ascii="Times" w:eastAsia="Times" w:hAnsi="Times" w:cs="Times"/>
          <w:sz w:val="24"/>
          <w:lang w:val="en-US"/>
        </w:rPr>
      </w:pPr>
      <w:r w:rsidRPr="0002130C">
        <w:rPr>
          <w:rFonts w:ascii="Times" w:eastAsia="Times" w:hAnsi="Times" w:cs="Times"/>
          <w:sz w:val="24"/>
          <w:lang w:val="en-US"/>
        </w:rPr>
        <w:t xml:space="preserve">DUs were recurrent </w:t>
      </w:r>
      <w:r>
        <w:rPr>
          <w:rFonts w:ascii="Times" w:eastAsia="Times" w:hAnsi="Times" w:cs="Times"/>
          <w:sz w:val="24"/>
          <w:lang w:val="en-US"/>
        </w:rPr>
        <w:t xml:space="preserve">in 58% of the patients </w:t>
      </w:r>
      <w:r w:rsidRPr="0002130C">
        <w:rPr>
          <w:rFonts w:ascii="Times" w:eastAsia="Times" w:hAnsi="Times" w:cs="Times"/>
          <w:sz w:val="24"/>
          <w:lang w:val="en-US"/>
        </w:rPr>
        <w:t xml:space="preserve">and </w:t>
      </w:r>
      <w:r>
        <w:rPr>
          <w:rFonts w:ascii="Times" w:eastAsia="Times" w:hAnsi="Times" w:cs="Times"/>
          <w:sz w:val="24"/>
          <w:lang w:val="en-US"/>
        </w:rPr>
        <w:t xml:space="preserve">multiple in </w:t>
      </w:r>
      <w:r w:rsidRPr="0002130C">
        <w:rPr>
          <w:rFonts w:ascii="Times" w:eastAsia="Times" w:hAnsi="Times" w:cs="Times"/>
          <w:sz w:val="24"/>
          <w:lang w:val="en-US"/>
        </w:rPr>
        <w:t xml:space="preserve">60% </w:t>
      </w:r>
      <w:r>
        <w:rPr>
          <w:rFonts w:ascii="Times" w:eastAsia="Times" w:hAnsi="Times" w:cs="Times"/>
          <w:sz w:val="24"/>
          <w:lang w:val="en-US"/>
        </w:rPr>
        <w:t>of patients</w:t>
      </w:r>
      <w:r w:rsidRPr="0002130C">
        <w:rPr>
          <w:rFonts w:ascii="Times" w:eastAsia="Times" w:hAnsi="Times" w:cs="Times"/>
          <w:sz w:val="24"/>
          <w:lang w:val="en-US"/>
        </w:rPr>
        <w:t>.</w:t>
      </w:r>
      <w:r>
        <w:rPr>
          <w:rFonts w:ascii="Times" w:eastAsia="Times" w:hAnsi="Times" w:cs="Times"/>
          <w:sz w:val="24"/>
          <w:lang w:val="en-US"/>
        </w:rPr>
        <w:t xml:space="preserve"> Fourty-four swabs</w:t>
      </w:r>
      <w:r w:rsidRPr="009B1DCE">
        <w:rPr>
          <w:rFonts w:ascii="Times" w:eastAsia="Times" w:hAnsi="Times" w:cs="Times"/>
          <w:sz w:val="24"/>
          <w:lang w:val="en-US"/>
        </w:rPr>
        <w:t xml:space="preserve"> (53%) were positive for Staphylococcus Aureus</w:t>
      </w:r>
      <w:r>
        <w:rPr>
          <w:rFonts w:ascii="Times" w:eastAsia="Times" w:hAnsi="Times" w:cs="Times"/>
          <w:sz w:val="24"/>
          <w:lang w:val="en-US"/>
        </w:rPr>
        <w:t xml:space="preserve"> (</w:t>
      </w:r>
      <w:r w:rsidR="007F0670">
        <w:rPr>
          <w:rFonts w:ascii="Times" w:eastAsia="Times" w:hAnsi="Times" w:cs="Times"/>
          <w:sz w:val="24"/>
          <w:lang w:val="en-US"/>
        </w:rPr>
        <w:t xml:space="preserve">13% </w:t>
      </w:r>
      <w:r w:rsidR="007F0670" w:rsidRPr="0002130C">
        <w:rPr>
          <w:rFonts w:ascii="Times" w:eastAsia="Times" w:hAnsi="Times" w:cs="Times"/>
          <w:sz w:val="24"/>
          <w:lang w:val="en-US"/>
        </w:rPr>
        <w:t>Methicillin-Resistant</w:t>
      </w:r>
      <w:r w:rsidR="007F0670">
        <w:rPr>
          <w:rFonts w:ascii="Times" w:eastAsia="Times" w:hAnsi="Times" w:cs="Times"/>
          <w:sz w:val="24"/>
          <w:lang w:val="en-US"/>
        </w:rPr>
        <w:t>),</w:t>
      </w:r>
      <w:r w:rsidR="007F0670" w:rsidRPr="0002130C">
        <w:rPr>
          <w:rFonts w:ascii="Times" w:eastAsia="Times" w:hAnsi="Times" w:cs="Times"/>
          <w:sz w:val="24"/>
          <w:lang w:val="en-US"/>
        </w:rPr>
        <w:t xml:space="preserve"> </w:t>
      </w:r>
      <w:r w:rsidRPr="009B1DCE">
        <w:rPr>
          <w:rFonts w:ascii="Times" w:eastAsia="Times" w:hAnsi="Times" w:cs="Times"/>
          <w:sz w:val="24"/>
          <w:lang w:val="en-US"/>
        </w:rPr>
        <w:t>9</w:t>
      </w:r>
      <w:r w:rsidR="005F1047">
        <w:rPr>
          <w:rFonts w:ascii="Times" w:eastAsia="Times" w:hAnsi="Times" w:cs="Times"/>
          <w:sz w:val="24"/>
          <w:lang w:val="en-US"/>
        </w:rPr>
        <w:t xml:space="preserve"> (10%)</w:t>
      </w:r>
      <w:r w:rsidRPr="009B1DCE">
        <w:rPr>
          <w:rFonts w:ascii="Times" w:eastAsia="Times" w:hAnsi="Times" w:cs="Times"/>
          <w:sz w:val="24"/>
          <w:lang w:val="en-US"/>
        </w:rPr>
        <w:t xml:space="preserve"> were positive for Pseudomonas A</w:t>
      </w:r>
      <w:r>
        <w:rPr>
          <w:rFonts w:ascii="Times" w:eastAsia="Times" w:hAnsi="Times" w:cs="Times"/>
          <w:sz w:val="24"/>
          <w:lang w:val="en-US"/>
        </w:rPr>
        <w:t>eruginosa,</w:t>
      </w:r>
      <w:r w:rsidRPr="009B1DCE">
        <w:rPr>
          <w:rFonts w:ascii="Times" w:eastAsia="Times" w:hAnsi="Times" w:cs="Times"/>
          <w:sz w:val="24"/>
          <w:lang w:val="en-US"/>
        </w:rPr>
        <w:t xml:space="preserve"> </w:t>
      </w:r>
      <w:r w:rsidR="007F0670">
        <w:rPr>
          <w:rFonts w:ascii="Times" w:eastAsia="Times" w:hAnsi="Times" w:cs="Times"/>
          <w:sz w:val="24"/>
          <w:lang w:val="en-US"/>
        </w:rPr>
        <w:t xml:space="preserve">and then the others less frequently isolated. </w:t>
      </w:r>
      <w:r w:rsidR="00BC2312">
        <w:rPr>
          <w:rFonts w:ascii="Times" w:eastAsia="Times" w:hAnsi="Times" w:cs="Times"/>
          <w:sz w:val="24"/>
          <w:lang w:val="en-US"/>
        </w:rPr>
        <w:t xml:space="preserve">Nine patients (25%) </w:t>
      </w:r>
      <w:r w:rsidRPr="0002130C">
        <w:rPr>
          <w:rFonts w:ascii="Times" w:eastAsia="Times" w:hAnsi="Times" w:cs="Times"/>
          <w:sz w:val="24"/>
          <w:lang w:val="en-US"/>
        </w:rPr>
        <w:t>needed hospitalization.</w:t>
      </w:r>
      <w:r>
        <w:rPr>
          <w:rFonts w:ascii="Times" w:eastAsia="Times" w:hAnsi="Times" w:cs="Times"/>
          <w:sz w:val="24"/>
          <w:lang w:val="en-US"/>
        </w:rPr>
        <w:t xml:space="preserve"> </w:t>
      </w:r>
    </w:p>
    <w:p w14:paraId="1E542E15" w14:textId="1A2FD72A" w:rsidR="00FC6319" w:rsidRDefault="00FC6319" w:rsidP="00FC6319">
      <w:pPr>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CONCLUSIONS</w:t>
      </w:r>
    </w:p>
    <w:p w14:paraId="1E78A36A" w14:textId="58791F20" w:rsidR="00FC6319" w:rsidRDefault="00FC6319" w:rsidP="00FC6319">
      <w:pPr>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Our data support a patient-tailored approached to DUs, particularly those infected.</w:t>
      </w:r>
      <w:r>
        <w:rPr>
          <w:rFonts w:ascii="Times" w:eastAsia="Times" w:hAnsi="Times" w:cs="Times"/>
          <w:sz w:val="24"/>
          <w:lang w:val="en-US"/>
        </w:rPr>
        <w:t xml:space="preserve"> S</w:t>
      </w:r>
      <w:r w:rsidRPr="0002130C">
        <w:rPr>
          <w:rFonts w:ascii="Times" w:eastAsia="Times" w:hAnsi="Times" w:cs="Times"/>
          <w:sz w:val="24"/>
          <w:lang w:val="en-US"/>
        </w:rPr>
        <w:t xml:space="preserve">elf-hygiene and asepsis during </w:t>
      </w:r>
      <w:r>
        <w:rPr>
          <w:rFonts w:ascii="Times" w:eastAsia="Times" w:hAnsi="Times" w:cs="Times"/>
          <w:sz w:val="24"/>
          <w:lang w:val="en-US"/>
        </w:rPr>
        <w:t>dressing p</w:t>
      </w:r>
      <w:r w:rsidRPr="0002130C">
        <w:rPr>
          <w:rFonts w:ascii="Times" w:eastAsia="Times" w:hAnsi="Times" w:cs="Times"/>
          <w:sz w:val="24"/>
          <w:lang w:val="en-US"/>
        </w:rPr>
        <w:t>rocedures are mandatory</w:t>
      </w:r>
      <w:r>
        <w:rPr>
          <w:rFonts w:ascii="Times" w:eastAsia="Times" w:hAnsi="Times" w:cs="Times"/>
          <w:sz w:val="24"/>
          <w:lang w:val="en-US"/>
        </w:rPr>
        <w:t xml:space="preserve">. </w:t>
      </w:r>
      <w:r w:rsidRPr="0002130C">
        <w:rPr>
          <w:rFonts w:ascii="Times" w:eastAsia="Times" w:hAnsi="Times" w:cs="Times"/>
          <w:sz w:val="24"/>
          <w:lang w:val="en-US"/>
        </w:rPr>
        <w:t xml:space="preserve">Patient must be trained to avoid </w:t>
      </w:r>
      <w:r>
        <w:rPr>
          <w:rFonts w:ascii="Times" w:eastAsia="Times" w:hAnsi="Times" w:cs="Times"/>
          <w:sz w:val="24"/>
          <w:lang w:val="en-US"/>
        </w:rPr>
        <w:t xml:space="preserve">dangerous  behaviors </w:t>
      </w:r>
      <w:r w:rsidR="0091101C">
        <w:rPr>
          <w:rFonts w:ascii="Times" w:eastAsia="Times" w:hAnsi="Times" w:cs="Times"/>
          <w:sz w:val="24"/>
          <w:lang w:val="en-US"/>
        </w:rPr>
        <w:t>and reduce the</w:t>
      </w:r>
      <w:r>
        <w:rPr>
          <w:rFonts w:ascii="Times" w:eastAsia="Times" w:hAnsi="Times" w:cs="Times"/>
          <w:sz w:val="24"/>
          <w:lang w:val="en-US"/>
        </w:rPr>
        <w:t xml:space="preserve"> risk of infection.  </w:t>
      </w:r>
    </w:p>
    <w:p w14:paraId="1521CD70" w14:textId="77777777" w:rsidR="00FC6319" w:rsidRDefault="00FC6319" w:rsidP="00FC6319">
      <w:pPr>
        <w:rPr>
          <w:rFonts w:ascii="Times New Roman" w:eastAsia="Times New Roman" w:hAnsi="Times New Roman" w:cs="Times New Roman"/>
          <w:sz w:val="24"/>
          <w:lang w:val="en-US"/>
        </w:rPr>
      </w:pPr>
      <w:r>
        <w:rPr>
          <w:rFonts w:ascii="Times New Roman" w:eastAsia="Times New Roman" w:hAnsi="Times New Roman" w:cs="Times New Roman"/>
          <w:sz w:val="24"/>
          <w:lang w:val="en-US"/>
        </w:rPr>
        <w:br w:type="page"/>
      </w:r>
    </w:p>
    <w:p w14:paraId="4ECD129C" w14:textId="10929712" w:rsidR="00703CF5" w:rsidRPr="0002130C" w:rsidRDefault="00703CF5" w:rsidP="00703CF5">
      <w:pPr>
        <w:jc w:val="both"/>
        <w:rPr>
          <w:rFonts w:ascii="Times New Roman" w:eastAsia="Times New Roman" w:hAnsi="Times New Roman" w:cs="Times New Roman"/>
          <w:sz w:val="24"/>
          <w:lang w:val="en-US"/>
        </w:rPr>
      </w:pPr>
      <w:r w:rsidRPr="0002130C">
        <w:rPr>
          <w:rFonts w:ascii="Times New Roman" w:eastAsia="Times New Roman" w:hAnsi="Times New Roman" w:cs="Times New Roman"/>
          <w:sz w:val="24"/>
          <w:lang w:val="en-US"/>
        </w:rPr>
        <w:lastRenderedPageBreak/>
        <w:t>INTRODUCTION</w:t>
      </w:r>
    </w:p>
    <w:p w14:paraId="2C4FBBBF" w14:textId="0641F83C" w:rsidR="00703CF5" w:rsidRPr="00201E1D" w:rsidRDefault="00703CF5" w:rsidP="00703CF5">
      <w:pPr>
        <w:spacing w:after="240" w:line="240" w:lineRule="auto"/>
        <w:jc w:val="both"/>
        <w:rPr>
          <w:rFonts w:ascii="Times New Roman" w:eastAsia="Times New Roman" w:hAnsi="Times New Roman" w:cs="Times New Roman"/>
          <w:sz w:val="24"/>
          <w:lang w:val="en-US"/>
        </w:rPr>
      </w:pPr>
      <w:r w:rsidRPr="0002130C">
        <w:rPr>
          <w:rFonts w:ascii="Times New Roman" w:eastAsia="Times New Roman" w:hAnsi="Times New Roman" w:cs="Times New Roman"/>
          <w:sz w:val="24"/>
          <w:lang w:val="en-US"/>
        </w:rPr>
        <w:t xml:space="preserve">Systemic Sclerosis (SSc) is a complex autoimmune disease characterized by vascular damage, immune activation and fibrosis of skin and internal organs </w:t>
      </w:r>
      <w:r w:rsidRPr="0002130C">
        <w:rPr>
          <w:rFonts w:ascii="Times New Roman" w:eastAsia="Times New Roman" w:hAnsi="Times New Roman" w:cs="Times New Roman"/>
          <w:sz w:val="24"/>
          <w:lang w:val="en-US"/>
        </w:rPr>
        <w:fldChar w:fldCharType="begin" w:fldLock="1"/>
      </w:r>
      <w:r w:rsidR="002D7AE7">
        <w:rPr>
          <w:rFonts w:ascii="Times New Roman" w:eastAsia="Times New Roman" w:hAnsi="Times New Roman" w:cs="Times New Roman"/>
          <w:sz w:val="24"/>
          <w:lang w:val="en-US"/>
        </w:rPr>
        <w:instrText>ADDIN CSL_CITATION {"citationItems":[{"id":"ITEM-1","itemData":{"DOI":"10.1007/s12016-008-8106-x","ISSN":"1080-0549","author":[{"dropping-particle":"","family":"Wigley","given":"Fredrick M.","non-dropping-particle":"","parse-names":false,"suffix":""}],"container-title":"Clinical Reviews in Allergy &amp; Immunology","id":"ITEM-1","issue":"2-3","issued":{"date-parts":[["2009"]]},"page":"150-175","title":"Vascular Disease in Scleroderma","type":"article-journal","volume":"36"},"uris":["http://www.mendeley.com/documents/?uuid=aafd3be3-a740-40cd-b5b9-cd9a5e05a7f2"]},{"id":"ITEM-2","itemData":{"DOI":"10.1016/j.rdc.2015.04.005","ISSN":"1558-3163","PMID":"26210127","abstract":"Raynaud phenomenon (RP) and associated digital ischemia can be among the most vexing clinical problems for patients with systemic sclerosis (scleroderma). Understanding the treatment approach to RP and associated ischemia and how to prevent digital ulcers is important for clinicians caring for these patients. This article reviews the management of RP and digital ischemic ulcers. The magnitude of the problem and pathophysiology of RP are first discussed, with an emphasis on recent advances in understanding of the disease process. Options for the practical pharmacologic and nonpharmacologic interventions for RP and digital ischemic ulcers are detailed.","author":[{"dropping-particle":"","family":"Cappelli","given":"Laura","non-dropping-particle":"","parse-names":false,"suffix":""},{"dropping-particle":"","family":"Wigley","given":"Fredrick M","non-dropping-particle":"","parse-names":false,"suffix":""}],"container-title":"Rheumatic diseases clinics of North America","id":"ITEM-2","issue":"3","issued":{"date-parts":[["2015"]]},"page":"419-438","publisher":"Elsevier Inc","title":"Management of Raynaud Phenomenon and Digital Ulcers in Scleroderma.","type":"article-journal","volume":"41"},"uris":["http://www.mendeley.com/documents/?uuid=cd999f2e-3c18-42a4-a94d-264cbfd19bb2"]}],"mendeley":{"formattedCitation":"&lt;sup&gt;1,2&lt;/sup&gt;","plainTextFormattedCitation":"1,2","previouslyFormattedCitation":"&lt;sup&gt;1,2&lt;/sup&gt;"},"properties":{"noteIndex":0},"schema":"https://github.com/citation-style-language/schema/raw/master/csl-citation.json"}</w:instrText>
      </w:r>
      <w:r w:rsidRPr="0002130C">
        <w:rPr>
          <w:rFonts w:ascii="Times New Roman" w:eastAsia="Times New Roman" w:hAnsi="Times New Roman" w:cs="Times New Roman"/>
          <w:sz w:val="24"/>
          <w:lang w:val="en-US"/>
        </w:rPr>
        <w:fldChar w:fldCharType="separate"/>
      </w:r>
      <w:r w:rsidR="00822B4E" w:rsidRPr="00822B4E">
        <w:rPr>
          <w:rFonts w:ascii="Times New Roman" w:eastAsia="Times New Roman" w:hAnsi="Times New Roman" w:cs="Times New Roman"/>
          <w:noProof/>
          <w:sz w:val="24"/>
          <w:vertAlign w:val="superscript"/>
          <w:lang w:val="en-US"/>
        </w:rPr>
        <w:t>1,2</w:t>
      </w:r>
      <w:r w:rsidRPr="0002130C">
        <w:rPr>
          <w:rFonts w:ascii="Times New Roman" w:eastAsia="Times New Roman" w:hAnsi="Times New Roman" w:cs="Times New Roman"/>
          <w:sz w:val="24"/>
          <w:lang w:val="en-US"/>
        </w:rPr>
        <w:fldChar w:fldCharType="end"/>
      </w:r>
      <w:r w:rsidRPr="0002130C">
        <w:rPr>
          <w:rFonts w:ascii="Times New Roman" w:eastAsia="Times New Roman" w:hAnsi="Times New Roman" w:cs="Times New Roman"/>
          <w:sz w:val="24"/>
          <w:lang w:val="en-US"/>
        </w:rPr>
        <w:t>. One of the most frequent and severe SSc manifestations are digital ulcers (DUs) related to systemic vasculopathy.  DUs are present in up to 50% of patients</w:t>
      </w:r>
      <w:r>
        <w:rPr>
          <w:rFonts w:ascii="Times New Roman" w:eastAsia="Times New Roman" w:hAnsi="Times New Roman" w:cs="Times New Roman"/>
          <w:sz w:val="24"/>
          <w:lang w:val="en-US"/>
        </w:rPr>
        <w:t xml:space="preserve"> affected by SSc</w:t>
      </w:r>
      <w:r w:rsidRPr="0002130C">
        <w:rPr>
          <w:rFonts w:ascii="Times New Roman" w:eastAsia="Times New Roman" w:hAnsi="Times New Roman" w:cs="Times New Roman"/>
          <w:sz w:val="24"/>
          <w:lang w:val="en-US"/>
        </w:rPr>
        <w:t xml:space="preserve"> </w:t>
      </w:r>
      <w:r w:rsidRPr="0002130C">
        <w:rPr>
          <w:rFonts w:ascii="Times New Roman" w:eastAsia="Times New Roman" w:hAnsi="Times New Roman" w:cs="Times New Roman"/>
          <w:sz w:val="24"/>
          <w:lang w:val="en-US"/>
        </w:rPr>
        <w:fldChar w:fldCharType="begin" w:fldLock="1"/>
      </w:r>
      <w:r w:rsidR="002D7AE7">
        <w:rPr>
          <w:rFonts w:ascii="Times New Roman" w:eastAsia="Times New Roman" w:hAnsi="Times New Roman" w:cs="Times New Roman"/>
          <w:sz w:val="24"/>
          <w:lang w:val="en-US"/>
        </w:rPr>
        <w:instrText>ADDIN CSL_CITATION {"citationItems":[{"id":"ITEM-1","itemData":{"DOI":"10.1016/j.autrev.2017.11.020","ISSN":"18730183","PMID":"29196241","abstract":"Background: Skin ulcers (SU) are one of the most frequent manifestations of systemic sclerosis (SSc). SSc-SU are very painful, often persistent and recurrent; they may lead to marked impairment of patient's activities and quality of life. Despite their severe impact on the whole SSc patient's management, the proposed definition, classification criteria, and therapeutic strategies of SSc-SU are still controversial. Objective: The present study aimed to elaborate a comprehensive proposal of definition, classification, and therapeutic strategy of SSc-SU on the basis of our long-term single center experience along with a careful revision of the world literature on the same topic. Methods: A series of 282 SSc patients (254 females and 28 males; 84% with limited and 16% diffuse cutaneous SSc; mean age of 51.5 ± 13.9SD at SSc onset; mean follow-up 5.8 ± 4.6SD years) enrolled during the last decade at our Rheumatology Unit were retrospectively evaluated with specific attention to SSc-SU. The SSc-SU were classified in 5 subtypes according to prominent pathogenetic mechanism(s) and localization, namely 1. digital ulcers (DU) of the hands or feet, 2. SU on bony prominence, 3. SU on calcinosis, 4. SU of lower limbs, and 5. DU presenting with gangrene. This latter is a very harmful evolution of both DU of the hands and feet needing a differential diagnosis with critical limb ischemia. Results: During the follow up period, one or more episodes of SSc-SU were recorded in over half patients (156/282, 55%); skin lesions were often recurrent and difficult-to-heal because of local complications, mainly infections (67.3%), in some cases associated to osteomyelitis (19.2%), gangrene (16%), and/or amputation (11.5%). SSc-SU were significantly associated with lower patients' mean age at the disease onset (p = 0.024), male gender (p = 0.03), diffuse cutaneous subset (p = 0.015), calcinosis (p = 0.002), telangiectasia (p = 0.008), melanodermia (p &lt; 0.001), abnormal PAPs (p = 0.036), and/or altered inflammation reactant (CRP, p = 0.001). Therapeutic strategy of SSc-SU included both systemic and local pharmacological treatments with particular attention to complicating infections and chronic/procedural pain, as well as a number of non-pharmacological measures. Integrated local treatments were often decisive for the SSc-SU healing; they were mainly based on the wound bed preparation principles that are summarized in the acronym TIME (necrotic Tissue, Infection/Inflammation, Moistu…","author":[{"dropping-particle":"","family":"Giuggioli","given":"Dilia","non-dropping-particle":"","parse-names":false,"suffix":""},{"dropping-particle":"","family":"Manfredi","given":"Andreina","non-dropping-particle":"","parse-names":false,"suffix":""},{"dropping-particle":"","family":"Lumetti","given":"Federica","non-dropping-particle":"","parse-names":false,"suffix":""},{"dropping-particle":"","family":"Colaci","given":"Michele","non-dropping-particle":"","parse-names":false,"suffix":""},{"dropping-particle":"","family":"Ferri","given":"Clodoveo","non-dropping-particle":"","parse-names":false,"suffix":""}],"container-title":"Autoimmunity Reviews","id":"ITEM-1","issue":"2","issued":{"date-parts":[["2018","2","1"]]},"page":"155-164","publisher":"Elsevier B.V.","title":"Scleroderma skin ulcers definition, classification and treatment strategies our experience and review of the literature","type":"article","volume":"17"},"uris":["http://www.mendeley.com/documents/?uuid=db60ee52-b8d2-3af3-bad3-167184a40454"]}],"mendeley":{"formattedCitation":"&lt;sup&gt;3&lt;/sup&gt;","plainTextFormattedCitation":"3","previouslyFormattedCitation":"&lt;sup&gt;3&lt;/sup&gt;"},"properties":{"noteIndex":0},"schema":"https://github.com/citation-style-language/schema/raw/master/csl-citation.json"}</w:instrText>
      </w:r>
      <w:r w:rsidRPr="0002130C">
        <w:rPr>
          <w:rFonts w:ascii="Times New Roman" w:eastAsia="Times New Roman" w:hAnsi="Times New Roman" w:cs="Times New Roman"/>
          <w:sz w:val="24"/>
          <w:lang w:val="en-US"/>
        </w:rPr>
        <w:fldChar w:fldCharType="separate"/>
      </w:r>
      <w:r w:rsidR="00822B4E" w:rsidRPr="00822B4E">
        <w:rPr>
          <w:rFonts w:ascii="Times New Roman" w:eastAsia="Times New Roman" w:hAnsi="Times New Roman" w:cs="Times New Roman"/>
          <w:noProof/>
          <w:sz w:val="24"/>
          <w:vertAlign w:val="superscript"/>
          <w:lang w:val="en-US"/>
        </w:rPr>
        <w:t>3</w:t>
      </w:r>
      <w:r w:rsidRPr="0002130C">
        <w:rPr>
          <w:rFonts w:ascii="Times New Roman" w:eastAsia="Times New Roman" w:hAnsi="Times New Roman" w:cs="Times New Roman"/>
          <w:sz w:val="24"/>
          <w:lang w:val="en-US"/>
        </w:rPr>
        <w:fldChar w:fldCharType="end"/>
      </w:r>
      <w:r w:rsidRPr="0002130C">
        <w:rPr>
          <w:rFonts w:ascii="Times New Roman" w:eastAsia="Times New Roman" w:hAnsi="Times New Roman" w:cs="Times New Roman"/>
          <w:sz w:val="24"/>
          <w:lang w:val="en-US"/>
        </w:rPr>
        <w:t xml:space="preserve">, they are often </w:t>
      </w:r>
      <w:r>
        <w:rPr>
          <w:rFonts w:ascii="Times New Roman" w:eastAsia="Times New Roman" w:hAnsi="Times New Roman" w:cs="Times New Roman"/>
          <w:sz w:val="24"/>
          <w:lang w:val="en-US"/>
        </w:rPr>
        <w:t xml:space="preserve">difficult to </w:t>
      </w:r>
      <w:r w:rsidRPr="0002130C">
        <w:rPr>
          <w:rFonts w:ascii="Times New Roman" w:eastAsia="Times New Roman" w:hAnsi="Times New Roman" w:cs="Times New Roman"/>
          <w:sz w:val="24"/>
          <w:lang w:val="en-US"/>
        </w:rPr>
        <w:t>heal</w:t>
      </w:r>
      <w:r>
        <w:rPr>
          <w:rFonts w:ascii="Times New Roman" w:eastAsia="Times New Roman" w:hAnsi="Times New Roman" w:cs="Times New Roman"/>
          <w:sz w:val="24"/>
          <w:lang w:val="en-US"/>
        </w:rPr>
        <w:t xml:space="preserve">, </w:t>
      </w:r>
      <w:r w:rsidRPr="0002130C">
        <w:rPr>
          <w:rFonts w:ascii="Times New Roman" w:eastAsia="Times New Roman" w:hAnsi="Times New Roman" w:cs="Times New Roman"/>
          <w:sz w:val="24"/>
          <w:lang w:val="en-US"/>
        </w:rPr>
        <w:t>recurrent and</w:t>
      </w:r>
      <w:r>
        <w:rPr>
          <w:rFonts w:ascii="Times New Roman" w:eastAsia="Times New Roman" w:hAnsi="Times New Roman" w:cs="Times New Roman"/>
          <w:sz w:val="24"/>
          <w:lang w:val="en-US"/>
        </w:rPr>
        <w:t xml:space="preserve"> cause</w:t>
      </w:r>
      <w:r w:rsidRPr="0002130C">
        <w:rPr>
          <w:rFonts w:ascii="Times New Roman" w:eastAsia="Times New Roman" w:hAnsi="Times New Roman" w:cs="Times New Roman"/>
          <w:sz w:val="24"/>
          <w:lang w:val="en-US"/>
        </w:rPr>
        <w:t xml:space="preserve"> pain and disability. Sometimes </w:t>
      </w:r>
      <w:r>
        <w:rPr>
          <w:rFonts w:ascii="Times New Roman" w:eastAsia="Times New Roman" w:hAnsi="Times New Roman" w:cs="Times New Roman"/>
          <w:sz w:val="24"/>
          <w:lang w:val="en-US"/>
        </w:rPr>
        <w:t>DUs</w:t>
      </w:r>
      <w:r w:rsidRPr="0002130C">
        <w:rPr>
          <w:rFonts w:ascii="Times New Roman" w:eastAsia="Times New Roman" w:hAnsi="Times New Roman" w:cs="Times New Roman"/>
          <w:sz w:val="24"/>
          <w:lang w:val="en-US"/>
        </w:rPr>
        <w:t xml:space="preserve"> could bec</w:t>
      </w:r>
      <w:r>
        <w:rPr>
          <w:rFonts w:ascii="Times New Roman" w:eastAsia="Times New Roman" w:hAnsi="Times New Roman" w:cs="Times New Roman"/>
          <w:sz w:val="24"/>
          <w:lang w:val="en-US"/>
        </w:rPr>
        <w:t>o</w:t>
      </w:r>
      <w:r w:rsidRPr="0002130C">
        <w:rPr>
          <w:rFonts w:ascii="Times New Roman" w:eastAsia="Times New Roman" w:hAnsi="Times New Roman" w:cs="Times New Roman"/>
          <w:sz w:val="24"/>
          <w:lang w:val="en-US"/>
        </w:rPr>
        <w:t>me infected exposing patients to severe complications (osteomyelitis and gangrene) related to a worst prognosis of the disease</w:t>
      </w:r>
      <w:r w:rsidR="00F808A1">
        <w:rPr>
          <w:rFonts w:ascii="Times New Roman" w:eastAsia="Times New Roman" w:hAnsi="Times New Roman" w:cs="Times New Roman"/>
          <w:sz w:val="24"/>
          <w:lang w:val="en-US"/>
        </w:rPr>
        <w:t xml:space="preserve"> </w:t>
      </w:r>
      <w:r w:rsidRPr="0002130C">
        <w:rPr>
          <w:rFonts w:ascii="Times New Roman" w:eastAsia="Times New Roman" w:hAnsi="Times New Roman" w:cs="Times New Roman"/>
          <w:sz w:val="24"/>
          <w:lang w:val="en-US"/>
        </w:rPr>
        <w:fldChar w:fldCharType="begin" w:fldLock="1"/>
      </w:r>
      <w:r w:rsidR="002D7AE7">
        <w:rPr>
          <w:rFonts w:ascii="Times New Roman" w:eastAsia="Times New Roman" w:hAnsi="Times New Roman" w:cs="Times New Roman"/>
          <w:sz w:val="24"/>
          <w:lang w:val="en-US"/>
        </w:rPr>
        <w:instrText>ADDIN CSL_CITATION {"citationItems":[{"id":"ITEM-1","itemData":{"DOI":"10.1007/s10067-012-2161-7","ISSN":"07703198","abstract":"Skin ulcers are very frequent in scleroderma (SSc), often complicated by local infection; the latter may be responsible for osteomyelitis (OM) of underlying bone. We retrospectively investigate the prevalence of OM in our SSc patients. The study included 248 SSc patients (M/F 21/227, mean age 61 ± 13.5 SD years) followed at our Rheumatology Unit for a mean time period of 60.8 ± 20.9 SD months. Patients with infected skin ulcers were carefully evaluated for complicating OM, which was diagnosed on the basis of typical clinical symptoms, laboratory, and radiological alterations. Skin ulcers were observed in 119/248 (48 %) SSc patients, more frequently digital ulcers (110/119, 92 %). These patients presented a significantly lower mean age (59 ± 14.5 SD vs. 64 ± 12.2 SD years; p = 0.005) and a lower percentage of anticentromere antibodies (40/119, 33.6 %, vs. 66/129, 51.2 %; p = 0.007) compared with those without ulcers. The prevalence of OM in the entire SSc patients' series was 7.7 % (19/248); it was invariably found in the setting of patients with infected digital ulcers, showing a surprisingly high percentage of underlying bone involvement (19/45, 42 %). The OM was localized at the hands in 14 patients and feet in 5; moreover, the most frequently isolated pathogens from infected digital ulcers were Staphylococcus aureus and Escherichia coli. Finally, patients with OM presented a significantly lower mean age (p &lt; 0.016) and higher percentage of anti-Scl70 autoantibodies (p &lt; 0.0128) compared to those without. We firstly demonstrated, in a large cohort of SSc patients, high prevalence of OM, invariably associated to infected digital ulcers, which represent the main predisposing condition for the development of such a harmful complication. © 2013 Clinical Rheumatology.","author":[{"dropping-particle":"","family":"Giuggioli","given":"Dilia","non-dropping-particle":"","parse-names":false,"suffix":""},{"dropping-particle":"","family":"Manfredi","given":"Andreina","non-dropping-particle":"","parse-names":false,"suffix":""},{"dropping-particle":"","family":"Colaci","given":"Michele","non-dropping-particle":"","parse-names":false,"suffix":""},{"dropping-particle":"","family":"Lumetti","given":"Federica","non-dropping-particle":"","parse-names":false,"suffix":""},{"dropping-particle":"","family":"Ferri","given":"Clodoveo","non-dropping-particle":"","parse-names":false,"suffix":""}],"container-title":"Clinical Rheumatology","id":"ITEM-1","issue":"5","issued":{"date-parts":[["2013","5"]]},"page":"623-627","title":"Osteomyelitis complicating scleroderma digital ulcers","type":"article-journal","volume":"32"},"uris":["http://www.mendeley.com/documents/?uuid=9cb68991-1bdd-34c0-92cf-5359d147ac17"]},{"id":"ITEM-2","itemData":{"DOI":"10.1002/acr.20673","ISSN":"00043591","abstract":"Digital ulcers represent one of the most frequent complications of systemic sclerosis (SSc; scleroderma); they are very painful, scarcely responsive to treatment, and often responsible for marked limitations on daily activities, including patient self-care. Infectious complications may severely compromise the outcome of skin lesions in a significant percentage of patients. Numerous pathogens of different origin may be involved, including bacteria from patient endogenous flora. Here we evaluated the possible involvement of fecal pathogens in scleroderma digital ulcers. Methods. Among a series of 82 SSc patients with digital ulcers, we retrospectively analyzed 42 subjects with clinical signs of local bacterial infection. All digital ulcers with suspected infection have been investigated by microbiologic examinations. Results. Bacterial infection was confirmed in all 42 patients investigated; in particular, Staphylococcus aureus were the most frequently found (50%). Interestingly, 11 (26%) of 42 patients showed digital ulcers infected with intestinal bacteria; specifically, 7 patients were positive for Escherichia coli and 4 for Enterococcus faecalis. Diffuse cutaneous SSc patients were more numerous in this subgroup versus the other 31 patients (Fisher's P= 0.011). Conclusion. A number of effective measures involving health care personnel and hospital environment are essential in the management of digital ulcers and prevention of infectious complications. In addition, the prevalence of fecal pathogens in one-quarter of cases, never reported previously, suggests an important role of a patient's self-care limitations, mainly during intercurrent home medications. Consequently, methodical education on hand hygiene of both patients and relatives, frequently involved in ulcer medications, is mandatory to avoid such deleterious complications. © 2012, American College of Rheumatology.","author":[{"dropping-particle":"","family":"Giuggioli","given":"Dilia","non-dropping-particle":"","parse-names":false,"suffix":""},{"dropping-particle":"","family":"Manfredi","given":"Andreina","non-dropping-particle":"","parse-names":false,"suffix":""},{"dropping-particle":"","family":"Colaci","given":"Michele","non-dropping-particle":"","parse-names":false,"suffix":""},{"dropping-particle":"","family":"Lumetti","given":"Federica","non-dropping-particle":"","parse-names":false,"suffix":""},{"dropping-particle":"","family":"Ferri","given":"Clodoveo","non-dropping-particle":"","parse-names":false,"suffix":""}],"container-title":"Arthritis Care and Research","id":"ITEM-2","issue":"2","issued":{"date-parts":[["2012","2"]]},"page":"295-297","title":"Scleroderma digital ulcers complicated by infection with fecal pathogens","type":"article-journal","volume":"64"},"uris":["http://www.mendeley.com/documents/?uuid=921beb7e-8042-3871-9a43-b3e4e258bc2c"]}],"mendeley":{"formattedCitation":"&lt;sup&gt;4,5&lt;/sup&gt;","plainTextFormattedCitation":"4,5","previouslyFormattedCitation":"&lt;sup&gt;4,5&lt;/sup&gt;"},"properties":{"noteIndex":0},"schema":"https://github.com/citation-style-language/schema/raw/master/csl-citation.json"}</w:instrText>
      </w:r>
      <w:r w:rsidRPr="0002130C">
        <w:rPr>
          <w:rFonts w:ascii="Times New Roman" w:eastAsia="Times New Roman" w:hAnsi="Times New Roman" w:cs="Times New Roman"/>
          <w:sz w:val="24"/>
          <w:lang w:val="en-US"/>
        </w:rPr>
        <w:fldChar w:fldCharType="separate"/>
      </w:r>
      <w:r w:rsidR="00822B4E" w:rsidRPr="00822B4E">
        <w:rPr>
          <w:rFonts w:ascii="Times New Roman" w:eastAsia="Times New Roman" w:hAnsi="Times New Roman" w:cs="Times New Roman"/>
          <w:noProof/>
          <w:sz w:val="24"/>
          <w:vertAlign w:val="superscript"/>
          <w:lang w:val="en-US"/>
        </w:rPr>
        <w:t>4,5</w:t>
      </w:r>
      <w:r w:rsidRPr="0002130C">
        <w:rPr>
          <w:rFonts w:ascii="Times New Roman" w:eastAsia="Times New Roman" w:hAnsi="Times New Roman" w:cs="Times New Roman"/>
          <w:sz w:val="24"/>
          <w:lang w:val="en-US"/>
        </w:rPr>
        <w:fldChar w:fldCharType="end"/>
      </w:r>
      <w:r w:rsidRPr="0002130C">
        <w:rPr>
          <w:rFonts w:ascii="Times New Roman" w:eastAsia="Times New Roman" w:hAnsi="Times New Roman" w:cs="Times New Roman"/>
          <w:sz w:val="24"/>
          <w:lang w:val="en-US"/>
        </w:rPr>
        <w:t xml:space="preserve">. </w:t>
      </w:r>
      <w:r>
        <w:rPr>
          <w:rFonts w:ascii="Times New Roman" w:eastAsia="Times New Roman" w:hAnsi="Times New Roman" w:cs="Times New Roman"/>
          <w:sz w:val="24"/>
          <w:lang w:val="en-US"/>
        </w:rPr>
        <w:t>The management</w:t>
      </w:r>
      <w:r w:rsidRPr="0002130C">
        <w:rPr>
          <w:rFonts w:ascii="Times New Roman" w:eastAsia="Times New Roman" w:hAnsi="Times New Roman" w:cs="Times New Roman"/>
          <w:sz w:val="24"/>
          <w:lang w:val="en-US"/>
        </w:rPr>
        <w:t xml:space="preserve"> of </w:t>
      </w:r>
      <w:r>
        <w:rPr>
          <w:rFonts w:ascii="Times New Roman" w:eastAsia="Times New Roman" w:hAnsi="Times New Roman" w:cs="Times New Roman"/>
          <w:sz w:val="24"/>
          <w:lang w:val="en-US"/>
        </w:rPr>
        <w:t xml:space="preserve">SSc-related </w:t>
      </w:r>
      <w:r w:rsidRPr="0002130C">
        <w:rPr>
          <w:rFonts w:ascii="Times New Roman" w:eastAsia="Times New Roman" w:hAnsi="Times New Roman" w:cs="Times New Roman"/>
          <w:sz w:val="24"/>
          <w:lang w:val="en-US"/>
        </w:rPr>
        <w:t>DUs remain challenging</w:t>
      </w:r>
      <w:r>
        <w:rPr>
          <w:rFonts w:ascii="Times New Roman" w:eastAsia="Times New Roman" w:hAnsi="Times New Roman" w:cs="Times New Roman"/>
          <w:sz w:val="24"/>
          <w:lang w:val="en-US"/>
        </w:rPr>
        <w:t>: they affect</w:t>
      </w:r>
      <w:r w:rsidRPr="0002130C">
        <w:rPr>
          <w:rFonts w:ascii="Times New Roman" w:eastAsia="Times New Roman" w:hAnsi="Times New Roman" w:cs="Times New Roman"/>
          <w:sz w:val="24"/>
          <w:lang w:val="en-US"/>
        </w:rPr>
        <w:t xml:space="preserve"> patient’s quality of life</w:t>
      </w:r>
      <w:r>
        <w:rPr>
          <w:rFonts w:ascii="Times New Roman" w:eastAsia="Times New Roman" w:hAnsi="Times New Roman" w:cs="Times New Roman"/>
          <w:sz w:val="24"/>
          <w:lang w:val="en-US"/>
        </w:rPr>
        <w:t xml:space="preserve"> and frequently led to</w:t>
      </w:r>
      <w:r w:rsidRPr="0002130C">
        <w:rPr>
          <w:rFonts w:ascii="Times New Roman" w:eastAsia="Times New Roman" w:hAnsi="Times New Roman" w:cs="Times New Roman"/>
          <w:sz w:val="24"/>
          <w:lang w:val="en-US"/>
        </w:rPr>
        <w:t xml:space="preserve"> work disability </w:t>
      </w:r>
      <w:r>
        <w:rPr>
          <w:rFonts w:ascii="Times New Roman" w:eastAsia="Times New Roman" w:hAnsi="Times New Roman" w:cs="Times New Roman"/>
          <w:sz w:val="24"/>
          <w:lang w:val="en-US"/>
        </w:rPr>
        <w:t>with</w:t>
      </w:r>
      <w:r w:rsidRPr="0002130C">
        <w:rPr>
          <w:rFonts w:ascii="Times New Roman" w:eastAsia="Times New Roman" w:hAnsi="Times New Roman" w:cs="Times New Roman"/>
          <w:sz w:val="24"/>
          <w:lang w:val="en-US"/>
        </w:rPr>
        <w:t xml:space="preserve"> a significant impact on healthcare costs </w:t>
      </w:r>
      <w:r w:rsidRPr="0002130C">
        <w:rPr>
          <w:rFonts w:ascii="Times New Roman" w:eastAsia="Times New Roman" w:hAnsi="Times New Roman" w:cs="Times New Roman"/>
          <w:sz w:val="24"/>
          <w:lang w:val="en-US"/>
        </w:rPr>
        <w:fldChar w:fldCharType="begin" w:fldLock="1"/>
      </w:r>
      <w:r w:rsidR="002D7AE7">
        <w:rPr>
          <w:rFonts w:ascii="Times New Roman" w:eastAsia="Times New Roman" w:hAnsi="Times New Roman" w:cs="Times New Roman"/>
          <w:sz w:val="24"/>
          <w:lang w:val="en-US"/>
        </w:rPr>
        <w:instrText>ADDIN CSL_CITATION {"citationItems":[{"id":"ITEM-1","itemData":{"author":[{"dropping-particle":"","family":"Queyrel","given":"Viviane","non-dropping-particle":"","parse-names":false,"suffix":""},{"dropping-particle":"","family":"Hatron","given":"Pierre-Yves","non-dropping-particle":"","parse-names":false,"suffix":""},{"dropping-particle":"","family":"Hachulla","given":"Eric","non-dropping-particle":"","parse-names":false,"suffix":""},{"dropping-particle":"","family":"Clerson","given":"Pierre","non-dropping-particle":"","parse-names":false,"suffix":""},{"dropping-particle":"","family":"Launay","given":"David","non-dropping-particle":"","parse-names":false,"suffix":""},{"dropping-particle":"","family":"Lambert","given":"Marc","non-dropping-particle":"","parse-names":false,"suffix":""},{"dropping-particle":"","family":"Morell-Dubois","given":"Sandrine","non-dropping-particle":"","parse-names":false,"suffix":""}],"container-title":"The Journal of Rheumatology of Rheumatology The Journal on March","id":"ITEM-1","issue":"12","issued":{"date-parts":[["2007"]]},"number-of-pages":"2020","title":"Natural history of ischemic digital ulcers in systemic sclerosis: single-center","type":"report","volume":"34"},"uris":["http://www.mendeley.com/documents/?uuid=dbb2d653-c0b3-3426-99b3-b6544747c3d1"]}],"mendeley":{"formattedCitation":"&lt;sup&gt;6&lt;/sup&gt;","plainTextFormattedCitation":"6","previouslyFormattedCitation":"&lt;sup&gt;6&lt;/sup&gt;"},"properties":{"noteIndex":0},"schema":"https://github.com/citation-style-language/schema/raw/master/csl-citation.json"}</w:instrText>
      </w:r>
      <w:r w:rsidRPr="0002130C">
        <w:rPr>
          <w:rFonts w:ascii="Times New Roman" w:eastAsia="Times New Roman" w:hAnsi="Times New Roman" w:cs="Times New Roman"/>
          <w:sz w:val="24"/>
          <w:lang w:val="en-US"/>
        </w:rPr>
        <w:fldChar w:fldCharType="separate"/>
      </w:r>
      <w:r w:rsidR="00822B4E" w:rsidRPr="00822B4E">
        <w:rPr>
          <w:rFonts w:ascii="Times New Roman" w:eastAsia="Times New Roman" w:hAnsi="Times New Roman" w:cs="Times New Roman"/>
          <w:noProof/>
          <w:sz w:val="24"/>
          <w:vertAlign w:val="superscript"/>
          <w:lang w:val="en-US"/>
        </w:rPr>
        <w:t>6</w:t>
      </w:r>
      <w:r w:rsidRPr="0002130C">
        <w:rPr>
          <w:rFonts w:ascii="Times New Roman" w:eastAsia="Times New Roman" w:hAnsi="Times New Roman" w:cs="Times New Roman"/>
          <w:sz w:val="24"/>
          <w:lang w:val="en-US"/>
        </w:rPr>
        <w:fldChar w:fldCharType="end"/>
      </w:r>
      <w:r w:rsidRPr="0002130C">
        <w:rPr>
          <w:rFonts w:ascii="Times New Roman" w:eastAsia="Times New Roman" w:hAnsi="Times New Roman" w:cs="Times New Roman"/>
          <w:sz w:val="24"/>
          <w:lang w:val="en-US"/>
        </w:rPr>
        <w:t xml:space="preserve">. There is a scarce number of scientific publications on infectious complications of </w:t>
      </w:r>
      <w:r>
        <w:rPr>
          <w:rFonts w:ascii="Times New Roman" w:eastAsia="Times New Roman" w:hAnsi="Times New Roman" w:cs="Times New Roman"/>
          <w:sz w:val="24"/>
          <w:lang w:val="en-US"/>
        </w:rPr>
        <w:t xml:space="preserve">SSc-related </w:t>
      </w:r>
      <w:r w:rsidRPr="0002130C">
        <w:rPr>
          <w:rFonts w:ascii="Times New Roman" w:eastAsia="Times New Roman" w:hAnsi="Times New Roman" w:cs="Times New Roman"/>
          <w:sz w:val="24"/>
          <w:lang w:val="en-US"/>
        </w:rPr>
        <w:t xml:space="preserve">DUs </w:t>
      </w:r>
      <w:r>
        <w:rPr>
          <w:rFonts w:ascii="Times New Roman" w:eastAsia="Times New Roman" w:hAnsi="Times New Roman" w:cs="Times New Roman"/>
          <w:sz w:val="24"/>
          <w:lang w:val="en-US"/>
        </w:rPr>
        <w:t xml:space="preserve">and any </w:t>
      </w:r>
      <w:r w:rsidRPr="0002130C">
        <w:rPr>
          <w:rFonts w:ascii="Times New Roman" w:eastAsia="Times New Roman" w:hAnsi="Times New Roman" w:cs="Times New Roman"/>
          <w:sz w:val="24"/>
          <w:lang w:val="en-US"/>
        </w:rPr>
        <w:t xml:space="preserve">study has addressed the impact of infection on </w:t>
      </w:r>
      <w:r>
        <w:rPr>
          <w:rFonts w:ascii="Times New Roman" w:eastAsia="Times New Roman" w:hAnsi="Times New Roman" w:cs="Times New Roman"/>
          <w:sz w:val="24"/>
          <w:lang w:val="en-US"/>
        </w:rPr>
        <w:t xml:space="preserve">the </w:t>
      </w:r>
      <w:r w:rsidRPr="0002130C">
        <w:rPr>
          <w:rFonts w:ascii="Times New Roman" w:eastAsia="Times New Roman" w:hAnsi="Times New Roman" w:cs="Times New Roman"/>
          <w:sz w:val="24"/>
          <w:lang w:val="en-US"/>
        </w:rPr>
        <w:t>DU</w:t>
      </w:r>
      <w:r>
        <w:rPr>
          <w:rFonts w:ascii="Times New Roman" w:eastAsia="Times New Roman" w:hAnsi="Times New Roman" w:cs="Times New Roman"/>
          <w:sz w:val="24"/>
          <w:lang w:val="en-US"/>
        </w:rPr>
        <w:t>s’</w:t>
      </w:r>
      <w:r w:rsidRPr="0002130C">
        <w:rPr>
          <w:rFonts w:ascii="Times New Roman" w:eastAsia="Times New Roman" w:hAnsi="Times New Roman" w:cs="Times New Roman"/>
          <w:sz w:val="24"/>
          <w:lang w:val="en-US"/>
        </w:rPr>
        <w:t xml:space="preserve"> healing </w:t>
      </w:r>
      <w:r>
        <w:rPr>
          <w:rFonts w:ascii="Times New Roman" w:eastAsia="Times New Roman" w:hAnsi="Times New Roman" w:cs="Times New Roman"/>
          <w:sz w:val="24"/>
          <w:lang w:val="en-US"/>
        </w:rPr>
        <w:t xml:space="preserve">process </w:t>
      </w:r>
      <w:r w:rsidRPr="0002130C">
        <w:rPr>
          <w:rFonts w:ascii="Times New Roman" w:eastAsia="Times New Roman" w:hAnsi="Times New Roman" w:cs="Times New Roman"/>
          <w:sz w:val="24"/>
          <w:lang w:val="en-US"/>
        </w:rPr>
        <w:fldChar w:fldCharType="begin" w:fldLock="1"/>
      </w:r>
      <w:r w:rsidR="002D7AE7">
        <w:rPr>
          <w:rFonts w:ascii="Times New Roman" w:eastAsia="Times New Roman" w:hAnsi="Times New Roman" w:cs="Times New Roman"/>
          <w:sz w:val="24"/>
          <w:lang w:val="en-US"/>
        </w:rPr>
        <w:instrText>ADDIN CSL_CITATION {"citationItems":[{"id":"ITEM-1","itemData":{"author":[{"dropping-particle":"","family":"Queyrel","given":"Viviane","non-dropping-particle":"","parse-names":false,"suffix":""},{"dropping-particle":"","family":"Hatron","given":"Pierre-Yves","non-dropping-particle":"","parse-names":false,"suffix":""},{"dropping-particle":"","family":"Hachulla","given":"Eric","non-dropping-particle":"","parse-names":false,"suffix":""},{"dropping-particle":"","family":"Clerson","given":"Pierre","non-dropping-particle":"","parse-names":false,"suffix":""},{"dropping-particle":"","family":"Launay","given":"David","non-dropping-particle":"","parse-names":false,"suffix":""},{"dropping-particle":"","family":"Lambert","given":"Marc","non-dropping-particle":"","parse-names":false,"suffix":""},{"dropping-particle":"","family":"Morell-Dubois","given":"Sandrine","non-dropping-particle":"","parse-names":false,"suffix":""}],"container-title":"The Journal of Rheumatology of Rheumatology The Journal on March","id":"ITEM-1","issue":"12","issued":{"date-parts":[["2007"]]},"number-of-pages":"2020","title":"Natural history of ischemic digital ulcers in systemic sclerosis: single-center","type":"report","volume":"34"},"uris":["http://www.mendeley.com/documents/?uuid=dbb2d653-c0b3-3426-99b3-b6544747c3d1"]},{"id":"ITEM-2","itemData":{"DOI":"10.1136/annrheumdis-2016-209481","ISSN":"14682060","author":[{"dropping-particle":"","family":"Allanore","given":"Yannick","non-dropping-particle":"","parse-names":false,"suffix":""},{"dropping-particle":"","family":"Denton","given":"Christopher P.","non-dropping-particle":"","parse-names":false,"suffix":""},{"dropping-particle":"","family":"Krieg","given":"Thomas","non-dropping-particle":"","parse-names":false,"suffix":""},{"dropping-particle":"","family":"Cornelisse","given":"Peter","non-dropping-particle":"","parse-names":false,"suffix":""},{"dropping-particle":"","family":"Rosenberg","given":"Daniel","non-dropping-particle":"","parse-names":false,"suffix":""},{"dropping-particle":"","family":"Schwierin","given":"Barbara","non-dropping-particle":"","parse-names":false,"suffix":""},{"dropping-particle":"","family":"Matucci-Cerinic","given":"Marco","non-dropping-particle":"","parse-names":false,"suffix":""}],"container-title":"Annals of the Rheumatic Diseases","id":"ITEM-2","issue":"9","issued":{"date-parts":[["2016","9","1"]]},"page":"1736-1740","publisher":"BMJ Publishing Group","title":"Clinical characteristics and predictors of gangrene in patients with systemic sclerosis and digital ulcers in the Digital Ulcer Outcome Registry: A prospective, observational cohort","type":"article","volume":"75"},"uris":["http://www.mendeley.com/documents/?uuid=b8be56b5-b85b-32ae-bc72-04f67c94e69c"]},{"id":"ITEM-3","itemData":{"abstract":"Objective Digital ulcers (DU) may develop in half of systemic sclerosis (SSc) patients; they are often resistant to treatments. Deep wound debridement is crucial for DU healing, but very difficult to carry out without adequate procedural pain management. Here, we report the results of our experience on procedural pain management in scleroderma DU. Methods The study included 51 DU observed in 32 consecutive SSc patients; procedural pain was treated following a definite schedule: local lidocaine and prilocaine (25 mg of either agent per gram of cream, EMLA 5%) were initially used in all cases, followed by local and oral morphine, according to the severity of pain scored on a 10 cm visual analogue scale (VAS). Results At baseline, higher pain VAS was recorded in more severe (p=0.0001) and/or infected DU (p=0.0001). Good compliance to DU debridement was observed in patients with mild pain (VAS ≤4) treated with only EMLA, and in 5 cases with moderate-severe pain (VAS &gt;4) at baseline. While, the majority of DU with moderate-severe pain (34/39) needed a combined therapy with EMLA and local morphine (8/34) or with EMLA, local and oral morphine (26/34). On the whole, pain management during DU debridement required only EMLA application in 33% of cases, EMLA plus local morphine in 16%, while combined EMLA, local and oral morphine were necessary in 51%, generally with more severe and/or infected lesions. Conclusion The present study showed valuable control of procedural pain during DU debridement with sequential, combined analgesic treatment.","author":[{"dropping-particle":"","family":"Giuggioli","given":"D","non-dropping-particle":"","parse-names":false,"suffix":""},{"dropping-particle":"","family":"Manfredi","given":"A","non-dropping-particle":"","parse-names":false,"suffix":""},{"dropping-particle":"","family":"Vacchi","given":"C","non-dropping-particle":"","parse-names":false,"suffix":""},{"dropping-particle":"","family":"Sebastiani","given":"M","non-dropping-particle":"","parse-names":false,"suffix":""},{"dropping-particle":"","family":"Spinella","given":"A","non-dropping-particle":"","parse-names":false,"suffix":""},{"dropping-particle":"","family":"Ferri","given":"C","non-dropping-particle":"","parse-names":false,"suffix":""},{"dropping-particle":"","family":"Giuggioli","given":"Dilia","non-dropping-particle":"","parse-names":false,"suffix":""},{"dropping-particle":"","family":"Manfredi","given":"Andreina","non-dropping-particle":"","parse-names":false,"suffix":""},{"dropping-particle":"","family":"Vacchi","given":"Caterina","non-dropping-particle":"","parse-names":false,"suffix":""},{"dropping-particle":"","family":"Sebastiani","given":"Marco","non-dropping-particle":"","parse-names":false,"suffix":""},{"dropping-particle":"","family":"Spinella","given":"Amelia","non-dropping-particle":"","parse-names":false,"suffix":""},{"dropping-particle":"","family":"Ferri","given":"Clodoveo","non-dropping-particle":"","parse-names":false,"suffix":""}],"container-title":"Clinical and Experimental Rheumatology","id":"ITEM-3","issued":{"date-parts":[["2015"]]},"number-of-pages":"5-10","title":"Procedural pain management in the treatment of scleroderma digital ulcers Procedural pain management and scleroderma digital ulcers / D. Giuggioli et al","type":"report","volume":"33"},"uris":["http://www.mendeley.com/documents/?uuid=a3051911-dd47-3eb8-bdf9-04ee0fed84df"]}],"mendeley":{"formattedCitation":"&lt;sup&gt;6–8&lt;/sup&gt;","plainTextFormattedCitation":"6–8","previouslyFormattedCitation":"&lt;sup&gt;6–8&lt;/sup&gt;"},"properties":{"noteIndex":0},"schema":"https://github.com/citation-style-language/schema/raw/master/csl-citation.json"}</w:instrText>
      </w:r>
      <w:r w:rsidRPr="0002130C">
        <w:rPr>
          <w:rFonts w:ascii="Times New Roman" w:eastAsia="Times New Roman" w:hAnsi="Times New Roman" w:cs="Times New Roman"/>
          <w:sz w:val="24"/>
          <w:lang w:val="en-US"/>
        </w:rPr>
        <w:fldChar w:fldCharType="separate"/>
      </w:r>
      <w:r w:rsidR="00822B4E" w:rsidRPr="00822B4E">
        <w:rPr>
          <w:rFonts w:ascii="Times New Roman" w:eastAsia="Times New Roman" w:hAnsi="Times New Roman" w:cs="Times New Roman"/>
          <w:noProof/>
          <w:sz w:val="24"/>
          <w:vertAlign w:val="superscript"/>
          <w:lang w:val="en-US"/>
        </w:rPr>
        <w:t>6–8</w:t>
      </w:r>
      <w:r w:rsidRPr="0002130C">
        <w:rPr>
          <w:rFonts w:ascii="Times New Roman" w:eastAsia="Times New Roman" w:hAnsi="Times New Roman" w:cs="Times New Roman"/>
          <w:sz w:val="24"/>
          <w:lang w:val="en-US"/>
        </w:rPr>
        <w:fldChar w:fldCharType="end"/>
      </w:r>
      <w:r w:rsidRPr="009908B2">
        <w:rPr>
          <w:rFonts w:ascii="Times New Roman" w:eastAsia="Times New Roman" w:hAnsi="Times New Roman" w:cs="Times New Roman"/>
          <w:sz w:val="24"/>
          <w:lang w:val="en-US"/>
        </w:rPr>
        <w:t xml:space="preserve">.  </w:t>
      </w:r>
      <w:r w:rsidRPr="0002130C">
        <w:rPr>
          <w:rFonts w:ascii="Times New Roman" w:eastAsia="Times New Roman" w:hAnsi="Times New Roman" w:cs="Times New Roman"/>
          <w:sz w:val="24"/>
          <w:lang w:val="en-US"/>
        </w:rPr>
        <w:t>In the present study we retrospectively revised microbiological findings from scleroderma digital ulcers and suspected bacterial infection.</w:t>
      </w:r>
    </w:p>
    <w:p w14:paraId="09E25665" w14:textId="77777777" w:rsidR="00703CF5" w:rsidRPr="0002130C" w:rsidRDefault="00703CF5" w:rsidP="00703CF5">
      <w:pPr>
        <w:jc w:val="both"/>
        <w:rPr>
          <w:rFonts w:ascii="Times" w:eastAsia="Times" w:hAnsi="Times" w:cs="Times"/>
          <w:sz w:val="24"/>
          <w:lang w:val="en-US"/>
        </w:rPr>
      </w:pPr>
      <w:r>
        <w:rPr>
          <w:rFonts w:ascii="Times" w:eastAsia="Times" w:hAnsi="Times" w:cs="Times"/>
          <w:sz w:val="24"/>
          <w:lang w:val="en-US"/>
        </w:rPr>
        <w:t>MATERIALS</w:t>
      </w:r>
      <w:r w:rsidRPr="0002130C">
        <w:rPr>
          <w:rFonts w:ascii="Times" w:eastAsia="Times" w:hAnsi="Times" w:cs="Times"/>
          <w:sz w:val="24"/>
          <w:lang w:val="en-US"/>
        </w:rPr>
        <w:t xml:space="preserve"> AND METHODS</w:t>
      </w:r>
    </w:p>
    <w:p w14:paraId="4B192985" w14:textId="6153FEB1" w:rsidR="00703CF5" w:rsidRPr="0002130C" w:rsidRDefault="00703CF5" w:rsidP="00703CF5">
      <w:pPr>
        <w:spacing w:after="240" w:line="240" w:lineRule="auto"/>
        <w:jc w:val="both"/>
        <w:rPr>
          <w:rFonts w:ascii="Times" w:eastAsia="Times" w:hAnsi="Times" w:cs="Times"/>
          <w:sz w:val="24"/>
          <w:lang w:val="en-US"/>
        </w:rPr>
      </w:pPr>
      <w:r>
        <w:rPr>
          <w:rFonts w:ascii="Times" w:eastAsia="Times" w:hAnsi="Times" w:cs="Times"/>
          <w:sz w:val="24"/>
          <w:lang w:val="en-US"/>
        </w:rPr>
        <w:t xml:space="preserve">We </w:t>
      </w:r>
      <w:r w:rsidRPr="0002130C">
        <w:rPr>
          <w:rFonts w:ascii="Times" w:eastAsia="Times" w:hAnsi="Times" w:cs="Times"/>
          <w:sz w:val="24"/>
          <w:lang w:val="en-US"/>
        </w:rPr>
        <w:t xml:space="preserve">revised </w:t>
      </w:r>
      <w:r>
        <w:rPr>
          <w:rFonts w:ascii="Times" w:eastAsia="Times" w:hAnsi="Times" w:cs="Times"/>
          <w:sz w:val="24"/>
          <w:lang w:val="en-US"/>
        </w:rPr>
        <w:t>fifty</w:t>
      </w:r>
      <w:r w:rsidRPr="0002130C">
        <w:rPr>
          <w:rFonts w:ascii="Times" w:eastAsia="Times" w:hAnsi="Times" w:cs="Times"/>
          <w:sz w:val="24"/>
          <w:lang w:val="en-US"/>
        </w:rPr>
        <w:t xml:space="preserve"> </w:t>
      </w:r>
      <w:r>
        <w:rPr>
          <w:rFonts w:ascii="Times" w:eastAsia="Times" w:hAnsi="Times" w:cs="Times"/>
          <w:sz w:val="24"/>
          <w:lang w:val="en-US"/>
        </w:rPr>
        <w:t xml:space="preserve">consecutive </w:t>
      </w:r>
      <w:r w:rsidRPr="0002130C">
        <w:rPr>
          <w:rFonts w:ascii="Times" w:eastAsia="Times" w:hAnsi="Times" w:cs="Times"/>
          <w:sz w:val="24"/>
          <w:lang w:val="en-US"/>
        </w:rPr>
        <w:t xml:space="preserve">patients with </w:t>
      </w:r>
      <w:r>
        <w:rPr>
          <w:rFonts w:ascii="Times" w:eastAsia="Times" w:hAnsi="Times" w:cs="Times"/>
          <w:sz w:val="24"/>
          <w:lang w:val="en-US"/>
        </w:rPr>
        <w:t xml:space="preserve">SSc-related </w:t>
      </w:r>
      <w:r w:rsidRPr="0002130C">
        <w:rPr>
          <w:rFonts w:ascii="Times" w:eastAsia="Times" w:hAnsi="Times" w:cs="Times"/>
          <w:sz w:val="24"/>
          <w:lang w:val="en-US"/>
        </w:rPr>
        <w:t xml:space="preserve">DUs </w:t>
      </w:r>
      <w:r>
        <w:rPr>
          <w:rFonts w:ascii="Times" w:eastAsia="Times" w:hAnsi="Times" w:cs="Times"/>
          <w:sz w:val="24"/>
          <w:lang w:val="en-US"/>
        </w:rPr>
        <w:t xml:space="preserve">who </w:t>
      </w:r>
      <w:r w:rsidRPr="0002130C">
        <w:rPr>
          <w:rFonts w:ascii="Times" w:eastAsia="Times" w:hAnsi="Times" w:cs="Times"/>
          <w:sz w:val="24"/>
          <w:lang w:val="en-US"/>
        </w:rPr>
        <w:t xml:space="preserve">referred </w:t>
      </w:r>
      <w:r>
        <w:rPr>
          <w:rFonts w:ascii="Times" w:eastAsia="Times" w:hAnsi="Times" w:cs="Times"/>
          <w:sz w:val="24"/>
          <w:lang w:val="en-US"/>
        </w:rPr>
        <w:t>to</w:t>
      </w:r>
      <w:r w:rsidRPr="0002130C">
        <w:rPr>
          <w:rFonts w:ascii="Times" w:eastAsia="Times" w:hAnsi="Times" w:cs="Times"/>
          <w:sz w:val="24"/>
          <w:lang w:val="en-US"/>
        </w:rPr>
        <w:t xml:space="preserve"> our Scleroderm</w:t>
      </w:r>
      <w:r>
        <w:rPr>
          <w:rFonts w:ascii="Times" w:eastAsia="Times" w:hAnsi="Times" w:cs="Times"/>
          <w:sz w:val="24"/>
          <w:lang w:val="en-US"/>
        </w:rPr>
        <w:t>a</w:t>
      </w:r>
      <w:r w:rsidRPr="0002130C">
        <w:rPr>
          <w:rFonts w:ascii="Times" w:eastAsia="Times" w:hAnsi="Times" w:cs="Times"/>
          <w:sz w:val="24"/>
          <w:lang w:val="en-US"/>
        </w:rPr>
        <w:t xml:space="preserve"> Unit during the last twelve months. </w:t>
      </w:r>
      <w:r>
        <w:rPr>
          <w:rFonts w:ascii="Times" w:eastAsia="Times" w:hAnsi="Times" w:cs="Times"/>
          <w:sz w:val="24"/>
          <w:lang w:val="en-US"/>
        </w:rPr>
        <w:t>Thirty-five</w:t>
      </w:r>
      <w:r w:rsidRPr="0002130C">
        <w:rPr>
          <w:rFonts w:ascii="Times" w:eastAsia="Times" w:hAnsi="Times" w:cs="Times"/>
          <w:sz w:val="24"/>
          <w:lang w:val="en-US"/>
        </w:rPr>
        <w:t xml:space="preserve"> </w:t>
      </w:r>
      <w:r>
        <w:rPr>
          <w:rFonts w:ascii="Times" w:eastAsia="Times" w:hAnsi="Times" w:cs="Times"/>
          <w:sz w:val="24"/>
          <w:lang w:val="en-US"/>
        </w:rPr>
        <w:t>of them</w:t>
      </w:r>
      <w:r w:rsidRPr="0002130C">
        <w:rPr>
          <w:rFonts w:ascii="Times" w:eastAsia="Times" w:hAnsi="Times" w:cs="Times"/>
          <w:sz w:val="24"/>
          <w:lang w:val="en-US"/>
        </w:rPr>
        <w:t xml:space="preserve"> (33 females and 2 males; mean age 65 ± 13</w:t>
      </w:r>
      <w:r>
        <w:rPr>
          <w:rFonts w:ascii="Times" w:eastAsia="Times" w:hAnsi="Times" w:cs="Times"/>
          <w:sz w:val="24"/>
          <w:lang w:val="en-US"/>
        </w:rPr>
        <w:t xml:space="preserve"> </w:t>
      </w:r>
      <w:r w:rsidRPr="0002130C">
        <w:rPr>
          <w:rFonts w:ascii="Times" w:eastAsia="Times" w:hAnsi="Times" w:cs="Times"/>
          <w:sz w:val="24"/>
          <w:lang w:val="en-US"/>
        </w:rPr>
        <w:t>years, disease duration 14 ± 6.7 years), showed clear signs</w:t>
      </w:r>
      <w:r w:rsidR="003820EA">
        <w:rPr>
          <w:rFonts w:ascii="Times" w:eastAsia="Times" w:hAnsi="Times" w:cs="Times"/>
          <w:sz w:val="24"/>
          <w:lang w:val="en-US"/>
        </w:rPr>
        <w:t xml:space="preserve"> of infection in at least one</w:t>
      </w:r>
      <w:r w:rsidRPr="0002130C">
        <w:rPr>
          <w:rFonts w:ascii="Times" w:eastAsia="Times" w:hAnsi="Times" w:cs="Times"/>
          <w:sz w:val="24"/>
          <w:lang w:val="en-US"/>
        </w:rPr>
        <w:t xml:space="preserve"> DUs</w:t>
      </w:r>
      <w:r w:rsidR="003820EA">
        <w:rPr>
          <w:rFonts w:ascii="Times" w:eastAsia="Times" w:hAnsi="Times" w:cs="Times"/>
          <w:sz w:val="24"/>
          <w:lang w:val="en-US"/>
        </w:rPr>
        <w:t xml:space="preserve">. </w:t>
      </w:r>
      <w:r w:rsidR="00892C82">
        <w:rPr>
          <w:rFonts w:ascii="Times" w:eastAsia="Times" w:hAnsi="Times" w:cs="Times"/>
          <w:sz w:val="24"/>
          <w:lang w:val="en-US"/>
        </w:rPr>
        <w:t>Only h</w:t>
      </w:r>
      <w:r w:rsidR="003820EA" w:rsidRPr="00892C82">
        <w:rPr>
          <w:rFonts w:ascii="Times" w:eastAsia="Times" w:hAnsi="Times" w:cs="Times"/>
          <w:sz w:val="24"/>
          <w:highlight w:val="yellow"/>
          <w:lang w:val="en-US"/>
        </w:rPr>
        <w:t xml:space="preserve">ypothetically infected DUs </w:t>
      </w:r>
      <w:r w:rsidR="00892C82" w:rsidRPr="00892C82">
        <w:rPr>
          <w:rFonts w:ascii="Times" w:eastAsia="Times" w:hAnsi="Times" w:cs="Times"/>
          <w:sz w:val="24"/>
          <w:highlight w:val="yellow"/>
          <w:lang w:val="en-US"/>
        </w:rPr>
        <w:t xml:space="preserve">were microbiologically tested </w:t>
      </w:r>
      <w:r w:rsidR="00892C82">
        <w:rPr>
          <w:rFonts w:ascii="Times" w:eastAsia="Times" w:hAnsi="Times" w:cs="Times"/>
          <w:sz w:val="24"/>
          <w:highlight w:val="yellow"/>
          <w:lang w:val="en-US"/>
        </w:rPr>
        <w:t>by means of</w:t>
      </w:r>
      <w:r w:rsidR="00892C82" w:rsidRPr="00892C82">
        <w:rPr>
          <w:rFonts w:ascii="Times" w:eastAsia="Times" w:hAnsi="Times" w:cs="Times"/>
          <w:sz w:val="24"/>
          <w:highlight w:val="yellow"/>
          <w:lang w:val="en-US"/>
        </w:rPr>
        <w:t xml:space="preserve"> a cuta</w:t>
      </w:r>
      <w:r w:rsidRPr="00892C82">
        <w:rPr>
          <w:rFonts w:ascii="Times" w:eastAsia="Times" w:hAnsi="Times" w:cs="Times"/>
          <w:sz w:val="24"/>
          <w:highlight w:val="yellow"/>
          <w:lang w:val="en-US"/>
        </w:rPr>
        <w:t>neous swab and microbiological data were collected</w:t>
      </w:r>
      <w:r w:rsidR="00892C82">
        <w:rPr>
          <w:rFonts w:ascii="Times" w:eastAsia="Times" w:hAnsi="Times" w:cs="Times"/>
          <w:sz w:val="24"/>
          <w:lang w:val="en-US"/>
        </w:rPr>
        <w:t>.</w:t>
      </w:r>
      <w:r w:rsidRPr="0002130C">
        <w:rPr>
          <w:rFonts w:ascii="Times" w:eastAsia="Times" w:hAnsi="Times" w:cs="Times"/>
          <w:sz w:val="24"/>
          <w:lang w:val="en-US"/>
        </w:rPr>
        <w:t xml:space="preserve"> </w:t>
      </w:r>
      <w:r w:rsidR="00892C82">
        <w:rPr>
          <w:rFonts w:ascii="Times" w:eastAsia="Times" w:hAnsi="Times" w:cs="Times"/>
          <w:sz w:val="24"/>
          <w:lang w:val="en-US"/>
        </w:rPr>
        <w:t>We considered signs of possible infection:</w:t>
      </w:r>
      <w:r w:rsidR="00892C82" w:rsidRPr="0002130C">
        <w:rPr>
          <w:rFonts w:ascii="Times" w:eastAsia="Times" w:hAnsi="Times" w:cs="Times"/>
          <w:sz w:val="24"/>
          <w:lang w:val="en-US"/>
        </w:rPr>
        <w:t xml:space="preserve"> perilesional erythema, swelling, purulent exudates, distinctive odor and presence of pain </w:t>
      </w:r>
      <w:r w:rsidR="00892C82" w:rsidRPr="0002130C">
        <w:rPr>
          <w:rFonts w:ascii="Times" w:eastAsia="Times" w:hAnsi="Times" w:cs="Times"/>
          <w:sz w:val="24"/>
          <w:lang w:val="en-US"/>
        </w:rPr>
        <w:fldChar w:fldCharType="begin" w:fldLock="1"/>
      </w:r>
      <w:r w:rsidR="002D7AE7">
        <w:rPr>
          <w:rFonts w:ascii="Times" w:eastAsia="Times" w:hAnsi="Times" w:cs="Times"/>
          <w:sz w:val="24"/>
          <w:lang w:val="en-US"/>
        </w:rPr>
        <w:instrText>ADDIN CSL_CITATION {"citationItems":[{"id":"ITEM-1","itemData":{"DOI":"10.1136/bmj.332.7536.285","ISSN":"09598146","author":[{"dropping-particle":"","family":"Grey","given":"Joseph E.","non-dropping-particle":"","parse-names":false,"suffix":""},{"dropping-particle":"","family":"Enoch","given":"Stuart","non-dropping-particle":"","parse-names":false,"suffix":""},{"dropping-particle":"","family":"Harding","given":"Keith G.","non-dropping-particle":"","parse-names":false,"suffix":""}],"container-title":"British Medical Journal","id":"ITEM-1","issue":"7536","issued":{"date-parts":[["2006","2","4"]]},"page":"285-288","title":"Wound assessment","type":"article","volume":"332"},"uris":["http://www.mendeley.com/documents/?uuid=88891ae1-2fe2-3ded-9094-a52aedd24401"]}],"mendeley":{"formattedCitation":"&lt;sup&gt;9&lt;/sup&gt;","plainTextFormattedCitation":"9","previouslyFormattedCitation":"&lt;sup&gt;9&lt;/sup&gt;"},"properties":{"noteIndex":0},"schema":"https://github.com/citation-style-language/schema/raw/master/csl-citation.json"}</w:instrText>
      </w:r>
      <w:r w:rsidR="00892C82" w:rsidRPr="0002130C">
        <w:rPr>
          <w:rFonts w:ascii="Times" w:eastAsia="Times" w:hAnsi="Times" w:cs="Times"/>
          <w:sz w:val="24"/>
          <w:lang w:val="en-US"/>
        </w:rPr>
        <w:fldChar w:fldCharType="separate"/>
      </w:r>
      <w:r w:rsidR="002D7AE7" w:rsidRPr="002D7AE7">
        <w:rPr>
          <w:rFonts w:ascii="Times" w:eastAsia="Times" w:hAnsi="Times" w:cs="Times"/>
          <w:noProof/>
          <w:sz w:val="24"/>
          <w:vertAlign w:val="superscript"/>
          <w:lang w:val="en-US"/>
        </w:rPr>
        <w:t>9</w:t>
      </w:r>
      <w:r w:rsidR="00892C82" w:rsidRPr="0002130C">
        <w:rPr>
          <w:rFonts w:ascii="Times" w:eastAsia="Times" w:hAnsi="Times" w:cs="Times"/>
          <w:sz w:val="24"/>
          <w:lang w:val="en-US"/>
        </w:rPr>
        <w:fldChar w:fldCharType="end"/>
      </w:r>
      <w:r w:rsidR="00892C82">
        <w:rPr>
          <w:rFonts w:ascii="Times" w:eastAsia="Times" w:hAnsi="Times" w:cs="Times"/>
          <w:sz w:val="24"/>
          <w:lang w:val="en-US"/>
        </w:rPr>
        <w:t xml:space="preserve">. </w:t>
      </w:r>
      <w:r w:rsidRPr="0002130C">
        <w:rPr>
          <w:rFonts w:ascii="Times" w:eastAsia="Times" w:hAnsi="Times" w:cs="Times"/>
          <w:sz w:val="24"/>
          <w:lang w:val="en-US"/>
        </w:rPr>
        <w:t xml:space="preserve">All patients fulfilled EULAR/ACR classification criteria for SSc </w:t>
      </w:r>
      <w:r w:rsidRPr="0002130C">
        <w:rPr>
          <w:rFonts w:ascii="Times" w:eastAsia="Times" w:hAnsi="Times" w:cs="Times"/>
          <w:sz w:val="24"/>
          <w:lang w:val="en-US"/>
        </w:rPr>
        <w:fldChar w:fldCharType="begin" w:fldLock="1"/>
      </w:r>
      <w:r w:rsidR="002D7AE7">
        <w:rPr>
          <w:rFonts w:ascii="Times" w:eastAsia="Times" w:hAnsi="Times" w:cs="Times"/>
          <w:sz w:val="24"/>
          <w:lang w:val="en-US"/>
        </w:rPr>
        <w:instrText>ADDIN CSL_CITATION {"citationItems":[{"id":"ITEM-1","itemData":{"DOI":"10.1002/art.38098","ISSN":"1529-0131","PMID":"24122180","abstract":"OBJECTIVE: The 1980 American College of Rheumatology (ACR) classification criteria for systemic sclerosis (SSc) lack sensitivity for early SSc and limited cutaneous SSc. The present work, by a joint committee of the ACR and the European League Against Rheumatism (EULAR), was undertaken for the purpose of developing new classification criteria for SSc.\n\nMETHODS: Using consensus methods, 23 candidate items were arranged in a multicriteria additive point system with a threshold to classify cases as SSc. The classification system was reduced by clustering items and simplifying weights. The system was tested by 1) determining specificity and sensitivity in SSc cases and controls with scleroderma-like disorders, and 2) validating against the combined view of a group of experts on a set of cases with or without SSc.\n\nRESULTS: It was determined that skin thickening of the fingers extending proximal to the metacarpophalangeal joints is sufficient for the patient to be classified as having SSc; if that is not present, 7 additive items apply, with varying weights for each: skin thickening of the fingers, fingertip lesions, telangiectasia, abnormal nailfold capillaries, interstitial lung disease or pulmonary arterial hypertension, Raynaud's phenomenon, and SSc-related autoantibodies. Sensitivity and specificity in the validation sample were, respectively, 0.91 and 0.92 for the new classification criteria and 0.75 and 0.72 for the 1980 ACR classification criteria. All selected cases were classified in accordance with consensus-based expert opinion. All cases classified as SSc according to the 1980 ACR criteria were classified as SSc with the new criteria, and several additional cases were now considered to be SSc.\n\nCONCLUSION: The ACR/EULAR classification criteria for SSc performed better than the 1980 ACR criteria for SSc and should allow for more patients to be classified correctly as having the disease.","author":[{"dropping-particle":"","family":"Hoogen","given":"Frank","non-dropping-particle":"van den","parse-names":false,"suffix":""},{"dropping-particle":"","family":"Khanna","given":"Dinesh","non-dropping-particle":"","parse-names":false,"suffix":""},{"dropping-particle":"","family":"Fransen","given":"Jaap","non-dropping-particle":"","parse-names":false,"suffix":""},{"dropping-particle":"","family":"Johnson","given":"Sindhu R","non-dropping-particle":"","parse-names":false,"suffix":""},{"dropping-particle":"","family":"Baron","given":"Murray","non-dropping-particle":"","parse-names":false,"suffix":""},{"dropping-particle":"","family":"Tyndall","given":"Alan","non-dropping-particle":"","parse-names":false,"suffix":""},{"dropping-particle":"","family":"Matucci-Cerinic","given":"Marco","non-dropping-particle":"","parse-names":false,"suffix":""},{"dropping-particle":"","family":"Naden","given":"Raymond P","non-dropping-particle":"","parse-names":false,"suffix":""},{"dropping-particle":"","family":"Medsger","given":"Thomas A","non-dropping-particle":"","parse-names":false,"suffix":""},{"dropping-particle":"","family":"Carreira","given":"Patricia E","non-dropping-particle":"","parse-names":false,"suffix":""},{"dropping-particle":"","family":"Riemekasten","given":"Gabriela","non-dropping-particle":"","parse-names":false,"suffix":""},{"dropping-particle":"","family":"Clements","given":"Philip J","non-dropping-particle":"","parse-names":false,"suffix":""},{"dropping-particle":"","family":"Denton","given":"Christopher P","non-dropping-particle":"","parse-names":false,"suffix":""},{"dropping-particle":"","family":"Distler","given":"Oliver","non-dropping-particle":"","parse-names":false,"suffix":""},{"dropping-particle":"","family":"Allanore","given":"Yannick","non-dropping-particle":"","parse-names":false,"suffix":""},{"dropping-particle":"","family":"Furst","given":"Daniel E","non-dropping-particle":"","parse-names":false,"suffix":""},{"dropping-particle":"","family":"Gabrielli","given":"Armando","non-dropping-particle":"","parse-names":false,"suffix":""},{"dropping-particle":"","family":"Mayes","given":"Maureen D","non-dropping-particle":"","parse-names":false,"suffix":""},{"dropping-particle":"","family":"Laar","given":"Jacob M","non-dropping-particle":"van","parse-names":false,"suffix":""},{"dropping-particle":"","family":"Seibold","given":"James R","non-dropping-particle":"","parse-names":false,"suffix":""},{"dropping-particle":"","family":"Czirjak","given":"Laszlo","non-dropping-particle":"","parse-names":false,"suffix":""},{"dropping-particle":"","family":"Steen","given":"Virginia D","non-dropping-particle":"","parse-names":false,"suffix":""},{"dropping-particle":"","family":"Inanc","given":"Murat","non-dropping-particle":"","parse-names":false,"suffix":""},{"dropping-particle":"","family":"Kowal-Bielecka","given":"Otylia","non-dropping-particle":"","parse-names":false,"suffix":""},{"dropping-particle":"","family":"Müller-Ladner","given":"Ulf","non-dropping-particle":"","parse-names":false,"suffix":""},{"dropping-particle":"","family":"Valentini","given":"Gabriele","non-dropping-particle":"","parse-names":false,"suffix":""},{"dropping-particle":"","family":"Veale","given":"Douglas J","non-dropping-particle":"","parse-names":false,"suffix":""},{"dropping-particle":"","family":"Vonk","given":"Madelon C","non-dropping-particle":"","parse-names":false,"suffix":""},{"dropping-particle":"","family":"Walker","given":"Ulrich A","non-dropping-particle":"","parse-names":false,"suffix":""},{"dropping-particle":"","family":"Chung","given":"Lorinda","non-dropping-particle":"","parse-names":false,"suffix":""},{"dropping-particle":"","family":"Collier","given":"David H","non-dropping-particle":"","parse-names":false,"suffix":""},{"dropping-particle":"","family":"Csuka","given":"Mary Ellen","non-dropping-particle":"","parse-names":false,"suffix":""},{"dropping-particle":"","family":"Fessler","given":"Barri J","non-dropping-particle":"","parse-names":false,"suffix":""},{"dropping-particle":"","family":"Guiducci","given":"Serena","non-dropping-particle":"","parse-names":false,"suffix":""},{"dropping-particle":"","family":"Herrick","given":"Ariane","non-dropping-particle":"","parse-names":false,"suffix":""},{"dropping-particle":"","family":"Hsu","given":"Vivien M","non-dropping-particle":"","parse-names":false,"suffix":""},{"dropping-particle":"","family":"Jimenez","given":"Sergio","non-dropping-particle":"","parse-names":false,"suffix":""},{"dropping-particle":"","family":"Kahaleh","given":"Bashar","non-dropping-particle":"","parse-names":false,"suffix":""},{"dropping-particle":"","family":"Merkel","given":"Peter A","non-dropping-particle":"","parse-names":false,"suffix":""},{"dropping-particle":"","family":"Sierakowski","given":"Stanislav","non-dropping-particle":"","parse-names":false,"suffix":""},{"dropping-particle":"","family":"Silver","given":"Richard M","non-dropping-particle":"","parse-names":false,"suffix":""},{"dropping-particle":"","family":"Simms","given":"Robert W","non-dropping-particle":"","parse-names":false,"suffix":""},{"dropping-particle":"","family":"Varga","given":"John","non-dropping-particle":"","parse-names":false,"suffix":""},{"dropping-particle":"","family":"Pope","given":"Janet E","non-dropping-particle":"","parse-names":false,"suffix":""}],"container-title":"Arthritis and rheumatism","id":"ITEM-1","issue":"11","issued":{"date-parts":[["2013","11"]]},"page":"2737-47","title":"2013 classification criteria for systemic sclerosis: an American College of Rheumatology/European League against Rheumatism collaborative initiative.","type":"article-journal","volume":"65"},"uris":["http://www.mendeley.com/documents/?uuid=19c9d26a-713d-4caf-9fd3-62a7d49a7252"]}],"mendeley":{"formattedCitation":"&lt;sup&gt;10&lt;/sup&gt;","plainTextFormattedCitation":"10","previouslyFormattedCitation":"&lt;sup&gt;10&lt;/sup&gt;"},"properties":{"noteIndex":0},"schema":"https://github.com/citation-style-language/schema/raw/master/csl-citation.json"}</w:instrText>
      </w:r>
      <w:r w:rsidRPr="0002130C">
        <w:rPr>
          <w:rFonts w:ascii="Times" w:eastAsia="Times" w:hAnsi="Times" w:cs="Times"/>
          <w:sz w:val="24"/>
          <w:lang w:val="en-US"/>
        </w:rPr>
        <w:fldChar w:fldCharType="separate"/>
      </w:r>
      <w:r w:rsidR="002D7AE7" w:rsidRPr="002D7AE7">
        <w:rPr>
          <w:rFonts w:ascii="Times" w:eastAsia="Times" w:hAnsi="Times" w:cs="Times"/>
          <w:noProof/>
          <w:sz w:val="24"/>
          <w:vertAlign w:val="superscript"/>
          <w:lang w:val="en-US"/>
        </w:rPr>
        <w:t>10</w:t>
      </w:r>
      <w:r w:rsidRPr="0002130C">
        <w:rPr>
          <w:rFonts w:ascii="Times" w:eastAsia="Times" w:hAnsi="Times" w:cs="Times"/>
          <w:sz w:val="24"/>
          <w:lang w:val="en-US"/>
        </w:rPr>
        <w:fldChar w:fldCharType="end"/>
      </w:r>
      <w:r w:rsidRPr="0002130C">
        <w:rPr>
          <w:rFonts w:ascii="Times" w:eastAsia="Times" w:hAnsi="Times" w:cs="Times"/>
          <w:sz w:val="24"/>
          <w:lang w:val="en-US"/>
        </w:rPr>
        <w:t>. Patient</w:t>
      </w:r>
      <w:r>
        <w:rPr>
          <w:rFonts w:ascii="Times" w:eastAsia="Times" w:hAnsi="Times" w:cs="Times"/>
          <w:sz w:val="24"/>
          <w:lang w:val="en-US"/>
        </w:rPr>
        <w:t xml:space="preserve">s </w:t>
      </w:r>
      <w:r w:rsidRPr="0002130C">
        <w:rPr>
          <w:rFonts w:ascii="Times" w:eastAsia="Times" w:hAnsi="Times" w:cs="Times"/>
          <w:sz w:val="24"/>
          <w:lang w:val="en-US"/>
        </w:rPr>
        <w:t xml:space="preserve">were carefully evaluated based on clinical records, clinical </w:t>
      </w:r>
      <w:r>
        <w:rPr>
          <w:rFonts w:ascii="Times" w:eastAsia="Times" w:hAnsi="Times" w:cs="Times"/>
          <w:sz w:val="24"/>
          <w:lang w:val="en-US"/>
        </w:rPr>
        <w:t>and</w:t>
      </w:r>
      <w:r w:rsidRPr="0002130C">
        <w:rPr>
          <w:rFonts w:ascii="Times" w:eastAsia="Times" w:hAnsi="Times" w:cs="Times"/>
          <w:sz w:val="24"/>
          <w:lang w:val="en-US"/>
        </w:rPr>
        <w:t xml:space="preserve"> serological findings,</w:t>
      </w:r>
      <w:r>
        <w:rPr>
          <w:rFonts w:ascii="Times" w:eastAsia="Times" w:hAnsi="Times" w:cs="Times"/>
          <w:sz w:val="24"/>
          <w:lang w:val="en-US"/>
        </w:rPr>
        <w:t xml:space="preserve"> </w:t>
      </w:r>
      <w:r w:rsidRPr="0002130C">
        <w:rPr>
          <w:rFonts w:ascii="Times" w:eastAsia="Times" w:hAnsi="Times" w:cs="Times"/>
          <w:sz w:val="24"/>
          <w:lang w:val="en-US"/>
        </w:rPr>
        <w:t>DUs</w:t>
      </w:r>
      <w:r>
        <w:rPr>
          <w:rFonts w:ascii="Times" w:eastAsia="Times" w:hAnsi="Times" w:cs="Times"/>
          <w:sz w:val="24"/>
          <w:lang w:val="en-US"/>
        </w:rPr>
        <w:t>’ characteristics</w:t>
      </w:r>
      <w:r w:rsidRPr="0002130C">
        <w:rPr>
          <w:rFonts w:ascii="Times" w:eastAsia="Times" w:hAnsi="Times" w:cs="Times"/>
          <w:sz w:val="24"/>
          <w:lang w:val="en-US"/>
        </w:rPr>
        <w:t xml:space="preserve"> and a complete  “wound assessment“ </w:t>
      </w:r>
      <w:r w:rsidRPr="0002130C">
        <w:rPr>
          <w:rFonts w:ascii="Times" w:eastAsia="Times" w:hAnsi="Times" w:cs="Times"/>
          <w:sz w:val="24"/>
          <w:lang w:val="en-US"/>
        </w:rPr>
        <w:fldChar w:fldCharType="begin" w:fldLock="1"/>
      </w:r>
      <w:r w:rsidR="002D7AE7">
        <w:rPr>
          <w:rFonts w:ascii="Times" w:eastAsia="Times" w:hAnsi="Times" w:cs="Times"/>
          <w:sz w:val="24"/>
          <w:lang w:val="en-US"/>
        </w:rPr>
        <w:instrText>ADDIN CSL_CITATION {"citationItems":[{"id":"ITEM-1","itemData":{"DOI":"10.1016/j.autrev.2017.11.020","ISSN":"18730183","PMID":"29196241","abstract":"Background: Skin ulcers (SU) are one of the most frequent manifestations of systemic sclerosis (SSc). SSc-SU are very painful, often persistent and recurrent; they may lead to marked impairment of patient's activities and quality of life. Despite their severe impact on the whole SSc patient's management, the proposed definition, classification criteria, and therapeutic strategies of SSc-SU are still controversial. Objective: The present study aimed to elaborate a comprehensive proposal of definition, classification, and therapeutic strategy of SSc-SU on the basis of our long-term single center experience along with a careful revision of the world literature on the same topic. Methods: A series of 282 SSc patients (254 females and 28 males; 84% with limited and 16% diffuse cutaneous SSc; mean age of 51.5 ± 13.9SD at SSc onset; mean follow-up 5.8 ± 4.6SD years) enrolled during the last decade at our Rheumatology Unit were retrospectively evaluated with specific attention to SSc-SU. The SSc-SU were classified in 5 subtypes according to prominent pathogenetic mechanism(s) and localization, namely 1. digital ulcers (DU) of the hands or feet, 2. SU on bony prominence, 3. SU on calcinosis, 4. SU of lower limbs, and 5. DU presenting with gangrene. This latter is a very harmful evolution of both DU of the hands and feet needing a differential diagnosis with critical limb ischemia. Results: During the follow up period, one or more episodes of SSc-SU were recorded in over half patients (156/282, 55%); skin lesions were often recurrent and difficult-to-heal because of local complications, mainly infections (67.3%), in some cases associated to osteomyelitis (19.2%), gangrene (16%), and/or amputation (11.5%). SSc-SU were significantly associated with lower patients' mean age at the disease onset (p = 0.024), male gender (p = 0.03), diffuse cutaneous subset (p = 0.015), calcinosis (p = 0.002), telangiectasia (p = 0.008), melanodermia (p &lt; 0.001), abnormal PAPs (p = 0.036), and/or altered inflammation reactant (CRP, p = 0.001). Therapeutic strategy of SSc-SU included both systemic and local pharmacological treatments with particular attention to complicating infections and chronic/procedural pain, as well as a number of non-pharmacological measures. Integrated local treatments were often decisive for the SSc-SU healing; they were mainly based on the wound bed preparation principles that are summarized in the acronym TIME (necrotic Tissue, Infection/Inflammation, Moistu…","author":[{"dropping-particle":"","family":"Giuggioli","given":"Dilia","non-dropping-particle":"","parse-names":false,"suffix":""},{"dropping-particle":"","family":"Manfredi","given":"Andreina","non-dropping-particle":"","parse-names":false,"suffix":""},{"dropping-particle":"","family":"Lumetti","given":"Federica","non-dropping-particle":"","parse-names":false,"suffix":""},{"dropping-particle":"","family":"Colaci","given":"Michele","non-dropping-particle":"","parse-names":false,"suffix":""},{"dropping-particle":"","family":"Ferri","given":"Clodoveo","non-dropping-particle":"","parse-names":false,"suffix":""}],"container-title":"Autoimmunity Reviews","id":"ITEM-1","issue":"2","issued":{"date-parts":[["2018","2","1"]]},"page":"155-164","publisher":"Elsevier B.V.","title":"Scleroderma skin ulcers definition, classification and treatment strategies our experience and review of the literature","type":"article","volume":"17"},"uris":["http://www.mendeley.com/documents/?uuid=db60ee52-b8d2-3af3-bad3-167184a40454"]},{"id":"ITEM-2","itemData":{"DOI":"10.2147/TCRM.S82561","ISSN":"1178203X","abstract":"Raynaud’s phenomenon and digital ulcerations are two common clinical features seen in patients with systemic sclerosis. They are painful and lead to significant morbidity and altered hand function within this patient population. While currently there are no US Food and Drug Administration (FDA)-approved medications for the treatment of digital ulcerations in the United States, clinical trials have supported the use of pharmacologic and nonpharmacologic modalities in facilitating healing of existing digital ulcers and preventing formation of new ulcers. This article reviews the published data on these therapeutic options.","author":[{"dropping-particle":"","family":"Abraham","given":"Shawn","non-dropping-particle":"","parse-names":false,"suffix":""},{"dropping-particle":"","family":"Steen","given":"Virginia","non-dropping-particle":"","parse-names":false,"suffix":""}],"container-title":"Therapeutics and Clinical Risk Management","id":"ITEM-2","issued":{"date-parts":[["2015","6","15"]]},"page":"939-947","publisher":"Dove Medical Press Ltd.","title":"Optimal management of digital ulcers in systemic sclerosis","type":"article-journal","volume":"11"},"uris":["http://www.mendeley.com/documents/?uuid=0a76db4f-46d2-3618-842f-30f945f0adaf"]}],"mendeley":{"formattedCitation":"&lt;sup&gt;3,11&lt;/sup&gt;","plainTextFormattedCitation":"3,11","previouslyFormattedCitation":"&lt;sup&gt;3,11&lt;/sup&gt;"},"properties":{"noteIndex":0},"schema":"https://github.com/citation-style-language/schema/raw/master/csl-citation.json"}</w:instrText>
      </w:r>
      <w:r w:rsidRPr="0002130C">
        <w:rPr>
          <w:rFonts w:ascii="Times" w:eastAsia="Times" w:hAnsi="Times" w:cs="Times"/>
          <w:sz w:val="24"/>
          <w:lang w:val="en-US"/>
        </w:rPr>
        <w:fldChar w:fldCharType="separate"/>
      </w:r>
      <w:r w:rsidR="002D7AE7" w:rsidRPr="002D7AE7">
        <w:rPr>
          <w:rFonts w:ascii="Times" w:eastAsia="Times" w:hAnsi="Times" w:cs="Times"/>
          <w:noProof/>
          <w:sz w:val="24"/>
          <w:vertAlign w:val="superscript"/>
          <w:lang w:val="en-US"/>
        </w:rPr>
        <w:t>3,11</w:t>
      </w:r>
      <w:r w:rsidRPr="0002130C">
        <w:rPr>
          <w:rFonts w:ascii="Times" w:eastAsia="Times" w:hAnsi="Times" w:cs="Times"/>
          <w:sz w:val="24"/>
          <w:lang w:val="en-US"/>
        </w:rPr>
        <w:fldChar w:fldCharType="end"/>
      </w:r>
      <w:r w:rsidRPr="0002130C">
        <w:rPr>
          <w:rFonts w:ascii="Times" w:eastAsia="Times" w:hAnsi="Times" w:cs="Times"/>
          <w:sz w:val="24"/>
          <w:lang w:val="en-US"/>
        </w:rPr>
        <w:t>. DUs were defined as loss of both surface epithelialization and dermis; other manifestations, such as fissures or post-traumatic skin lesions, were excluded</w:t>
      </w:r>
      <w:r w:rsidR="00572B8C">
        <w:rPr>
          <w:rFonts w:ascii="Times" w:eastAsia="Times" w:hAnsi="Times" w:cs="Times"/>
          <w:sz w:val="24"/>
          <w:lang w:val="en-US"/>
        </w:rPr>
        <w:t xml:space="preserve"> </w:t>
      </w:r>
      <w:r w:rsidRPr="0002130C">
        <w:rPr>
          <w:rFonts w:ascii="Times" w:eastAsia="Times" w:hAnsi="Times" w:cs="Times"/>
          <w:sz w:val="24"/>
          <w:lang w:val="en-US"/>
        </w:rPr>
        <w:fldChar w:fldCharType="begin" w:fldLock="1"/>
      </w:r>
      <w:r w:rsidR="002D7AE7">
        <w:rPr>
          <w:rFonts w:ascii="Times" w:eastAsia="Times" w:hAnsi="Times" w:cs="Times"/>
          <w:sz w:val="24"/>
          <w:lang w:val="en-US"/>
        </w:rPr>
        <w:instrText>ADDIN CSL_CITATION {"citationItems":[{"id":"ITEM-1","itemData":{"DOI":"10.1016/j.autrev.2017.11.020","ISSN":"18730183","PMID":"29196241","abstract":"Background: Skin ulcers (SU) are one of the most frequent manifestations of systemic sclerosis (SSc). SSc-SU are very painful, often persistent and recurrent; they may lead to marked impairment of patient's activities and quality of life. Despite their severe impact on the whole SSc patient's management, the proposed definition, classification criteria, and therapeutic strategies of SSc-SU are still controversial. Objective: The present study aimed to elaborate a comprehensive proposal of definition, classification, and therapeutic strategy of SSc-SU on the basis of our long-term single center experience along with a careful revision of the world literature on the same topic. Methods: A series of 282 SSc patients (254 females and 28 males; 84% with limited and 16% diffuse cutaneous SSc; mean age of 51.5 ± 13.9SD at SSc onset; mean follow-up 5.8 ± 4.6SD years) enrolled during the last decade at our Rheumatology Unit were retrospectively evaluated with specific attention to SSc-SU. The SSc-SU were classified in 5 subtypes according to prominent pathogenetic mechanism(s) and localization, namely 1. digital ulcers (DU) of the hands or feet, 2. SU on bony prominence, 3. SU on calcinosis, 4. SU of lower limbs, and 5. DU presenting with gangrene. This latter is a very harmful evolution of both DU of the hands and feet needing a differential diagnosis with critical limb ischemia. Results: During the follow up period, one or more episodes of SSc-SU were recorded in over half patients (156/282, 55%); skin lesions were often recurrent and difficult-to-heal because of local complications, mainly infections (67.3%), in some cases associated to osteomyelitis (19.2%), gangrene (16%), and/or amputation (11.5%). SSc-SU were significantly associated with lower patients' mean age at the disease onset (p = 0.024), male gender (p = 0.03), diffuse cutaneous subset (p = 0.015), calcinosis (p = 0.002), telangiectasia (p = 0.008), melanodermia (p &lt; 0.001), abnormal PAPs (p = 0.036), and/or altered inflammation reactant (CRP, p = 0.001). Therapeutic strategy of SSc-SU included both systemic and local pharmacological treatments with particular attention to complicating infections and chronic/procedural pain, as well as a number of non-pharmacological measures. Integrated local treatments were often decisive for the SSc-SU healing; they were mainly based on the wound bed preparation principles that are summarized in the acronym TIME (necrotic Tissue, Infection/Inflammation, Moistu…","author":[{"dropping-particle":"","family":"Giuggioli","given":"Dilia","non-dropping-particle":"","parse-names":false,"suffix":""},{"dropping-particle":"","family":"Manfredi","given":"Andreina","non-dropping-particle":"","parse-names":false,"suffix":""},{"dropping-particle":"","family":"Lumetti","given":"Federica","non-dropping-particle":"","parse-names":false,"suffix":""},{"dropping-particle":"","family":"Colaci","given":"Michele","non-dropping-particle":"","parse-names":false,"suffix":""},{"dropping-particle":"","family":"Ferri","given":"Clodoveo","non-dropping-particle":"","parse-names":false,"suffix":""}],"container-title":"Autoimmunity Reviews","id":"ITEM-1","issue":"2","issued":{"date-parts":[["2018","2","1"]]},"page":"155-164","publisher":"Elsevier B.V.","title":"Scleroderma skin ulcers definition, classification and treatment strategies our experience and review of the literature","type":"article","volume":"17"},"uris":["http://www.mendeley.com/documents/?uuid=db60ee52-b8d2-3af3-bad3-167184a40454"]}],"mendeley":{"formattedCitation":"&lt;sup&gt;3&lt;/sup&gt;","plainTextFormattedCitation":"3","previouslyFormattedCitation":"&lt;sup&gt;3&lt;/sup&gt;"},"properties":{"noteIndex":0},"schema":"https://github.com/citation-style-language/schema/raw/master/csl-citation.json"}</w:instrText>
      </w:r>
      <w:r w:rsidRPr="0002130C">
        <w:rPr>
          <w:rFonts w:ascii="Times" w:eastAsia="Times" w:hAnsi="Times" w:cs="Times"/>
          <w:sz w:val="24"/>
          <w:lang w:val="en-US"/>
        </w:rPr>
        <w:fldChar w:fldCharType="separate"/>
      </w:r>
      <w:r w:rsidR="00822B4E" w:rsidRPr="00822B4E">
        <w:rPr>
          <w:rFonts w:ascii="Times" w:eastAsia="Times" w:hAnsi="Times" w:cs="Times"/>
          <w:noProof/>
          <w:sz w:val="24"/>
          <w:vertAlign w:val="superscript"/>
          <w:lang w:val="en-US"/>
        </w:rPr>
        <w:t>3</w:t>
      </w:r>
      <w:r w:rsidRPr="0002130C">
        <w:rPr>
          <w:rFonts w:ascii="Times" w:eastAsia="Times" w:hAnsi="Times" w:cs="Times"/>
          <w:sz w:val="24"/>
          <w:lang w:val="en-US"/>
        </w:rPr>
        <w:fldChar w:fldCharType="end"/>
      </w:r>
      <w:r>
        <w:rPr>
          <w:rFonts w:ascii="Times" w:eastAsia="Times" w:hAnsi="Times" w:cs="Times"/>
          <w:sz w:val="24"/>
          <w:lang w:val="en-US"/>
        </w:rPr>
        <w:t>.</w:t>
      </w:r>
      <w:r w:rsidRPr="0002130C">
        <w:rPr>
          <w:rFonts w:ascii="Times" w:eastAsia="Times" w:hAnsi="Times" w:cs="Times"/>
          <w:sz w:val="24"/>
          <w:lang w:val="en-US"/>
        </w:rPr>
        <w:t xml:space="preserve"> We performed 87 cutaneous swabs </w:t>
      </w:r>
      <w:r>
        <w:rPr>
          <w:rFonts w:ascii="Times" w:eastAsia="Times" w:hAnsi="Times" w:cs="Times"/>
          <w:sz w:val="24"/>
          <w:lang w:val="en-US"/>
        </w:rPr>
        <w:t xml:space="preserve">overall </w:t>
      </w:r>
      <w:r w:rsidRPr="0002130C">
        <w:rPr>
          <w:rFonts w:ascii="Times" w:eastAsia="Times" w:hAnsi="Times" w:cs="Times"/>
          <w:sz w:val="24"/>
          <w:lang w:val="en-US"/>
        </w:rPr>
        <w:t xml:space="preserve">at the level of the DUs’ bed after removal of dried exudates, slough or dressing residue. We used sterile cotton swab, with ringer lactate-moistened tip in case of extreme wound dryness. Swab was woven side-to-side and rotated at the same time, following the Levine technique </w:t>
      </w:r>
      <w:r w:rsidRPr="0002130C">
        <w:rPr>
          <w:rFonts w:ascii="Times" w:eastAsia="Times" w:hAnsi="Times" w:cs="Times"/>
          <w:sz w:val="24"/>
          <w:lang w:val="en-US"/>
        </w:rPr>
        <w:fldChar w:fldCharType="begin" w:fldLock="1"/>
      </w:r>
      <w:r w:rsidR="002D7AE7">
        <w:rPr>
          <w:rFonts w:ascii="Times" w:eastAsia="Times" w:hAnsi="Times" w:cs="Times"/>
          <w:sz w:val="24"/>
          <w:lang w:val="en-US"/>
        </w:rPr>
        <w:instrText>ADDIN CSL_CITATION {"citationItems":[{"id":"ITEM-1","itemData":{"DOI":"10.1002/acr.20673","ISSN":"00043591","abstract":"Digital ulcers represent one of the most frequent complications of systemic sclerosis (SSc; scleroderma); they are very painful, scarcely responsive to treatment, and often responsible for marked limitations on daily activities, including patient self-care. Infectious complications may severely compromise the outcome of skin lesions in a significant percentage of patients. Numerous pathogens of different origin may be involved, including bacteria from patient endogenous flora. Here we evaluated the possible involvement of fecal pathogens in scleroderma digital ulcers. Methods. Among a series of 82 SSc patients with digital ulcers, we retrospectively analyzed 42 subjects with clinical signs of local bacterial infection. All digital ulcers with suspected infection have been investigated by microbiologic examinations. Results. Bacterial infection was confirmed in all 42 patients investigated; in particular, Staphylococcus aureus were the most frequently found (50%). Interestingly, 11 (26%) of 42 patients showed digital ulcers infected with intestinal bacteria; specifically, 7 patients were positive for Escherichia coli and 4 for Enterococcus faecalis. Diffuse cutaneous SSc patients were more numerous in this subgroup versus the other 31 patients (Fisher's P= 0.011). Conclusion. A number of effective measures involving health care personnel and hospital environment are essential in the management of digital ulcers and prevention of infectious complications. In addition, the prevalence of fecal pathogens in one-quarter of cases, never reported previously, suggests an important role of a patient's self-care limitations, mainly during intercurrent home medications. Consequently, methodical education on hand hygiene of both patients and relatives, frequently involved in ulcer medications, is mandatory to avoid such deleterious complications. © 2012, American College of Rheumatology.","author":[{"dropping-particle":"","family":"Giuggioli","given":"Dilia","non-dropping-particle":"","parse-names":false,"suffix":""},{"dropping-particle":"","family":"Manfredi","given":"Andreina","non-dropping-particle":"","parse-names":false,"suffix":""},{"dropping-particle":"","family":"Colaci","given":"Michele","non-dropping-particle":"","parse-names":false,"suffix":""},{"dropping-particle":"","family":"Lumetti","given":"Federica","non-dropping-particle":"","parse-names":false,"suffix":""},{"dropping-particle":"","family":"Ferri","given":"Clodoveo","non-dropping-particle":"","parse-names":false,"suffix":""}],"container-title":"Arthritis Care and Research","id":"ITEM-1","issue":"2","issued":{"date-parts":[["2012","2"]]},"page":"295-297","title":"Scleroderma digital ulcers complicated by infection with fecal pathogens","type":"article-journal","volume":"64"},"uris":["http://www.mendeley.com/documents/?uuid=921beb7e-8042-3871-9a43-b3e4e258bc2c"]},{"id":"ITEM-2","itemData":{"author":[{"dropping-particle":"","family":"Sibbald","given":"Ronald Gary","non-dropping-particle":"","parse-names":false,"suffix":""},{"dropping-particle":"","family":"Schultz","given":"Gregory","non-dropping-particle":"","parse-names":false,"suffix":""},{"dropping-particle":"","family":"Keast","given":"David H","non-dropping-particle":"","parse-names":false,"suffix":""}],"id":"ITEM-2","issued":{"date-parts":[["2003"]]},"title":"Preparing the wound BED 2003: Focus on infection and inflammation","type":"report"},"uris":["http://www.mendeley.com/documents/?uuid=5a23c45d-6a13-3727-924d-61755a50c91b"]},{"id":"ITEM-3","itemData":{"abstract":"The TIME acronym (tissue, infection/inflammation, moisture balance and edge of wound) was first developed more than 10 years ago, by an international group of wound healing experts, to provide a framework for a structured approach to wound bed preparation; a basis for optimising the management of open chronic wounds healing by secondary intention. However, it should be recognised that the TIME principles are only a part of the systematic and holistic evaluation of each patient at every wound assessment. This review, prepared by the International Wound Infection Institute, examines how new data and evidence generated in the intervening decade affects the original concepts of TIME, and how it is translated into current best practice. Four developments stand out: recognition of the importance of biofilms (and the need for a simple diagnostic), use of negative pressure wound therapy (NPWT), evolution of topical antiseptic therapy as dressings and for wound lavage (notably, silver and polyhexamethylene biguanide) and expanded insight of the role of molecular biological processes in chronic wounds (with emerging diagnostics and theranostics). Tissue: a major advance has been the recognition of the value of repetitive and maintenance debridement and wound cleansing, both in time-honoured and novel methods (notably using NPWT and hydrosurgery). Infection/inflammation: clinical recognition of infection (and non infective causes of persisting inflammation) is critical. The concept of a bacterial continuum through contamination, colonisation and infection is now widely accepted, together with the understanding of biofilm presence. There has been a return to topical antiseptics to control bioburden in wounds, emphasised by the awareness of increasing antibiotic resistance. Moisture: the relevance of excessive or insufficient wound exudate and its molecular components has led to the development and use of a wide range of dressings to regulate moisture balance, and to protect peri-wound skin, and optimise healing. Edge of wound: several treatment modalities are being investigated and introduced to improve epithelial advancement, which can be regarded as the clearest sign of wound healing. The TIME principle remains relevant 10 years on, with continuing important developments that incorporate new evidence for wound care.","author":[{"dropping-particle":"","family":"Leaper","given":"David J","non-dropping-particle":"","parse-names":false,"suffix":""},{"dropping-particle":"","family":"Schultz","given":"Gregory","non-dropping-particle":"","parse-names":false,"suffix":""},{"dropping-particle":"","family":"Carville","given":"Keryln","non-dropping-particle":"","parse-names":false,"suffix":""},{"dropping-particle":"","family":"Fletcher","given":"Jacqueline","non-dropping-particle":"","parse-names":false,"suffix":""},{"dropping-particle":"","family":"Swanson","given":"Theresa","non-dropping-particle":"","parse-names":false,"suffix":""},{"dropping-particle":"","family":"Drake Leaper","given":"Rebecca DJ","non-dropping-particle":"","parse-names":false,"suffix":""}],"id":"ITEM-3","issued":{"date-parts":[["2012"]]},"title":"Extending the TIME concept: what have we learned in the past 10 years?*","type":"report"},"uris":["http://www.mendeley.com/documents/?uuid=b1167ff4-36c7-3bc0-b368-5400832c0fb4"]}],"mendeley":{"formattedCitation":"&lt;sup&gt;5,12,13&lt;/sup&gt;","plainTextFormattedCitation":"5,12,13","previouslyFormattedCitation":"&lt;sup&gt;5,12,13&lt;/sup&gt;"},"properties":{"noteIndex":0},"schema":"https://github.com/citation-style-language/schema/raw/master/csl-citation.json"}</w:instrText>
      </w:r>
      <w:r w:rsidRPr="0002130C">
        <w:rPr>
          <w:rFonts w:ascii="Times" w:eastAsia="Times" w:hAnsi="Times" w:cs="Times"/>
          <w:sz w:val="24"/>
          <w:lang w:val="en-US"/>
        </w:rPr>
        <w:fldChar w:fldCharType="separate"/>
      </w:r>
      <w:r w:rsidR="00822B4E" w:rsidRPr="00822B4E">
        <w:rPr>
          <w:rFonts w:ascii="Times" w:eastAsia="Times" w:hAnsi="Times" w:cs="Times"/>
          <w:noProof/>
          <w:sz w:val="24"/>
          <w:vertAlign w:val="superscript"/>
          <w:lang w:val="en-US"/>
        </w:rPr>
        <w:t>5,12,13</w:t>
      </w:r>
      <w:r w:rsidRPr="0002130C">
        <w:rPr>
          <w:rFonts w:ascii="Times" w:eastAsia="Times" w:hAnsi="Times" w:cs="Times"/>
          <w:sz w:val="24"/>
          <w:lang w:val="en-US"/>
        </w:rPr>
        <w:fldChar w:fldCharType="end"/>
      </w:r>
      <w:r w:rsidRPr="00573082">
        <w:rPr>
          <w:rFonts w:ascii="Times" w:eastAsia="Times" w:hAnsi="Times" w:cs="Times"/>
          <w:sz w:val="24"/>
          <w:lang w:val="en-US"/>
        </w:rPr>
        <w:t xml:space="preserve">. </w:t>
      </w:r>
      <w:r w:rsidRPr="0002130C">
        <w:rPr>
          <w:rFonts w:ascii="Times" w:eastAsia="Times" w:hAnsi="Times" w:cs="Times"/>
          <w:sz w:val="24"/>
          <w:lang w:val="en-US"/>
        </w:rPr>
        <w:t xml:space="preserve">We collected materials either from the wound bed and the wound margins. Microorganism detection was performed by means of agglutination tests with antibodies for bacterial surface specific antigens, using protein or DNA sequencing. </w:t>
      </w:r>
    </w:p>
    <w:p w14:paraId="1F5AC270" w14:textId="77777777" w:rsidR="00703CF5" w:rsidRPr="0002130C" w:rsidRDefault="00703CF5" w:rsidP="00703CF5">
      <w:pPr>
        <w:jc w:val="both"/>
        <w:rPr>
          <w:rFonts w:ascii="Times" w:eastAsia="Times" w:hAnsi="Times" w:cs="Times"/>
          <w:sz w:val="24"/>
          <w:lang w:val="en-US"/>
        </w:rPr>
      </w:pPr>
      <w:r w:rsidRPr="0002130C">
        <w:rPr>
          <w:rFonts w:ascii="Times" w:eastAsia="Times" w:hAnsi="Times" w:cs="Times"/>
          <w:sz w:val="24"/>
          <w:lang w:val="en-US"/>
        </w:rPr>
        <w:t xml:space="preserve">RESULTS </w:t>
      </w:r>
    </w:p>
    <w:p w14:paraId="77E20479" w14:textId="00617DB1" w:rsidR="00703CF5" w:rsidRDefault="00703CF5" w:rsidP="00703CF5">
      <w:pPr>
        <w:spacing w:after="240" w:line="240" w:lineRule="auto"/>
        <w:jc w:val="both"/>
        <w:rPr>
          <w:rFonts w:ascii="Times" w:eastAsia="Times" w:hAnsi="Times" w:cs="Times"/>
          <w:sz w:val="24"/>
          <w:lang w:val="en-US"/>
        </w:rPr>
      </w:pPr>
      <w:r>
        <w:rPr>
          <w:rFonts w:ascii="Times" w:eastAsia="Times" w:hAnsi="Times" w:cs="Times"/>
          <w:sz w:val="24"/>
          <w:lang w:val="en-US"/>
        </w:rPr>
        <w:t>D</w:t>
      </w:r>
      <w:r w:rsidRPr="0002130C">
        <w:rPr>
          <w:rFonts w:ascii="Times" w:eastAsia="Times" w:hAnsi="Times" w:cs="Times"/>
          <w:sz w:val="24"/>
          <w:lang w:val="en-US"/>
        </w:rPr>
        <w:t xml:space="preserve">ata of the </w:t>
      </w:r>
      <w:r>
        <w:rPr>
          <w:rFonts w:ascii="Times" w:eastAsia="Times" w:hAnsi="Times" w:cs="Times"/>
          <w:sz w:val="24"/>
          <w:lang w:val="en-US"/>
        </w:rPr>
        <w:t>fifty</w:t>
      </w:r>
      <w:r w:rsidRPr="0002130C">
        <w:rPr>
          <w:rFonts w:ascii="Times" w:eastAsia="Times" w:hAnsi="Times" w:cs="Times"/>
          <w:sz w:val="24"/>
          <w:lang w:val="en-US"/>
        </w:rPr>
        <w:t xml:space="preserve"> SSc patients with DUs were reported in Table 1. </w:t>
      </w:r>
      <w:r>
        <w:rPr>
          <w:rFonts w:ascii="Times" w:eastAsia="Times" w:hAnsi="Times" w:cs="Times"/>
          <w:sz w:val="24"/>
          <w:lang w:val="en-US"/>
        </w:rPr>
        <w:t xml:space="preserve">Thirty-five patients had infected </w:t>
      </w:r>
      <w:r w:rsidRPr="0002130C">
        <w:rPr>
          <w:rFonts w:ascii="Times" w:eastAsia="Times" w:hAnsi="Times" w:cs="Times"/>
          <w:sz w:val="24"/>
          <w:lang w:val="en-US"/>
        </w:rPr>
        <w:t>DUs. Most of our patients were on systemic I.V. prostanoid therapy (42 pts) alone or in combination with endothelin receptor antagonist (</w:t>
      </w:r>
      <w:r>
        <w:rPr>
          <w:rFonts w:ascii="Times" w:eastAsia="Times" w:hAnsi="Times" w:cs="Times"/>
          <w:sz w:val="24"/>
          <w:lang w:val="en-US"/>
        </w:rPr>
        <w:t>B</w:t>
      </w:r>
      <w:r w:rsidRPr="0002130C">
        <w:rPr>
          <w:rFonts w:ascii="Times" w:eastAsia="Times" w:hAnsi="Times" w:cs="Times"/>
          <w:sz w:val="24"/>
          <w:lang w:val="en-US"/>
        </w:rPr>
        <w:t>osentan, 25 pts), dual endothelin receptor antagonist (</w:t>
      </w:r>
      <w:r>
        <w:rPr>
          <w:rFonts w:ascii="Times" w:eastAsia="Times" w:hAnsi="Times" w:cs="Times"/>
          <w:sz w:val="24"/>
          <w:lang w:val="en-US"/>
        </w:rPr>
        <w:t>M</w:t>
      </w:r>
      <w:r w:rsidRPr="0002130C">
        <w:rPr>
          <w:rFonts w:ascii="Times" w:eastAsia="Times" w:hAnsi="Times" w:cs="Times"/>
          <w:sz w:val="24"/>
          <w:lang w:val="en-US"/>
        </w:rPr>
        <w:t>acitentan, 7 pts), phosphodiesterase 5 inhibitor (sildenafil, 3 pts) and oral nifedipine (12 pts). All DUs were localized on the acral zone of the hands</w:t>
      </w:r>
      <w:r>
        <w:rPr>
          <w:rFonts w:ascii="Times" w:eastAsia="Times" w:hAnsi="Times" w:cs="Times"/>
          <w:sz w:val="24"/>
          <w:lang w:val="en-US"/>
        </w:rPr>
        <w:t xml:space="preserve"> (</w:t>
      </w:r>
      <w:r w:rsidRPr="0002130C">
        <w:rPr>
          <w:rFonts w:ascii="Times" w:eastAsia="Times" w:hAnsi="Times" w:cs="Times"/>
          <w:sz w:val="24"/>
          <w:lang w:val="en-US"/>
        </w:rPr>
        <w:t>fingertips 90%</w:t>
      </w:r>
      <w:r>
        <w:rPr>
          <w:rFonts w:ascii="Times" w:eastAsia="Times" w:hAnsi="Times" w:cs="Times"/>
          <w:sz w:val="24"/>
          <w:lang w:val="en-US"/>
        </w:rPr>
        <w:t xml:space="preserve"> of times) while</w:t>
      </w:r>
      <w:r w:rsidRPr="0002130C">
        <w:rPr>
          <w:rFonts w:ascii="Times" w:eastAsia="Times" w:hAnsi="Times" w:cs="Times"/>
          <w:sz w:val="24"/>
          <w:lang w:val="en-US"/>
        </w:rPr>
        <w:t xml:space="preserve"> only one DU was localized to toe tips. DUs were recurrent </w:t>
      </w:r>
      <w:r>
        <w:rPr>
          <w:rFonts w:ascii="Times" w:eastAsia="Times" w:hAnsi="Times" w:cs="Times"/>
          <w:sz w:val="24"/>
          <w:lang w:val="en-US"/>
        </w:rPr>
        <w:t xml:space="preserve">in </w:t>
      </w:r>
      <w:r w:rsidR="0080458C">
        <w:rPr>
          <w:rFonts w:ascii="Times" w:eastAsia="Times" w:hAnsi="Times" w:cs="Times"/>
          <w:sz w:val="24"/>
          <w:lang w:val="en-US"/>
        </w:rPr>
        <w:t xml:space="preserve">twenty patients </w:t>
      </w:r>
      <w:r w:rsidRPr="0002130C">
        <w:rPr>
          <w:rFonts w:ascii="Times" w:eastAsia="Times" w:hAnsi="Times" w:cs="Times"/>
          <w:sz w:val="24"/>
          <w:lang w:val="en-US"/>
        </w:rPr>
        <w:t xml:space="preserve">and in </w:t>
      </w:r>
      <w:r w:rsidR="0080458C">
        <w:rPr>
          <w:rFonts w:ascii="Times" w:eastAsia="Times" w:hAnsi="Times" w:cs="Times"/>
          <w:sz w:val="24"/>
          <w:lang w:val="en-US"/>
        </w:rPr>
        <w:t xml:space="preserve">twenty-one </w:t>
      </w:r>
      <w:r>
        <w:rPr>
          <w:rFonts w:ascii="Times" w:eastAsia="Times" w:hAnsi="Times" w:cs="Times"/>
          <w:sz w:val="24"/>
          <w:lang w:val="en-US"/>
        </w:rPr>
        <w:t xml:space="preserve">patients we detected </w:t>
      </w:r>
      <w:r w:rsidRPr="0002130C">
        <w:rPr>
          <w:rFonts w:ascii="Times" w:eastAsia="Times" w:hAnsi="Times" w:cs="Times"/>
          <w:sz w:val="24"/>
          <w:lang w:val="en-US"/>
        </w:rPr>
        <w:t>multiple skin lesions</w:t>
      </w:r>
      <w:r>
        <w:rPr>
          <w:rFonts w:ascii="Times" w:eastAsia="Times" w:hAnsi="Times" w:cs="Times"/>
          <w:sz w:val="24"/>
          <w:lang w:val="en-US"/>
        </w:rPr>
        <w:t xml:space="preserve"> at a time</w:t>
      </w:r>
      <w:r w:rsidRPr="0002130C">
        <w:rPr>
          <w:rFonts w:ascii="Times" w:eastAsia="Times" w:hAnsi="Times" w:cs="Times"/>
          <w:sz w:val="24"/>
          <w:lang w:val="en-US"/>
        </w:rPr>
        <w:t xml:space="preserve">. Regarding </w:t>
      </w:r>
      <w:r>
        <w:rPr>
          <w:rFonts w:ascii="Times" w:eastAsia="Times" w:hAnsi="Times" w:cs="Times"/>
          <w:sz w:val="24"/>
          <w:lang w:val="en-US"/>
        </w:rPr>
        <w:t xml:space="preserve">the </w:t>
      </w:r>
      <w:r w:rsidR="0080458C">
        <w:rPr>
          <w:rFonts w:ascii="Times" w:eastAsia="Times" w:hAnsi="Times" w:cs="Times"/>
          <w:sz w:val="24"/>
          <w:lang w:val="en-US"/>
        </w:rPr>
        <w:t xml:space="preserve">thirty-five </w:t>
      </w:r>
      <w:r w:rsidRPr="0002130C">
        <w:rPr>
          <w:rFonts w:ascii="Times" w:eastAsia="Times" w:hAnsi="Times" w:cs="Times"/>
          <w:sz w:val="24"/>
          <w:lang w:val="en-US"/>
        </w:rPr>
        <w:t xml:space="preserve">patients with infected DUs (2 M/33 F, mean age 65±13 </w:t>
      </w:r>
      <w:r>
        <w:rPr>
          <w:rFonts w:ascii="Times" w:eastAsia="Times" w:hAnsi="Times" w:cs="Times"/>
          <w:sz w:val="24"/>
          <w:lang w:val="en-US"/>
        </w:rPr>
        <w:t>years</w:t>
      </w:r>
      <w:r w:rsidRPr="0002130C">
        <w:rPr>
          <w:rFonts w:ascii="Times" w:eastAsia="Times" w:hAnsi="Times" w:cs="Times"/>
          <w:sz w:val="24"/>
          <w:lang w:val="en-US"/>
        </w:rPr>
        <w:t>, mean disease duration 14 ±11</w:t>
      </w:r>
      <w:r>
        <w:rPr>
          <w:rFonts w:ascii="Times" w:eastAsia="Times" w:hAnsi="Times" w:cs="Times"/>
          <w:sz w:val="24"/>
          <w:lang w:val="en-US"/>
        </w:rPr>
        <w:t xml:space="preserve"> years</w:t>
      </w:r>
      <w:r w:rsidRPr="0002130C">
        <w:rPr>
          <w:rFonts w:ascii="Times" w:eastAsia="Times" w:hAnsi="Times" w:cs="Times"/>
          <w:sz w:val="24"/>
          <w:lang w:val="en-US"/>
        </w:rPr>
        <w:t xml:space="preserve">), </w:t>
      </w:r>
      <w:r w:rsidR="0080458C">
        <w:rPr>
          <w:rFonts w:ascii="Times" w:eastAsia="Times" w:hAnsi="Times" w:cs="Times"/>
          <w:sz w:val="24"/>
          <w:lang w:val="en-US"/>
        </w:rPr>
        <w:t xml:space="preserve">twenty-four </w:t>
      </w:r>
      <w:r w:rsidRPr="0002130C">
        <w:rPr>
          <w:rFonts w:ascii="Times" w:eastAsia="Times" w:hAnsi="Times" w:cs="Times"/>
          <w:sz w:val="24"/>
          <w:lang w:val="en-US"/>
        </w:rPr>
        <w:t>of them experienced recurrent DUs</w:t>
      </w:r>
      <w:r>
        <w:rPr>
          <w:rFonts w:ascii="Times" w:eastAsia="Times" w:hAnsi="Times" w:cs="Times"/>
          <w:sz w:val="24"/>
          <w:lang w:val="en-US"/>
        </w:rPr>
        <w:t xml:space="preserve"> and</w:t>
      </w:r>
      <w:r w:rsidRPr="0002130C">
        <w:rPr>
          <w:rFonts w:ascii="Times" w:eastAsia="Times" w:hAnsi="Times" w:cs="Times"/>
          <w:sz w:val="24"/>
          <w:lang w:val="en-US"/>
        </w:rPr>
        <w:t xml:space="preserve"> </w:t>
      </w:r>
      <w:r w:rsidR="0080458C">
        <w:rPr>
          <w:rFonts w:ascii="Times" w:eastAsia="Times" w:hAnsi="Times" w:cs="Times"/>
          <w:sz w:val="24"/>
          <w:lang w:val="en-US"/>
        </w:rPr>
        <w:t>twenty-one</w:t>
      </w:r>
      <w:r w:rsidRPr="0002130C">
        <w:rPr>
          <w:rFonts w:ascii="Times" w:eastAsia="Times" w:hAnsi="Times" w:cs="Times"/>
          <w:sz w:val="24"/>
          <w:lang w:val="en-US"/>
        </w:rPr>
        <w:t xml:space="preserve"> had multiple DUs. Most of our patients had a limited SSc subtype (25</w:t>
      </w:r>
      <w:r w:rsidR="0080458C">
        <w:rPr>
          <w:rFonts w:ascii="Times" w:eastAsia="Times" w:hAnsi="Times" w:cs="Times"/>
          <w:sz w:val="24"/>
          <w:lang w:val="en-US"/>
        </w:rPr>
        <w:t>pts</w:t>
      </w:r>
      <w:r w:rsidRPr="0002130C">
        <w:rPr>
          <w:rFonts w:ascii="Times" w:eastAsia="Times" w:hAnsi="Times" w:cs="Times"/>
          <w:sz w:val="24"/>
          <w:lang w:val="en-US"/>
        </w:rPr>
        <w:t>)</w:t>
      </w:r>
      <w:r>
        <w:rPr>
          <w:rFonts w:ascii="Times" w:eastAsia="Times" w:hAnsi="Times" w:cs="Times"/>
          <w:sz w:val="24"/>
          <w:lang w:val="en-US"/>
        </w:rPr>
        <w:t xml:space="preserve"> and</w:t>
      </w:r>
      <w:r w:rsidRPr="0002130C">
        <w:rPr>
          <w:rFonts w:ascii="Times" w:eastAsia="Times" w:hAnsi="Times" w:cs="Times"/>
          <w:sz w:val="24"/>
          <w:lang w:val="en-US"/>
        </w:rPr>
        <w:t xml:space="preserve"> </w:t>
      </w:r>
      <w:r>
        <w:rPr>
          <w:rFonts w:ascii="Times" w:eastAsia="Times" w:hAnsi="Times" w:cs="Times"/>
          <w:sz w:val="24"/>
          <w:lang w:val="en-US"/>
        </w:rPr>
        <w:t>a</w:t>
      </w:r>
      <w:r w:rsidRPr="0002130C">
        <w:rPr>
          <w:rFonts w:ascii="Times" w:eastAsia="Times" w:hAnsi="Times" w:cs="Times"/>
          <w:sz w:val="24"/>
          <w:lang w:val="en-US"/>
        </w:rPr>
        <w:t>nticentromere autoantibod</w:t>
      </w:r>
      <w:r>
        <w:rPr>
          <w:rFonts w:ascii="Times" w:eastAsia="Times" w:hAnsi="Times" w:cs="Times"/>
          <w:sz w:val="24"/>
          <w:lang w:val="en-US"/>
        </w:rPr>
        <w:t>ies</w:t>
      </w:r>
      <w:r w:rsidRPr="0002130C">
        <w:rPr>
          <w:rFonts w:ascii="Times" w:eastAsia="Times" w:hAnsi="Times" w:cs="Times"/>
          <w:sz w:val="24"/>
          <w:lang w:val="en-US"/>
        </w:rPr>
        <w:t xml:space="preserve"> w</w:t>
      </w:r>
      <w:r>
        <w:rPr>
          <w:rFonts w:ascii="Times" w:eastAsia="Times" w:hAnsi="Times" w:cs="Times"/>
          <w:sz w:val="24"/>
          <w:lang w:val="en-US"/>
        </w:rPr>
        <w:t>ere the most frequently extracted (</w:t>
      </w:r>
      <w:r w:rsidRPr="0002130C">
        <w:rPr>
          <w:rFonts w:ascii="Times" w:eastAsia="Times" w:hAnsi="Times" w:cs="Times"/>
          <w:sz w:val="24"/>
          <w:lang w:val="en-US"/>
        </w:rPr>
        <w:t>20 pts</w:t>
      </w:r>
      <w:r>
        <w:rPr>
          <w:rFonts w:ascii="Times" w:eastAsia="Times" w:hAnsi="Times" w:cs="Times"/>
          <w:sz w:val="24"/>
          <w:lang w:val="en-US"/>
        </w:rPr>
        <w:t>)</w:t>
      </w:r>
      <w:r w:rsidRPr="0002130C">
        <w:rPr>
          <w:rFonts w:ascii="Times" w:eastAsia="Times" w:hAnsi="Times" w:cs="Times"/>
          <w:sz w:val="24"/>
          <w:lang w:val="en-US"/>
        </w:rPr>
        <w:t xml:space="preserve">. Among the </w:t>
      </w:r>
      <w:r w:rsidR="00E86BE9">
        <w:rPr>
          <w:rFonts w:ascii="Times" w:eastAsia="Times" w:hAnsi="Times" w:cs="Times"/>
          <w:sz w:val="24"/>
          <w:lang w:val="en-US"/>
        </w:rPr>
        <w:t>eighty-seven</w:t>
      </w:r>
      <w:r w:rsidRPr="0002130C">
        <w:rPr>
          <w:rFonts w:ascii="Times" w:eastAsia="Times" w:hAnsi="Times" w:cs="Times"/>
          <w:sz w:val="24"/>
          <w:lang w:val="en-US"/>
        </w:rPr>
        <w:t xml:space="preserve"> swabs, only </w:t>
      </w:r>
      <w:r w:rsidR="00E86BE9">
        <w:rPr>
          <w:rFonts w:ascii="Times" w:eastAsia="Times" w:hAnsi="Times" w:cs="Times"/>
          <w:sz w:val="24"/>
          <w:lang w:val="en-US"/>
        </w:rPr>
        <w:t>four</w:t>
      </w:r>
      <w:r w:rsidRPr="0002130C">
        <w:rPr>
          <w:rFonts w:ascii="Times" w:eastAsia="Times" w:hAnsi="Times" w:cs="Times"/>
          <w:sz w:val="24"/>
          <w:lang w:val="en-US"/>
        </w:rPr>
        <w:t xml:space="preserve"> of them were negative, while </w:t>
      </w:r>
      <w:r w:rsidR="00E86BE9">
        <w:rPr>
          <w:rFonts w:ascii="Times" w:eastAsia="Times" w:hAnsi="Times" w:cs="Times"/>
          <w:sz w:val="24"/>
          <w:lang w:val="en-US"/>
        </w:rPr>
        <w:t>eighty-three</w:t>
      </w:r>
      <w:r w:rsidRPr="0002130C">
        <w:rPr>
          <w:rFonts w:ascii="Times" w:eastAsia="Times" w:hAnsi="Times" w:cs="Times"/>
          <w:sz w:val="24"/>
          <w:lang w:val="en-US"/>
        </w:rPr>
        <w:t xml:space="preserve"> were positive for the presence of microorganisms. </w:t>
      </w:r>
      <w:r w:rsidRPr="009B1DCE">
        <w:rPr>
          <w:rFonts w:ascii="Times" w:eastAsia="Times" w:hAnsi="Times" w:cs="Times"/>
          <w:sz w:val="24"/>
          <w:lang w:val="en-US"/>
        </w:rPr>
        <w:t>Forty-four (53%) swabs were positive for Staphylococcus Aureus</w:t>
      </w:r>
      <w:r>
        <w:rPr>
          <w:rFonts w:ascii="Times" w:eastAsia="Times" w:hAnsi="Times" w:cs="Times"/>
          <w:sz w:val="24"/>
          <w:lang w:val="en-US"/>
        </w:rPr>
        <w:t xml:space="preserve"> (S. Aureus)</w:t>
      </w:r>
      <w:r w:rsidRPr="009B1DCE">
        <w:rPr>
          <w:rFonts w:ascii="Times" w:eastAsia="Times" w:hAnsi="Times" w:cs="Times"/>
          <w:sz w:val="24"/>
          <w:lang w:val="en-US"/>
        </w:rPr>
        <w:t>; 9</w:t>
      </w:r>
      <w:r w:rsidR="00770678">
        <w:rPr>
          <w:rFonts w:ascii="Times" w:eastAsia="Times" w:hAnsi="Times" w:cs="Times"/>
          <w:sz w:val="24"/>
          <w:lang w:val="en-US"/>
        </w:rPr>
        <w:t xml:space="preserve"> (10%)</w:t>
      </w:r>
      <w:r w:rsidRPr="009B1DCE">
        <w:rPr>
          <w:rFonts w:ascii="Times" w:eastAsia="Times" w:hAnsi="Times" w:cs="Times"/>
          <w:sz w:val="24"/>
          <w:lang w:val="en-US"/>
        </w:rPr>
        <w:t xml:space="preserve"> were positive for Pseudomonas A</w:t>
      </w:r>
      <w:r>
        <w:rPr>
          <w:rFonts w:ascii="Times" w:eastAsia="Times" w:hAnsi="Times" w:cs="Times"/>
          <w:sz w:val="24"/>
          <w:lang w:val="en-US"/>
        </w:rPr>
        <w:t>eruginosa (Pseudomonas A)</w:t>
      </w:r>
      <w:r w:rsidRPr="009B1DCE">
        <w:rPr>
          <w:rFonts w:ascii="Times" w:eastAsia="Times" w:hAnsi="Times" w:cs="Times"/>
          <w:sz w:val="24"/>
          <w:lang w:val="en-US"/>
        </w:rPr>
        <w:t>, 7</w:t>
      </w:r>
      <w:r w:rsidR="00770678">
        <w:rPr>
          <w:rFonts w:ascii="Times" w:eastAsia="Times" w:hAnsi="Times" w:cs="Times"/>
          <w:sz w:val="24"/>
          <w:lang w:val="en-US"/>
        </w:rPr>
        <w:t xml:space="preserve"> (8%)</w:t>
      </w:r>
      <w:r w:rsidRPr="009B1DCE">
        <w:rPr>
          <w:rFonts w:ascii="Times" w:eastAsia="Times" w:hAnsi="Times" w:cs="Times"/>
          <w:sz w:val="24"/>
          <w:lang w:val="en-US"/>
        </w:rPr>
        <w:t xml:space="preserve"> for E</w:t>
      </w:r>
      <w:r>
        <w:rPr>
          <w:rFonts w:ascii="Times" w:eastAsia="Times" w:hAnsi="Times" w:cs="Times"/>
          <w:sz w:val="24"/>
          <w:lang w:val="en-US"/>
        </w:rPr>
        <w:t>scheric</w:t>
      </w:r>
      <w:r w:rsidR="0080458C">
        <w:rPr>
          <w:rFonts w:ascii="Times" w:eastAsia="Times" w:hAnsi="Times" w:cs="Times"/>
          <w:sz w:val="24"/>
          <w:lang w:val="en-US"/>
        </w:rPr>
        <w:t>hia</w:t>
      </w:r>
      <w:r w:rsidRPr="009B1DCE">
        <w:rPr>
          <w:rFonts w:ascii="Times" w:eastAsia="Times" w:hAnsi="Times" w:cs="Times"/>
          <w:sz w:val="24"/>
          <w:lang w:val="en-US"/>
        </w:rPr>
        <w:t xml:space="preserve"> Coli</w:t>
      </w:r>
      <w:r w:rsidR="00770678">
        <w:rPr>
          <w:rFonts w:ascii="Times" w:eastAsia="Times" w:hAnsi="Times" w:cs="Times"/>
          <w:sz w:val="24"/>
          <w:lang w:val="en-US"/>
        </w:rPr>
        <w:t xml:space="preserve"> (E. Coli</w:t>
      </w:r>
      <w:r w:rsidR="006D7791">
        <w:rPr>
          <w:rFonts w:ascii="Times" w:eastAsia="Times" w:hAnsi="Times" w:cs="Times"/>
          <w:sz w:val="24"/>
          <w:lang w:val="en-US"/>
        </w:rPr>
        <w:t xml:space="preserve">), </w:t>
      </w:r>
      <w:r w:rsidRPr="009B1DCE">
        <w:rPr>
          <w:rFonts w:ascii="Times" w:eastAsia="Times" w:hAnsi="Times" w:cs="Times"/>
          <w:sz w:val="24"/>
          <w:lang w:val="en-US"/>
        </w:rPr>
        <w:t>6</w:t>
      </w:r>
      <w:r w:rsidR="00770678">
        <w:rPr>
          <w:rFonts w:ascii="Times" w:eastAsia="Times" w:hAnsi="Times" w:cs="Times"/>
          <w:sz w:val="24"/>
          <w:lang w:val="en-US"/>
        </w:rPr>
        <w:t xml:space="preserve"> (7%)</w:t>
      </w:r>
      <w:r w:rsidRPr="009B1DCE">
        <w:rPr>
          <w:rFonts w:ascii="Times" w:eastAsia="Times" w:hAnsi="Times" w:cs="Times"/>
          <w:sz w:val="24"/>
          <w:lang w:val="en-US"/>
        </w:rPr>
        <w:t xml:space="preserve"> for Enterococcus F</w:t>
      </w:r>
      <w:r w:rsidR="00E86BE9">
        <w:rPr>
          <w:rFonts w:ascii="Times" w:eastAsia="Times" w:hAnsi="Times" w:cs="Times"/>
          <w:sz w:val="24"/>
          <w:lang w:val="en-US"/>
        </w:rPr>
        <w:t>a</w:t>
      </w:r>
      <w:r w:rsidRPr="009B1DCE">
        <w:rPr>
          <w:rFonts w:ascii="Times" w:eastAsia="Times" w:hAnsi="Times" w:cs="Times"/>
          <w:sz w:val="24"/>
          <w:lang w:val="en-US"/>
        </w:rPr>
        <w:t>ecalis (</w:t>
      </w:r>
      <w:r w:rsidR="006D7791">
        <w:rPr>
          <w:rFonts w:ascii="Times" w:eastAsia="Times" w:hAnsi="Times" w:cs="Times"/>
          <w:sz w:val="24"/>
          <w:lang w:val="en-US"/>
        </w:rPr>
        <w:t>E. F</w:t>
      </w:r>
      <w:r w:rsidR="00E86BE9">
        <w:rPr>
          <w:rFonts w:ascii="Times" w:eastAsia="Times" w:hAnsi="Times" w:cs="Times"/>
          <w:sz w:val="24"/>
          <w:lang w:val="en-US"/>
        </w:rPr>
        <w:t>a</w:t>
      </w:r>
      <w:r w:rsidR="006D7791">
        <w:rPr>
          <w:rFonts w:ascii="Times" w:eastAsia="Times" w:hAnsi="Times" w:cs="Times"/>
          <w:sz w:val="24"/>
          <w:lang w:val="en-US"/>
        </w:rPr>
        <w:t>ecalis</w:t>
      </w:r>
      <w:r w:rsidRPr="009B1DCE">
        <w:rPr>
          <w:rFonts w:ascii="Times" w:eastAsia="Times" w:hAnsi="Times" w:cs="Times"/>
          <w:sz w:val="24"/>
          <w:lang w:val="en-US"/>
        </w:rPr>
        <w:t>), 5</w:t>
      </w:r>
      <w:r w:rsidR="006D7791">
        <w:rPr>
          <w:rFonts w:ascii="Times" w:eastAsia="Times" w:hAnsi="Times" w:cs="Times"/>
          <w:sz w:val="24"/>
          <w:lang w:val="en-US"/>
        </w:rPr>
        <w:t xml:space="preserve"> (6%)</w:t>
      </w:r>
      <w:r w:rsidRPr="009B1DCE">
        <w:rPr>
          <w:rFonts w:ascii="Times" w:eastAsia="Times" w:hAnsi="Times" w:cs="Times"/>
          <w:sz w:val="24"/>
          <w:lang w:val="en-US"/>
        </w:rPr>
        <w:t xml:space="preserve"> </w:t>
      </w:r>
      <w:r>
        <w:rPr>
          <w:rFonts w:ascii="Times" w:eastAsia="Times" w:hAnsi="Times" w:cs="Times"/>
          <w:sz w:val="24"/>
          <w:lang w:val="en-US"/>
        </w:rPr>
        <w:t xml:space="preserve">for </w:t>
      </w:r>
      <w:r w:rsidRPr="009B1DCE">
        <w:rPr>
          <w:rFonts w:ascii="Times" w:eastAsia="Times" w:hAnsi="Times" w:cs="Times"/>
          <w:sz w:val="24"/>
          <w:lang w:val="en-US"/>
        </w:rPr>
        <w:t>Streptococcus Epidermidis (</w:t>
      </w:r>
      <w:r w:rsidR="006D7791">
        <w:rPr>
          <w:rFonts w:ascii="Times" w:eastAsia="Times" w:hAnsi="Times" w:cs="Times"/>
          <w:sz w:val="24"/>
          <w:lang w:val="en-US"/>
        </w:rPr>
        <w:t>S. Epidermidis</w:t>
      </w:r>
      <w:r w:rsidRPr="009B1DCE">
        <w:rPr>
          <w:rFonts w:ascii="Times" w:eastAsia="Times" w:hAnsi="Times" w:cs="Times"/>
          <w:sz w:val="24"/>
          <w:lang w:val="en-US"/>
        </w:rPr>
        <w:t>)</w:t>
      </w:r>
      <w:r>
        <w:rPr>
          <w:rFonts w:ascii="Times" w:eastAsia="Times" w:hAnsi="Times" w:cs="Times"/>
          <w:sz w:val="24"/>
          <w:lang w:val="en-US"/>
        </w:rPr>
        <w:t xml:space="preserve"> and </w:t>
      </w:r>
      <w:r w:rsidRPr="009B1DCE">
        <w:rPr>
          <w:rFonts w:ascii="Times" w:eastAsia="Times" w:hAnsi="Times" w:cs="Times"/>
          <w:sz w:val="24"/>
          <w:lang w:val="en-US"/>
        </w:rPr>
        <w:t>3</w:t>
      </w:r>
      <w:r w:rsidR="006D7791">
        <w:rPr>
          <w:rFonts w:ascii="Times" w:eastAsia="Times" w:hAnsi="Times" w:cs="Times"/>
          <w:sz w:val="24"/>
          <w:lang w:val="en-US"/>
        </w:rPr>
        <w:t xml:space="preserve"> (3%)</w:t>
      </w:r>
      <w:r>
        <w:rPr>
          <w:rFonts w:ascii="Times" w:eastAsia="Times" w:hAnsi="Times" w:cs="Times"/>
          <w:sz w:val="24"/>
          <w:lang w:val="en-US"/>
        </w:rPr>
        <w:t xml:space="preserve"> for</w:t>
      </w:r>
      <w:r w:rsidRPr="009B1DCE">
        <w:rPr>
          <w:rFonts w:ascii="Times" w:eastAsia="Times" w:hAnsi="Times" w:cs="Times"/>
          <w:sz w:val="24"/>
          <w:lang w:val="en-US"/>
        </w:rPr>
        <w:t xml:space="preserve"> Bacillus Morganii. </w:t>
      </w:r>
      <w:r w:rsidRPr="0002130C">
        <w:rPr>
          <w:rFonts w:ascii="Times" w:eastAsia="Times" w:hAnsi="Times" w:cs="Times"/>
          <w:sz w:val="24"/>
          <w:lang w:val="en-US"/>
        </w:rPr>
        <w:t>Interestingly, 6</w:t>
      </w:r>
      <w:r w:rsidR="00E86BE9">
        <w:rPr>
          <w:rFonts w:ascii="Times" w:eastAsia="Times" w:hAnsi="Times" w:cs="Times"/>
          <w:sz w:val="24"/>
          <w:lang w:val="en-US"/>
        </w:rPr>
        <w:t>/</w:t>
      </w:r>
      <w:r w:rsidRPr="0002130C">
        <w:rPr>
          <w:rFonts w:ascii="Times" w:eastAsia="Times" w:hAnsi="Times" w:cs="Times"/>
          <w:sz w:val="24"/>
          <w:lang w:val="en-US"/>
        </w:rPr>
        <w:t>44</w:t>
      </w:r>
      <w:r w:rsidR="006D7791">
        <w:rPr>
          <w:rFonts w:ascii="Times" w:eastAsia="Times" w:hAnsi="Times" w:cs="Times"/>
          <w:sz w:val="24"/>
          <w:lang w:val="en-US"/>
        </w:rPr>
        <w:t xml:space="preserve"> (13.6%)</w:t>
      </w:r>
      <w:r w:rsidRPr="0002130C">
        <w:rPr>
          <w:rFonts w:ascii="Times" w:eastAsia="Times" w:hAnsi="Times" w:cs="Times"/>
          <w:sz w:val="24"/>
          <w:lang w:val="en-US"/>
        </w:rPr>
        <w:t xml:space="preserve"> positive swabs for S. </w:t>
      </w:r>
      <w:r>
        <w:rPr>
          <w:rFonts w:ascii="Times" w:eastAsia="Times" w:hAnsi="Times" w:cs="Times"/>
          <w:sz w:val="24"/>
          <w:lang w:val="en-US"/>
        </w:rPr>
        <w:t>A</w:t>
      </w:r>
      <w:r w:rsidRPr="0002130C">
        <w:rPr>
          <w:rFonts w:ascii="Times" w:eastAsia="Times" w:hAnsi="Times" w:cs="Times"/>
          <w:sz w:val="24"/>
          <w:lang w:val="en-US"/>
        </w:rPr>
        <w:t xml:space="preserve">ureus infections showed a Methicillin-Resistant Staphylococcus Aureus </w:t>
      </w:r>
      <w:r>
        <w:rPr>
          <w:rFonts w:ascii="Times" w:eastAsia="Times" w:hAnsi="Times" w:cs="Times"/>
          <w:sz w:val="24"/>
          <w:lang w:val="en-US"/>
        </w:rPr>
        <w:t>(</w:t>
      </w:r>
      <w:r w:rsidRPr="0002130C">
        <w:rPr>
          <w:rFonts w:ascii="Times" w:eastAsia="Times" w:hAnsi="Times" w:cs="Times"/>
          <w:sz w:val="24"/>
          <w:lang w:val="en-US"/>
        </w:rPr>
        <w:t>MRSA</w:t>
      </w:r>
      <w:r>
        <w:rPr>
          <w:rFonts w:ascii="Times" w:eastAsia="Times" w:hAnsi="Times" w:cs="Times"/>
          <w:sz w:val="24"/>
          <w:lang w:val="en-US"/>
        </w:rPr>
        <w:t>)</w:t>
      </w:r>
      <w:r w:rsidRPr="0002130C">
        <w:rPr>
          <w:rFonts w:ascii="Times" w:eastAsia="Times" w:hAnsi="Times" w:cs="Times"/>
          <w:sz w:val="24"/>
          <w:lang w:val="en-US"/>
        </w:rPr>
        <w:t xml:space="preserve">. In addition, </w:t>
      </w:r>
      <w:r w:rsidR="0080458C">
        <w:rPr>
          <w:rFonts w:ascii="Times" w:eastAsia="Times" w:hAnsi="Times" w:cs="Times"/>
          <w:sz w:val="24"/>
          <w:lang w:val="en-US"/>
        </w:rPr>
        <w:t xml:space="preserve">nine </w:t>
      </w:r>
      <w:r w:rsidRPr="0002130C">
        <w:rPr>
          <w:rFonts w:ascii="Times" w:eastAsia="Times" w:hAnsi="Times" w:cs="Times"/>
          <w:sz w:val="24"/>
          <w:lang w:val="en-US"/>
        </w:rPr>
        <w:t>patient</w:t>
      </w:r>
      <w:r>
        <w:rPr>
          <w:rFonts w:ascii="Times" w:eastAsia="Times" w:hAnsi="Times" w:cs="Times"/>
          <w:sz w:val="24"/>
          <w:lang w:val="en-US"/>
        </w:rPr>
        <w:t xml:space="preserve">s </w:t>
      </w:r>
      <w:r w:rsidRPr="0002130C">
        <w:rPr>
          <w:rFonts w:ascii="Times" w:eastAsia="Times" w:hAnsi="Times" w:cs="Times"/>
          <w:sz w:val="24"/>
          <w:lang w:val="en-US"/>
        </w:rPr>
        <w:t xml:space="preserve">with infected DUs needed hospitalization. All infections responded to systemic antibiotics </w:t>
      </w:r>
      <w:r>
        <w:rPr>
          <w:rFonts w:ascii="Times" w:eastAsia="Times" w:hAnsi="Times" w:cs="Times"/>
          <w:sz w:val="24"/>
          <w:lang w:val="en-US"/>
        </w:rPr>
        <w:lastRenderedPageBreak/>
        <w:t xml:space="preserve">therapy </w:t>
      </w:r>
      <w:r w:rsidRPr="0002130C">
        <w:rPr>
          <w:rFonts w:ascii="Times" w:eastAsia="Times" w:hAnsi="Times" w:cs="Times"/>
          <w:sz w:val="24"/>
          <w:lang w:val="en-US"/>
        </w:rPr>
        <w:t>except for MRSA which require</w:t>
      </w:r>
      <w:r>
        <w:rPr>
          <w:rFonts w:ascii="Times" w:eastAsia="Times" w:hAnsi="Times" w:cs="Times"/>
          <w:sz w:val="24"/>
          <w:lang w:val="en-US"/>
        </w:rPr>
        <w:t>d</w:t>
      </w:r>
      <w:r w:rsidRPr="0002130C">
        <w:rPr>
          <w:rFonts w:ascii="Times" w:eastAsia="Times" w:hAnsi="Times" w:cs="Times"/>
          <w:sz w:val="24"/>
          <w:lang w:val="en-US"/>
        </w:rPr>
        <w:t xml:space="preserve"> a more aggressive and long lasting (up to </w:t>
      </w:r>
      <w:r w:rsidR="006D7791">
        <w:rPr>
          <w:rFonts w:ascii="Times" w:eastAsia="Times" w:hAnsi="Times" w:cs="Times"/>
          <w:sz w:val="24"/>
          <w:lang w:val="en-US"/>
        </w:rPr>
        <w:t xml:space="preserve">fourteen consecutive </w:t>
      </w:r>
      <w:r w:rsidRPr="0002130C">
        <w:rPr>
          <w:rFonts w:ascii="Times" w:eastAsia="Times" w:hAnsi="Times" w:cs="Times"/>
          <w:sz w:val="24"/>
          <w:lang w:val="en-US"/>
        </w:rPr>
        <w:t xml:space="preserve">days) antibiotic combination therapy in addition to surgical debridement and hygiene procedures. </w:t>
      </w:r>
      <w:r w:rsidR="0080458C" w:rsidRPr="006D7791">
        <w:rPr>
          <w:rFonts w:ascii="Times" w:eastAsia="Times" w:hAnsi="Times" w:cs="Times"/>
          <w:sz w:val="24"/>
          <w:highlight w:val="yellow"/>
          <w:lang w:val="en-US"/>
        </w:rPr>
        <w:t>We do not use or su</w:t>
      </w:r>
      <w:r w:rsidR="00770678" w:rsidRPr="006D7791">
        <w:rPr>
          <w:rFonts w:ascii="Times" w:eastAsia="Times" w:hAnsi="Times" w:cs="Times"/>
          <w:sz w:val="24"/>
          <w:highlight w:val="yellow"/>
          <w:lang w:val="en-US"/>
        </w:rPr>
        <w:t>pport</w:t>
      </w:r>
      <w:r w:rsidR="0080458C" w:rsidRPr="006D7791">
        <w:rPr>
          <w:rFonts w:ascii="Times" w:eastAsia="Times" w:hAnsi="Times" w:cs="Times"/>
          <w:sz w:val="24"/>
          <w:highlight w:val="yellow"/>
          <w:lang w:val="en-US"/>
        </w:rPr>
        <w:t xml:space="preserve"> topical anti-microbial therapy because </w:t>
      </w:r>
      <w:r w:rsidR="00770678" w:rsidRPr="006D7791">
        <w:rPr>
          <w:rFonts w:ascii="Times" w:eastAsia="Times" w:hAnsi="Times" w:cs="Times"/>
          <w:sz w:val="24"/>
          <w:highlight w:val="yellow"/>
          <w:lang w:val="en-US"/>
        </w:rPr>
        <w:t xml:space="preserve">in our team experience is totally </w:t>
      </w:r>
      <w:commentRangeStart w:id="1"/>
      <w:r w:rsidR="00770678" w:rsidRPr="006D7791">
        <w:rPr>
          <w:rFonts w:ascii="Times" w:eastAsia="Times" w:hAnsi="Times" w:cs="Times"/>
          <w:sz w:val="24"/>
          <w:highlight w:val="yellow"/>
          <w:lang w:val="en-US"/>
        </w:rPr>
        <w:t>ineffective</w:t>
      </w:r>
      <w:commentRangeEnd w:id="1"/>
      <w:r w:rsidR="006D7791">
        <w:rPr>
          <w:rStyle w:val="Rimandocommento"/>
        </w:rPr>
        <w:commentReference w:id="1"/>
      </w:r>
      <w:r w:rsidR="00770678" w:rsidRPr="006D7791">
        <w:rPr>
          <w:rFonts w:ascii="Times" w:eastAsia="Times" w:hAnsi="Times" w:cs="Times"/>
          <w:sz w:val="24"/>
          <w:highlight w:val="yellow"/>
          <w:lang w:val="en-US"/>
        </w:rPr>
        <w:t>.</w:t>
      </w:r>
      <w:r w:rsidR="00770678">
        <w:rPr>
          <w:rFonts w:ascii="Times" w:eastAsia="Times" w:hAnsi="Times" w:cs="Times"/>
          <w:sz w:val="24"/>
          <w:lang w:val="en-US"/>
        </w:rPr>
        <w:t xml:space="preserve"> </w:t>
      </w:r>
      <w:r w:rsidRPr="0002130C">
        <w:rPr>
          <w:rFonts w:ascii="Times" w:eastAsia="Times" w:hAnsi="Times" w:cs="Times"/>
          <w:sz w:val="24"/>
          <w:lang w:val="en-US"/>
        </w:rPr>
        <w:t>Fecal pathogens, rapidly improved with standard therapy but were more frequently responsible for reinfections.  Furthermore, our analysis showed a prevalence of S. Aureus (82%) or S. Epidermidis (8%) infection in patients with a limited SSc subtype, while MRSA infection increase</w:t>
      </w:r>
      <w:r>
        <w:rPr>
          <w:rFonts w:ascii="Times" w:eastAsia="Times" w:hAnsi="Times" w:cs="Times"/>
          <w:sz w:val="24"/>
          <w:lang w:val="en-US"/>
        </w:rPr>
        <w:t>d</w:t>
      </w:r>
      <w:r w:rsidRPr="0002130C">
        <w:rPr>
          <w:rFonts w:ascii="Times" w:eastAsia="Times" w:hAnsi="Times" w:cs="Times"/>
          <w:sz w:val="24"/>
          <w:lang w:val="en-US"/>
        </w:rPr>
        <w:t xml:space="preserve"> significantly in patients with previous and recurring DUs infections (6/6) </w:t>
      </w:r>
      <w:r>
        <w:rPr>
          <w:rFonts w:ascii="Times" w:eastAsia="Times" w:hAnsi="Times" w:cs="Times"/>
          <w:sz w:val="24"/>
          <w:lang w:val="en-US"/>
        </w:rPr>
        <w:t>and/or</w:t>
      </w:r>
      <w:r w:rsidRPr="0002130C">
        <w:rPr>
          <w:rFonts w:ascii="Times" w:eastAsia="Times" w:hAnsi="Times" w:cs="Times"/>
          <w:sz w:val="24"/>
          <w:lang w:val="en-US"/>
        </w:rPr>
        <w:t xml:space="preserve"> with past history of hospitalization (6/6). Disease duration, serology, age, gender or smoking habits did not correlate with the presence of DUs infections.</w:t>
      </w:r>
    </w:p>
    <w:p w14:paraId="0C9456B8" w14:textId="18BDB532" w:rsidR="006D7791" w:rsidRDefault="006D7791" w:rsidP="00703CF5">
      <w:pPr>
        <w:spacing w:after="240" w:line="240" w:lineRule="auto"/>
        <w:jc w:val="both"/>
        <w:rPr>
          <w:rFonts w:ascii="Times" w:eastAsia="Times" w:hAnsi="Times" w:cs="Times"/>
          <w:sz w:val="24"/>
          <w:lang w:val="en-US"/>
        </w:rPr>
      </w:pPr>
      <w:r w:rsidRPr="005F1047">
        <w:rPr>
          <w:rFonts w:ascii="Times" w:eastAsia="Times" w:hAnsi="Times" w:cs="Times"/>
          <w:sz w:val="24"/>
          <w:highlight w:val="yellow"/>
          <w:lang w:val="en-US"/>
        </w:rPr>
        <w:t>Twenty-three patients got re-infected in the same DUs in an extremely variable</w:t>
      </w:r>
      <w:r w:rsidR="005F1047" w:rsidRPr="005F1047">
        <w:rPr>
          <w:rFonts w:ascii="Times" w:eastAsia="Times" w:hAnsi="Times" w:cs="Times"/>
          <w:sz w:val="24"/>
          <w:highlight w:val="yellow"/>
          <w:lang w:val="en-US"/>
        </w:rPr>
        <w:t xml:space="preserve"> </w:t>
      </w:r>
      <w:r w:rsidRPr="005F1047">
        <w:rPr>
          <w:rFonts w:ascii="Times" w:eastAsia="Times" w:hAnsi="Times" w:cs="Times"/>
          <w:sz w:val="24"/>
          <w:highlight w:val="yellow"/>
          <w:lang w:val="en-US"/>
        </w:rPr>
        <w:t>period of time, depending on</w:t>
      </w:r>
      <w:r w:rsidR="005F1047" w:rsidRPr="005F1047">
        <w:rPr>
          <w:rFonts w:ascii="Times" w:eastAsia="Times" w:hAnsi="Times" w:cs="Times"/>
          <w:sz w:val="24"/>
          <w:highlight w:val="yellow"/>
          <w:lang w:val="en-US"/>
        </w:rPr>
        <w:t>, for example:</w:t>
      </w:r>
      <w:r w:rsidRPr="005F1047">
        <w:rPr>
          <w:rFonts w:ascii="Times" w:eastAsia="Times" w:hAnsi="Times" w:cs="Times"/>
          <w:sz w:val="24"/>
          <w:highlight w:val="yellow"/>
          <w:lang w:val="en-US"/>
        </w:rPr>
        <w:t xml:space="preserve"> disease progression rate, immunodeficiency status, </w:t>
      </w:r>
      <w:r w:rsidR="005F1047" w:rsidRPr="005F1047">
        <w:rPr>
          <w:rFonts w:ascii="Times" w:eastAsia="Times" w:hAnsi="Times" w:cs="Times"/>
          <w:sz w:val="24"/>
          <w:highlight w:val="yellow"/>
          <w:lang w:val="en-US"/>
        </w:rPr>
        <w:t xml:space="preserve">modified Rodnan skin score, disease subtype (lcSSc vs dcSSc), presence/absence of finger contraction, Raynaud phenomenon </w:t>
      </w:r>
      <w:commentRangeStart w:id="2"/>
      <w:r w:rsidR="005F1047" w:rsidRPr="005F1047">
        <w:rPr>
          <w:rFonts w:ascii="Times" w:eastAsia="Times" w:hAnsi="Times" w:cs="Times"/>
          <w:sz w:val="24"/>
          <w:highlight w:val="yellow"/>
          <w:lang w:val="en-US"/>
        </w:rPr>
        <w:t>severity</w:t>
      </w:r>
      <w:commentRangeEnd w:id="2"/>
      <w:r w:rsidR="00E86BE9">
        <w:rPr>
          <w:rStyle w:val="Rimandocommento"/>
        </w:rPr>
        <w:commentReference w:id="2"/>
      </w:r>
      <w:r w:rsidR="005F1047">
        <w:rPr>
          <w:rFonts w:ascii="Times" w:eastAsia="Times" w:hAnsi="Times" w:cs="Times"/>
          <w:sz w:val="24"/>
          <w:lang w:val="en-US"/>
        </w:rPr>
        <w:t xml:space="preserve">. </w:t>
      </w:r>
    </w:p>
    <w:p w14:paraId="64F5920F" w14:textId="25EA3625" w:rsidR="006D7791" w:rsidRPr="0002130C" w:rsidRDefault="006D7791" w:rsidP="00703CF5">
      <w:pPr>
        <w:spacing w:after="240" w:line="240" w:lineRule="auto"/>
        <w:jc w:val="both"/>
        <w:rPr>
          <w:rFonts w:ascii="Times" w:eastAsia="Times" w:hAnsi="Times" w:cs="Times"/>
          <w:sz w:val="24"/>
          <w:lang w:val="en-US"/>
        </w:rPr>
      </w:pPr>
      <w:r w:rsidRPr="006D7791">
        <w:rPr>
          <w:rFonts w:ascii="Times" w:eastAsia="Times" w:hAnsi="Times" w:cs="Times"/>
          <w:sz w:val="24"/>
          <w:highlight w:val="yellow"/>
          <w:lang w:val="en-US"/>
        </w:rPr>
        <w:t xml:space="preserve">DUs infection improvement were assessed </w:t>
      </w:r>
      <w:commentRangeStart w:id="3"/>
      <w:r w:rsidRPr="006D7791">
        <w:rPr>
          <w:rFonts w:ascii="Times" w:eastAsia="Times" w:hAnsi="Times" w:cs="Times"/>
          <w:sz w:val="24"/>
          <w:highlight w:val="yellow"/>
          <w:lang w:val="en-US"/>
        </w:rPr>
        <w:t>with</w:t>
      </w:r>
      <w:commentRangeEnd w:id="3"/>
      <w:r>
        <w:rPr>
          <w:rStyle w:val="Rimandocommento"/>
        </w:rPr>
        <w:commentReference w:id="3"/>
      </w:r>
      <w:r w:rsidRPr="006D7791">
        <w:rPr>
          <w:rFonts w:ascii="Times" w:eastAsia="Times" w:hAnsi="Times" w:cs="Times"/>
          <w:sz w:val="24"/>
          <w:highlight w:val="yellow"/>
          <w:lang w:val="en-US"/>
        </w:rPr>
        <w:t>…</w:t>
      </w:r>
      <w:r>
        <w:rPr>
          <w:rFonts w:ascii="Times" w:eastAsia="Times" w:hAnsi="Times" w:cs="Times"/>
          <w:sz w:val="24"/>
          <w:lang w:val="en-US"/>
        </w:rPr>
        <w:t xml:space="preserve"> </w:t>
      </w:r>
    </w:p>
    <w:p w14:paraId="34D2823B" w14:textId="77777777" w:rsidR="00703CF5" w:rsidRPr="0002130C" w:rsidRDefault="00703CF5" w:rsidP="00703CF5">
      <w:pPr>
        <w:jc w:val="both"/>
        <w:rPr>
          <w:rFonts w:ascii="Times" w:eastAsia="Times" w:hAnsi="Times" w:cs="Times"/>
          <w:sz w:val="24"/>
          <w:lang w:val="en-US"/>
        </w:rPr>
      </w:pPr>
      <w:r w:rsidRPr="0002130C">
        <w:rPr>
          <w:rFonts w:ascii="Times" w:eastAsia="Times" w:hAnsi="Times" w:cs="Times"/>
          <w:sz w:val="24"/>
          <w:lang w:val="en-US"/>
        </w:rPr>
        <w:t>DISCUSSION</w:t>
      </w:r>
    </w:p>
    <w:p w14:paraId="0ADAD70C" w14:textId="490BC099" w:rsidR="00703CF5" w:rsidRDefault="00703CF5" w:rsidP="00703CF5">
      <w:pPr>
        <w:spacing w:after="0"/>
        <w:jc w:val="both"/>
        <w:rPr>
          <w:rFonts w:ascii="Times" w:eastAsia="Times" w:hAnsi="Times" w:cs="Times"/>
          <w:sz w:val="24"/>
          <w:lang w:val="en-US"/>
        </w:rPr>
      </w:pPr>
      <w:r w:rsidRPr="0002130C">
        <w:rPr>
          <w:rFonts w:ascii="Times" w:eastAsia="Times" w:hAnsi="Times" w:cs="Times"/>
          <w:sz w:val="24"/>
          <w:lang w:val="en-US"/>
        </w:rPr>
        <w:t>Our study reported the prevalence of DUs infections in SSc patients</w:t>
      </w:r>
      <w:r>
        <w:rPr>
          <w:rFonts w:ascii="Times" w:eastAsia="Times" w:hAnsi="Times" w:cs="Times"/>
          <w:sz w:val="24"/>
          <w:lang w:val="en-US"/>
        </w:rPr>
        <w:t xml:space="preserve"> during</w:t>
      </w:r>
      <w:r w:rsidRPr="0002130C">
        <w:rPr>
          <w:rFonts w:ascii="Times" w:eastAsia="Times" w:hAnsi="Times" w:cs="Times"/>
          <w:sz w:val="24"/>
          <w:lang w:val="en-US"/>
        </w:rPr>
        <w:t xml:space="preserve"> a </w:t>
      </w:r>
      <w:r>
        <w:rPr>
          <w:rFonts w:ascii="Times" w:eastAsia="Times" w:hAnsi="Times" w:cs="Times"/>
          <w:sz w:val="24"/>
          <w:lang w:val="en-US"/>
        </w:rPr>
        <w:t>twelve-</w:t>
      </w:r>
      <w:r w:rsidRPr="0002130C">
        <w:rPr>
          <w:rFonts w:ascii="Times" w:eastAsia="Times" w:hAnsi="Times" w:cs="Times"/>
          <w:sz w:val="24"/>
          <w:lang w:val="en-US"/>
        </w:rPr>
        <w:t xml:space="preserve"> months</w:t>
      </w:r>
      <w:r>
        <w:rPr>
          <w:rFonts w:ascii="Times" w:eastAsia="Times" w:hAnsi="Times" w:cs="Times"/>
          <w:sz w:val="24"/>
          <w:lang w:val="en-US"/>
        </w:rPr>
        <w:t xml:space="preserve"> follow-up</w:t>
      </w:r>
      <w:r w:rsidRPr="0002130C">
        <w:rPr>
          <w:rFonts w:ascii="Times" w:eastAsia="Times" w:hAnsi="Times" w:cs="Times"/>
          <w:sz w:val="24"/>
          <w:lang w:val="en-US"/>
        </w:rPr>
        <w:t xml:space="preserve">. Among the </w:t>
      </w:r>
      <w:r w:rsidR="00CC62FC">
        <w:rPr>
          <w:rFonts w:ascii="Times" w:eastAsia="Times" w:hAnsi="Times" w:cs="Times"/>
          <w:sz w:val="24"/>
          <w:lang w:val="en-US"/>
        </w:rPr>
        <w:t>eighty-seven</w:t>
      </w:r>
      <w:r w:rsidRPr="0002130C">
        <w:rPr>
          <w:rFonts w:ascii="Times" w:eastAsia="Times" w:hAnsi="Times" w:cs="Times"/>
          <w:sz w:val="24"/>
          <w:lang w:val="en-US"/>
        </w:rPr>
        <w:t xml:space="preserve"> swabs performed on DUs with clinical signs of infections the overall confirmation of infection was in </w:t>
      </w:r>
      <w:r w:rsidR="00CC62FC">
        <w:rPr>
          <w:rFonts w:ascii="Times" w:eastAsia="Times" w:hAnsi="Times" w:cs="Times"/>
          <w:sz w:val="24"/>
          <w:lang w:val="en-US"/>
        </w:rPr>
        <w:t>eighty-three of them (</w:t>
      </w:r>
      <w:r w:rsidRPr="0002130C">
        <w:rPr>
          <w:rFonts w:ascii="Times" w:eastAsia="Times" w:hAnsi="Times" w:cs="Times"/>
          <w:sz w:val="24"/>
          <w:lang w:val="en-US"/>
        </w:rPr>
        <w:t>95.4%</w:t>
      </w:r>
      <w:r w:rsidR="00CC62FC">
        <w:rPr>
          <w:rFonts w:ascii="Times" w:eastAsia="Times" w:hAnsi="Times" w:cs="Times"/>
          <w:sz w:val="24"/>
          <w:lang w:val="en-US"/>
        </w:rPr>
        <w:t>)</w:t>
      </w:r>
      <w:r w:rsidRPr="0002130C">
        <w:rPr>
          <w:rFonts w:ascii="Times" w:eastAsia="Times" w:hAnsi="Times" w:cs="Times"/>
          <w:sz w:val="24"/>
          <w:lang w:val="en-US"/>
        </w:rPr>
        <w:t xml:space="preserve">, </w:t>
      </w:r>
      <w:r>
        <w:rPr>
          <w:rFonts w:ascii="Times" w:eastAsia="Times" w:hAnsi="Times" w:cs="Times"/>
          <w:sz w:val="24"/>
          <w:lang w:val="en-US"/>
        </w:rPr>
        <w:t xml:space="preserve">with </w:t>
      </w:r>
      <w:r w:rsidR="00CC62FC">
        <w:rPr>
          <w:rFonts w:ascii="Times" w:eastAsia="Times" w:hAnsi="Times" w:cs="Times"/>
          <w:sz w:val="24"/>
          <w:lang w:val="en-US"/>
        </w:rPr>
        <w:t>four</w:t>
      </w:r>
      <w:r>
        <w:rPr>
          <w:rFonts w:ascii="Times" w:eastAsia="Times" w:hAnsi="Times" w:cs="Times"/>
          <w:sz w:val="24"/>
          <w:lang w:val="en-US"/>
        </w:rPr>
        <w:t xml:space="preserve"> </w:t>
      </w:r>
      <w:r w:rsidRPr="0002130C">
        <w:rPr>
          <w:rFonts w:ascii="Times" w:eastAsia="Times" w:hAnsi="Times" w:cs="Times"/>
          <w:sz w:val="24"/>
          <w:lang w:val="en-US"/>
        </w:rPr>
        <w:t>only negative</w:t>
      </w:r>
      <w:r>
        <w:rPr>
          <w:rFonts w:ascii="Times" w:eastAsia="Times" w:hAnsi="Times" w:cs="Times"/>
          <w:sz w:val="24"/>
          <w:lang w:val="en-US"/>
        </w:rPr>
        <w:t xml:space="preserve"> samples</w:t>
      </w:r>
      <w:r w:rsidRPr="0002130C">
        <w:rPr>
          <w:rFonts w:ascii="Times" w:eastAsia="Times" w:hAnsi="Times" w:cs="Times"/>
          <w:sz w:val="24"/>
          <w:lang w:val="en-US"/>
        </w:rPr>
        <w:t>.</w:t>
      </w:r>
      <w:r>
        <w:rPr>
          <w:rFonts w:ascii="Times" w:eastAsia="Times" w:hAnsi="Times" w:cs="Times"/>
          <w:sz w:val="24"/>
          <w:lang w:val="en-US"/>
        </w:rPr>
        <w:t xml:space="preserve"> Clinical assessment of DUs and particularly </w:t>
      </w:r>
      <w:r w:rsidRPr="0002130C">
        <w:rPr>
          <w:rFonts w:ascii="Times" w:eastAsia="Times" w:hAnsi="Times" w:cs="Times"/>
          <w:sz w:val="24"/>
          <w:lang w:val="en-US"/>
        </w:rPr>
        <w:t>the evaluation of signs and symptoms of DUs infection,</w:t>
      </w:r>
      <w:r>
        <w:rPr>
          <w:rFonts w:ascii="Times" w:eastAsia="Times" w:hAnsi="Times" w:cs="Times"/>
          <w:sz w:val="24"/>
          <w:lang w:val="en-US"/>
        </w:rPr>
        <w:t xml:space="preserve"> acquires a pivotal role </w:t>
      </w:r>
      <w:r w:rsidRPr="0002130C">
        <w:rPr>
          <w:rFonts w:ascii="Times" w:eastAsia="Times" w:hAnsi="Times" w:cs="Times"/>
          <w:sz w:val="24"/>
          <w:lang w:val="en-US"/>
        </w:rPr>
        <w:t>highlighting that diagnosis of DUs infection is primarily a clinical skill</w:t>
      </w:r>
      <w:r w:rsidRPr="0002130C">
        <w:rPr>
          <w:rFonts w:ascii="Times" w:eastAsia="Times" w:hAnsi="Times" w:cs="Times"/>
          <w:sz w:val="24"/>
          <w:lang w:val="en-US"/>
        </w:rPr>
        <w:fldChar w:fldCharType="begin" w:fldLock="1"/>
      </w:r>
      <w:r w:rsidR="002D7AE7">
        <w:rPr>
          <w:rFonts w:ascii="Times" w:eastAsia="Times" w:hAnsi="Times" w:cs="Times"/>
          <w:sz w:val="24"/>
          <w:lang w:val="en-US"/>
        </w:rPr>
        <w:instrText>ADDIN CSL_CITATION {"citationItems":[{"id":"ITEM-1","itemData":{"DOI":"10.1016/j.autrev.2017.11.020","ISSN":"18730183","PMID":"29196241","abstract":"Background: Skin ulcers (SU) are one of the most frequent manifestations of systemic sclerosis (SSc). SSc-SU are very painful, often persistent and recurrent; they may lead to marked impairment of patient's activities and quality of life. Despite their severe impact on the whole SSc patient's management, the proposed definition, classification criteria, and therapeutic strategies of SSc-SU are still controversial. Objective: The present study aimed to elaborate a comprehensive proposal of definition, classification, and therapeutic strategy of SSc-SU on the basis of our long-term single center experience along with a careful revision of the world literature on the same topic. Methods: A series of 282 SSc patients (254 females and 28 males; 84% with limited and 16% diffuse cutaneous SSc; mean age of 51.5 ± 13.9SD at SSc onset; mean follow-up 5.8 ± 4.6SD years) enrolled during the last decade at our Rheumatology Unit were retrospectively evaluated with specific attention to SSc-SU. The SSc-SU were classified in 5 subtypes according to prominent pathogenetic mechanism(s) and localization, namely 1. digital ulcers (DU) of the hands or feet, 2. SU on bony prominence, 3. SU on calcinosis, 4. SU of lower limbs, and 5. DU presenting with gangrene. This latter is a very harmful evolution of both DU of the hands and feet needing a differential diagnosis with critical limb ischemia. Results: During the follow up period, one or more episodes of SSc-SU were recorded in over half patients (156/282, 55%); skin lesions were often recurrent and difficult-to-heal because of local complications, mainly infections (67.3%), in some cases associated to osteomyelitis (19.2%), gangrene (16%), and/or amputation (11.5%). SSc-SU were significantly associated with lower patients' mean age at the disease onset (p = 0.024), male gender (p = 0.03), diffuse cutaneous subset (p = 0.015), calcinosis (p = 0.002), telangiectasia (p = 0.008), melanodermia (p &lt; 0.001), abnormal PAPs (p = 0.036), and/or altered inflammation reactant (CRP, p = 0.001). Therapeutic strategy of SSc-SU included both systemic and local pharmacological treatments with particular attention to complicating infections and chronic/procedural pain, as well as a number of non-pharmacological measures. Integrated local treatments were often decisive for the SSc-SU healing; they were mainly based on the wound bed preparation principles that are summarized in the acronym TIME (necrotic Tissue, Infection/Inflammation, Moistu…","author":[{"dropping-particle":"","family":"Giuggioli","given":"Dilia","non-dropping-particle":"","parse-names":false,"suffix":""},{"dropping-particle":"","family":"Manfredi","given":"Andreina","non-dropping-particle":"","parse-names":false,"suffix":""},{"dropping-particle":"","family":"Lumetti","given":"Federica","non-dropping-particle":"","parse-names":false,"suffix":""},{"dropping-particle":"","family":"Colaci","given":"Michele","non-dropping-particle":"","parse-names":false,"suffix":""},{"dropping-particle":"","family":"Ferri","given":"Clodoveo","non-dropping-particle":"","parse-names":false,"suffix":""}],"container-title":"Autoimmunity Reviews","id":"ITEM-1","issue":"2","issued":{"date-parts":[["2018","2","1"]]},"page":"155-164","publisher":"Elsevier B.V.","title":"Scleroderma skin ulcers definition, classification and treatment strategies our experience and review of the literature","type":"article","volume":"17"},"uris":["http://www.mendeley.com/documents/?uuid=db60ee52-b8d2-3af3-bad3-167184a40454"]}],"mendeley":{"formattedCitation":"&lt;sup&gt;3&lt;/sup&gt;","plainTextFormattedCitation":"3","previouslyFormattedCitation":"&lt;sup&gt;3&lt;/sup&gt;"},"properties":{"noteIndex":0},"schema":"https://github.com/citation-style-language/schema/raw/master/csl-citation.json"}</w:instrText>
      </w:r>
      <w:r w:rsidRPr="0002130C">
        <w:rPr>
          <w:rFonts w:ascii="Times" w:eastAsia="Times" w:hAnsi="Times" w:cs="Times"/>
          <w:sz w:val="24"/>
          <w:lang w:val="en-US"/>
        </w:rPr>
        <w:fldChar w:fldCharType="separate"/>
      </w:r>
      <w:r w:rsidR="00822B4E" w:rsidRPr="00822B4E">
        <w:rPr>
          <w:rFonts w:ascii="Times" w:eastAsia="Times" w:hAnsi="Times" w:cs="Times"/>
          <w:noProof/>
          <w:sz w:val="24"/>
          <w:vertAlign w:val="superscript"/>
          <w:lang w:val="en-US"/>
        </w:rPr>
        <w:t>3</w:t>
      </w:r>
      <w:r w:rsidRPr="0002130C">
        <w:rPr>
          <w:rFonts w:ascii="Times" w:eastAsia="Times" w:hAnsi="Times" w:cs="Times"/>
          <w:sz w:val="24"/>
          <w:lang w:val="en-US"/>
        </w:rPr>
        <w:fldChar w:fldCharType="end"/>
      </w:r>
      <w:r w:rsidRPr="0002130C">
        <w:rPr>
          <w:rFonts w:ascii="Times" w:eastAsia="Times" w:hAnsi="Times" w:cs="Times"/>
          <w:sz w:val="24"/>
          <w:lang w:val="en-US"/>
        </w:rPr>
        <w:t>. Our report firstly showed pathogens</w:t>
      </w:r>
      <w:r>
        <w:rPr>
          <w:rFonts w:ascii="Times" w:eastAsia="Times" w:hAnsi="Times" w:cs="Times"/>
          <w:sz w:val="24"/>
          <w:lang w:val="en-US"/>
        </w:rPr>
        <w:t>’</w:t>
      </w:r>
      <w:r w:rsidRPr="0002130C">
        <w:rPr>
          <w:rFonts w:ascii="Times" w:eastAsia="Times" w:hAnsi="Times" w:cs="Times"/>
          <w:sz w:val="24"/>
          <w:lang w:val="en-US"/>
        </w:rPr>
        <w:t xml:space="preserve"> resistance in DUs infections, in particular MRSA. SSc-related DUs are </w:t>
      </w:r>
      <w:r w:rsidRPr="0002130C">
        <w:rPr>
          <w:rFonts w:ascii="Times" w:eastAsia="Times" w:hAnsi="Times" w:cs="Times"/>
          <w:i/>
          <w:sz w:val="24"/>
          <w:lang w:val="en-US"/>
        </w:rPr>
        <w:t xml:space="preserve">per se </w:t>
      </w:r>
      <w:r w:rsidRPr="0002130C">
        <w:rPr>
          <w:rFonts w:ascii="Times" w:eastAsia="Times" w:hAnsi="Times" w:cs="Times"/>
          <w:sz w:val="24"/>
          <w:lang w:val="en-US"/>
        </w:rPr>
        <w:t xml:space="preserve">difficult to heal and infections complications, as gangrene and osteomyelitis, are related with a worse prognosis of the disease </w:t>
      </w:r>
      <w:r w:rsidRPr="0002130C">
        <w:rPr>
          <w:rFonts w:ascii="Times" w:eastAsia="Times" w:hAnsi="Times" w:cs="Times"/>
          <w:sz w:val="24"/>
          <w:lang w:val="en-US"/>
        </w:rPr>
        <w:fldChar w:fldCharType="begin" w:fldLock="1"/>
      </w:r>
      <w:r w:rsidR="002D7AE7">
        <w:rPr>
          <w:rFonts w:ascii="Times" w:eastAsia="Times" w:hAnsi="Times" w:cs="Times"/>
          <w:sz w:val="24"/>
          <w:lang w:val="en-US"/>
        </w:rPr>
        <w:instrText>ADDIN CSL_CITATION {"citationItems":[{"id":"ITEM-1","itemData":{"DOI":"10.1007/s10067-012-2161-7","ISSN":"07703198","abstract":"Skin ulcers are very frequent in scleroderma (SSc), often complicated by local infection; the latter may be responsible for osteomyelitis (OM) of underlying bone. We retrospectively investigate the prevalence of OM in our SSc patients. The study included 248 SSc patients (M/F 21/227, mean age 61 ± 13.5 SD years) followed at our Rheumatology Unit for a mean time period of 60.8 ± 20.9 SD months. Patients with infected skin ulcers were carefully evaluated for complicating OM, which was diagnosed on the basis of typical clinical symptoms, laboratory, and radiological alterations. Skin ulcers were observed in 119/248 (48 %) SSc patients, more frequently digital ulcers (110/119, 92 %). These patients presented a significantly lower mean age (59 ± 14.5 SD vs. 64 ± 12.2 SD years; p = 0.005) and a lower percentage of anticentromere antibodies (40/119, 33.6 %, vs. 66/129, 51.2 %; p = 0.007) compared with those without ulcers. The prevalence of OM in the entire SSc patients' series was 7.7 % (19/248); it was invariably found in the setting of patients with infected digital ulcers, showing a surprisingly high percentage of underlying bone involvement (19/45, 42 %). The OM was localized at the hands in 14 patients and feet in 5; moreover, the most frequently isolated pathogens from infected digital ulcers were Staphylococcus aureus and Escherichia coli. Finally, patients with OM presented a significantly lower mean age (p &lt; 0.016) and higher percentage of anti-Scl70 autoantibodies (p &lt; 0.0128) compared to those without. We firstly demonstrated, in a large cohort of SSc patients, high prevalence of OM, invariably associated to infected digital ulcers, which represent the main predisposing condition for the development of such a harmful complication. © 2013 Clinical Rheumatology.","author":[{"dropping-particle":"","family":"Giuggioli","given":"Dilia","non-dropping-particle":"","parse-names":false,"suffix":""},{"dropping-particle":"","family":"Manfredi","given":"Andreina","non-dropping-particle":"","parse-names":false,"suffix":""},{"dropping-particle":"","family":"Colaci","given":"Michele","non-dropping-particle":"","parse-names":false,"suffix":""},{"dropping-particle":"","family":"Lumetti","given":"Federica","non-dropping-particle":"","parse-names":false,"suffix":""},{"dropping-particle":"","family":"Ferri","given":"Clodoveo","non-dropping-particle":"","parse-names":false,"suffix":""}],"container-title":"Clinical Rheumatology","id":"ITEM-1","issue":"5","issued":{"date-parts":[["2013","5"]]},"page":"623-627","title":"Osteomyelitis complicating scleroderma digital ulcers","type":"article-journal","volume":"32"},"uris":["http://www.mendeley.com/documents/?uuid=9cb68991-1bdd-34c0-92cf-5359d147ac17"]},{"id":"ITEM-2","itemData":{"DOI":"10.1002/acr.20673","ISSN":"00043591","abstract":"Digital ulcers represent one of the most frequent complications of systemic sclerosis (SSc; scleroderma); they are very painful, scarcely responsive to treatment, and often responsible for marked limitations on daily activities, including patient self-care. Infectious complications may severely compromise the outcome of skin lesions in a significant percentage of patients. Numerous pathogens of different origin may be involved, including bacteria from patient endogenous flora. Here we evaluated the possible involvement of fecal pathogens in scleroderma digital ulcers. Methods. Among a series of 82 SSc patients with digital ulcers, we retrospectively analyzed 42 subjects with clinical signs of local bacterial infection. All digital ulcers with suspected infection have been investigated by microbiologic examinations. Results. Bacterial infection was confirmed in all 42 patients investigated; in particular, Staphylococcus aureus were the most frequently found (50%). Interestingly, 11 (26%) of 42 patients showed digital ulcers infected with intestinal bacteria; specifically, 7 patients were positive for Escherichia coli and 4 for Enterococcus faecalis. Diffuse cutaneous SSc patients were more numerous in this subgroup versus the other 31 patients (Fisher's P= 0.011). Conclusion. A number of effective measures involving health care personnel and hospital environment are essential in the management of digital ulcers and prevention of infectious complications. In addition, the prevalence of fecal pathogens in one-quarter of cases, never reported previously, suggests an important role of a patient's self-care limitations, mainly during intercurrent home medications. Consequently, methodical education on hand hygiene of both patients and relatives, frequently involved in ulcer medications, is mandatory to avoid such deleterious complications. © 2012, American College of Rheumatology.","author":[{"dropping-particle":"","family":"Giuggioli","given":"Dilia","non-dropping-particle":"","parse-names":false,"suffix":""},{"dropping-particle":"","family":"Manfredi","given":"Andreina","non-dropping-particle":"","parse-names":false,"suffix":""},{"dropping-particle":"","family":"Colaci","given":"Michele","non-dropping-particle":"","parse-names":false,"suffix":""},{"dropping-particle":"","family":"Lumetti","given":"Federica","non-dropping-particle":"","parse-names":false,"suffix":""},{"dropping-particle":"","family":"Ferri","given":"Clodoveo","non-dropping-particle":"","parse-names":false,"suffix":""}],"container-title":"Arthritis Care and Research","id":"ITEM-2","issue":"2","issued":{"date-parts":[["2012","2"]]},"page":"295-297","title":"Scleroderma digital ulcers complicated by infection with fecal pathogens","type":"article-journal","volume":"64"},"uris":["http://www.mendeley.com/documents/?uuid=921beb7e-8042-3871-9a43-b3e4e258bc2c"]},{"id":"ITEM-3","itemData":{"DOI":"10.1136/annrheumdis-2014-205897","ISSN":"14682060","abstract":"Objective: Systemic sclerosis (SSc) is a systemic autoimmune disease with high morbidity and significant mortality. There is a great need of predictors that would allow risk stratification of patients with SSc and ultimately initiation of treatment early enough to ensure optimal clinical results. In this study, we evaluated whether a history of digital ulcers (HDU) at presentation may be a predictor of vascular outcomes and of overall clinical worsening and death in patients with SSc. Methods: Patients from the EULAR Scleroderma Trials and Research (EUSTAR) database, satisfying at inclusion the 1980 American College of Rheumatology classification criteria for SSc, who had a follow-up of at least 3 years since baseline or who have died, were included in the analysis. HDU at presentation as a predictor of disease worsening or death was evaluated by Cox proportional hazards regression analysis. Results :3196 patients matched the inclusion criteria (male sex 13.2%, 33.4% diffuse subset). At presentation, 1092/3196 patients had an HDU (34.1%). In multivariable analysis adjusting for age, gender and all parameters considered potentially significant, HDU was predictive for the presence of active digital ulcers (DUs) at prospective visits (HR (95% CI)): 2.41(1.91 to 3.03), p&lt;0.001, for an elevated systolic pulmonary arterial pressure on heart ultrasound (US-PAPs):1.36 (1.03 to 1.80), p=0.032, for any cardiovascular event (new DUs, elevated US-PAPs or LV failure):3.56 (2.26 to 5.62), p&lt;0.001, and for death (1.53 (1.16 to 2.02), p=0.003). Conclusions :In patients with SSc, HDU at presentation predicts the occurrence of DUs at follow-up and is associated with cardiovascular worsening and decreased survival.","author":[{"dropping-particle":"","family":"Mihai","given":"Carina","non-dropping-particle":"","parse-names":false,"suffix":""},{"dropping-particle":"","family":"Landewé","given":"Robert","non-dropping-particle":"","parse-names":false,"suffix":""},{"dropping-particle":"","family":"Heijde","given":"Désirée","non-dropping-particle":"Van Der","parse-names":false,"suffix":""},{"dropping-particle":"","family":"Walker","given":"Ulrich A.","non-dropping-particle":"","parse-names":false,"suffix":""},{"dropping-particle":"","family":"Constantin","given":"Paul I.","non-dropping-particle":"","parse-names":false,"suffix":""},{"dropping-particle":"","family":"Gherghe","given":"Ana Maria","non-dropping-particle":"","parse-names":false,"suffix":""},{"dropping-particle":"","family":"Ionescu","given":"Ruxandra","non-dropping-particle":"","parse-names":false,"suffix":""},{"dropping-particle":"","family":"Rednic","given":"Simona","non-dropping-particle":"","parse-names":false,"suffix":""},{"dropping-particle":"","family":"Allanore","given":"Yannick","non-dropping-particle":"","parse-names":false,"suffix":""},{"dropping-particle":"","family":"Avouac","given":"Jérôme","non-dropping-particle":"","parse-names":false,"suffix":""},{"dropping-particle":"","family":"Czirják","given":"László","non-dropping-particle":"","parse-names":false,"suffix":""},{"dropping-particle":"","family":"Hachulla","given":"Eric","non-dropping-particle":"","parse-names":false,"suffix":""},{"dropping-particle":"","family":"Riemekasten","given":"Gabriela","non-dropping-particle":"","parse-names":false,"suffix":""},{"dropping-particle":"","family":"Cozzi","given":"Franco","non-dropping-particle":"","parse-names":false,"suffix":""},{"dropping-particle":"","family":"Airò","given":"Paolo","non-dropping-particle":"","parse-names":false,"suffix":""},{"dropping-particle":"","family":"Cutolo","given":"Maurizio","non-dropping-particle":"","parse-names":false,"suffix":""},{"dropping-particle":"","family":"Mueller-Ladner","given":"Ulf","non-dropping-particle":"","parse-names":false,"suffix":""},{"dropping-particle":"","family":"Matucci-Cerinic","given":"Marco","non-dropping-particle":"","parse-names":false,"suffix":""},{"dropping-particle":"","family":"Launay","given":"David","non-dropping-particle":"","parse-names":false,"suffix":""},{"dropping-particle":"","family":"Dobrota","given":"Rucsandra","non-dropping-particle":"","parse-names":false,"suffix":""},{"dropping-particle":"","family":"Sfrent-Cornateanu","given":"Roxana","non-dropping-particle":"","parse-names":false,"suffix":""},{"dropping-particle":"","family":"Zingarelli","given":"Stefania","non-dropping-particle":"","parse-names":false,"suffix":""},{"dropping-particle":"","family":"Pigatto","given":"Erika","non-dropping-particle":"","parse-names":false,"suffix":""},{"dropping-particle":"","family":"Cuomo","given":"Giovanna","non-dropping-particle":"","parse-names":false,"suffix":""},{"dropping-particle":"","family":"Caramaschi","given":"Paola","non-dropping-particle":"","parse-names":false,"suffix":""},{"dropping-particle":"","family":"Ananieva","given":"Lidia","non-dropping-particle":"","parse-names":false,"suffix":""},{"dropping-particle":"","family":"Ullman","given":"Susanne","non-dropping-particle":"","parse-names":false,"suffix":""},{"dropping-particle":"","family":"Iversen","given":"Line","non-dropping-particle":"","parse-names":false,"suffix":""},{"dropping-particle":"","family":"Gurman","given":"Alexandra Balbir","non-dropping-particle":"","parse-names":false,"suffix":""},{"dropping-particle":"","family":"Braun-Moscovici","given":"Yolanda","non-dropping-particle":"","parse-names":false,"suffix":""},{"dropping-particle":"","family":"Carreira","given":"Patricia E.","non-dropping-particle":"","parse-names":false,"suffix":""},{"dropping-particle":"","family":"Joven","given":"Beatriz E.","non-dropping-particle":"","parse-names":false,"suffix":""},{"dropping-particle":"","family":"Minier","given":"Tünde","non-dropping-particle":"","parse-names":false,"suffix":""},{"dropping-particle":"","family":"Guiducci","given":"Serena","non-dropping-particle":"","parse-names":false,"suffix":""},{"dropping-particle":"","family":"Bellando-Randone","given":"Silvia","non-dropping-particle":"","parse-names":false,"suffix":""},{"dropping-particle":"","family":"Pellerito","given":"Raffaele","non-dropping-particle":"","parse-names":false,"suffix":""},{"dropping-particle":"","family":"Hunzelmann","given":"Nicolas","non-dropping-particle":"","parse-names":false,"suffix":""},{"dropping-particle":"","family":"Tarner","given":"Ingo H.","non-dropping-particle":"","parse-names":false,"suffix":""},{"dropping-particle":"","family":"Radominski","given":"Sebastião Cezar","non-dropping-particle":"","parse-names":false,"suffix":""},{"dropping-particle":"","family":"Souza Müller","given":"Carolina","non-dropping-particle":"De","parse-names":false,"suffix":""},{"dropping-particle":"","family":"Iannone","given":"Florenzo","non-dropping-particle":"","parse-names":false,"suffix":""},{"dropping-particle":"","family":"Henes","given":"Jörg","non-dropping-particle":"","parse-names":false,"suffix":""},{"dropping-particle":"","family":"Bancel","given":"Dominique Farge","non-dropping-particle":"","parse-names":false,"suffix":""},{"dropping-particle":"","family":"Damjanov","given":"Nemanja","non-dropping-particle":"","parse-names":false,"suffix":""},{"dropping-particle":"","family":"Ostojic","given":"Predrag","non-dropping-particle":"","parse-names":false,"suffix":""},{"dropping-particle":"","family":"Pozzi","given":"Maria Rosa","non-dropping-particle":"","parse-names":false,"suffix":""},{"dropping-particle":"","family":"Hesselstrand","given":"Roger","non-dropping-particle":"","parse-names":false,"suffix":""},{"dropping-particle":"","family":"Denton","given":"Christopher","non-dropping-particle":"","parse-names":false,"suffix":""},{"dropping-particle":"","family":"Krasowska","given":"Dorota","non-dropping-particle":"","parse-names":false,"suffix":""},{"dropping-particle":"","family":"Tikly","given":"Mohammed","non-dropping-particle":"","parse-names":false,"suffix":""},{"dropping-particle":"","family":"Riccieri","given":"Valeria","non-dropping-particle":"","parse-names":false,"suffix":""},{"dropping-particle":"","family":"Cantatore","given":"Francesco Paolo","non-dropping-particle":"","parse-names":false,"suffix":""},{"dropping-particle":"","family":"Corrado","given":"Ada","non-dropping-particle":"","parse-names":false,"suffix":""},{"dropping-particle":"","family":"Silva","given":"José Antonio Pereira","non-dropping-particle":"Da","parse-names":false,"suffix":""},{"dropping-particle":"","family":"Salvador","given":"Maria João","non-dropping-particle":"","parse-names":false,"suffix":""},{"dropping-particle":"","family":"Tyndall","given":"Alan","non-dropping-particle":"","parse-names":false,"suffix":""},{"dropping-particle":"","family":"Gabrielli","given":"Armando","non-dropping-particle":"","parse-names":false,"suffix":""},{"dropping-particle":"","family":"Distler","given":"Oliver","non-dropping-particle":"","parse-names":false,"suffix":""},{"dropping-particle":"","family":"Jordan","given":"Suzan","non-dropping-particle":"","parse-names":false,"suffix":""},{"dropping-particle":"","family":"Heitmann","given":"Stefan","non-dropping-particle":"","parse-names":false,"suffix":""},{"dropping-particle":"","family":"Burkhardt","given":"Harald","non-dropping-particle":"","parse-names":false,"suffix":""},{"dropping-particle":"","family":"Himsel","given":"Andrea","non-dropping-particle":"","parse-names":false,"suffix":""},{"dropping-particle":"","family":"Rozman","given":"Blaz","non-dropping-particle":"","parse-names":false,"suffix":""},{"dropping-particle":"","family":"Smith","given":"Vanessa","non-dropping-particle":"","parse-names":false,"suffix":""},{"dropping-particle":"De","family":"Keyser","given":"Filip","non-dropping-particle":"","parse-names":false,"suffix":""},{"dropping-particle":"","family":"Kalitena","given":"Dusanka Martinovic","non-dropping-particle":"","parse-names":false,"suffix":""},{"dropping-particle":"","family":"Radic","given":"Mislav","non-dropping-particle":"","parse-names":false,"suffix":""},{"dropping-particle":"","family":"Filipescu","given":"Ileana","non-dropping-particle":"","parse-names":false,"suffix":""},{"dropping-particle":"","family":"Petcu","given":"Ana","non-dropping-particle":"","parse-names":false,"suffix":""},{"dropping-particle":"","family":"Vlachoyiannopoulos","given":"Panayiotis","non-dropping-particle":"","parse-names":false,"suffix":""},{"dropping-particle":"","family":"Kucharz","given":"Eugene J.","non-dropping-particle":"","parse-names":false,"suffix":""},{"dropping-particle":"","family":"Widuchowska","given":"Malgorzata","non-dropping-particle":"","parse-names":false,"suffix":""},{"dropping-particle":"","family":"Kopec-Medrek","given":"Magdalena","non-dropping-particle":"","parse-names":false,"suffix":""},{"dropping-particle":"","family":"Kotulska","given":"Anna","non-dropping-particle":"","parse-names":false,"suffix":""},{"dropping-particle":"","family":"Szücs","given":"Gabriella","non-dropping-particle":"","parse-names":false,"suffix":""},{"dropping-particle":"","family":"Stankovic","given":"Aleksandra","non-dropping-particle":"","parse-names":false,"suffix":""},{"dropping-particle":"","family":"Stamenkovic","given":"Bojana","non-dropping-particle":"","parse-names":false,"suffix":""},{"dropping-particle":"","family":"Selmi","given":"Carlo Francesco","non-dropping-particle":"","parse-names":false,"suffix":""},{"dropping-particle":"De","family":"Santis","given":"Maria","non-dropping-particle":"","parse-names":false,"suffix":""},{"dropping-particle":"","family":"Marasini","given":"Bianca","non-dropping-particle":"","parse-names":false,"suffix":""},{"dropping-particle":"","family":"Coleiro","given":"Bernard","non-dropping-particle":"","parse-names":false,"suffix":""},{"dropping-particle":"","family":"Santamaria","given":"Vera Ortiz","non-dropping-particle":"","parse-names":false,"suffix":""},{"dropping-particle":"","family":"Westhovens","given":"René","non-dropping-particle":"","parse-names":false,"suffix":""},{"dropping-particle":"","family":"Becvár","given":"Radim","non-dropping-particle":"","parse-names":false,"suffix":""},{"dropping-particle":"","family":"Novak","given":"Srdan","non-dropping-particle":"","parse-names":false,"suffix":""},{"dropping-particle":"","family":"Engelhart","given":"Merete","non-dropping-particle":"","parse-names":false,"suffix":""},{"dropping-particle":"","family":"Meroni","given":"Pierluigi","non-dropping-particle":"","parse-names":false,"suffix":""},{"dropping-particle":"","family":"Ingegnoli","given":"Francesca","non-dropping-particle":"","parse-names":false,"suffix":""},{"dropping-particle":"","family":"Zeni","given":"Silvana","non-dropping-particle":"","parse-names":false,"suffix":""},{"dropping-particle":"","family":"Sulli","given":"Alberto","non-dropping-particle":"","parse-names":false,"suffix":""},{"dropping-particle":"","family":"Distler","given":"Jörg","non-dropping-particle":"","parse-names":false,"suffix":""},{"dropping-particle":"","family":"Yavuz","given":"Sule","non-dropping-particle":"","parse-names":false,"suffix":""},{"dropping-particle":"","family":"Montecucco","given":"Carlomaurizio","non-dropping-particle":"","parse-names":false,"suffix":""},{"dropping-particle":"","family":"Eyerich","given":"Kilian","non-dropping-particle":"","parse-names":false,"suffix":""},{"dropping-particle":"","family":"Krummel-Lorenz","given":"Brigitte","non-dropping-particle":"","parse-names":false,"suffix":""},{"dropping-particle":"","family":"Zenone","given":"Thierry","non-dropping-particle":"","parse-names":false,"suffix":""},{"dropping-particle":"","family":"Midtvedt","given":"Øyvind","non-dropping-particle":"","parse-names":false,"suffix":""},{"dropping-particle":"","family":"Chizzolini","given":"Carlo","non-dropping-particle":"","parse-names":false,"suffix":""},{"dropping-particle":"","family":"Seidel","given":"Matthias","non-dropping-particle":"","parse-names":false,"suffix":""},{"dropping-particle":"","family":"Oleszowsky","given":"Mara","non-dropping-particle":"","parse-names":false,"suffix":""},{"dropping-particle":"","family":"Üprus","given":"Maria","non-dropping-particle":"","parse-names":false,"suffix":""},{"dropping-particle":"","family":"Opriş","given":"Daniela","non-dropping-particle":"","parse-names":false,"suffix":""},{"dropping-particle":"","family":"Groseanu","given":"Laura","non-dropping-particle":"","parse-names":false,"suffix":""},{"dropping-particle":"","family":"Bielecka","given":"Otylia Kowal","non-dropping-particle":"","parse-names":false,"suffix":""},{"dropping-particle":"","family":"Antonio","given":"Zea Mendoza","non-dropping-particle":"","parse-names":false,"suffix":""},{"dropping-particle":"","family":"Szechinski","given":"Jacek","non-dropping-particle":"","parse-names":false,"suffix":""},{"dropping-particle":"","family":"Morovic-Vergles","given":"Jadranka","non-dropping-particle":"","parse-names":false,"suffix":""},{"dropping-particle":"","family":"Scorza","given":"Raffaella","non-dropping-particle":"","parse-names":false,"suffix":""},{"dropping-particle":"","family":"Puppo","given":"Francesco","non-dropping-particle":"","parse-names":false,"suffix":""},{"dropping-particle":"","family":"Mathieu","given":"Alessandro","non-dropping-particle":"","parse-names":false,"suffix":""},{"dropping-particle":"","family":"Anic","given":"Branimir","non-dropping-particle":"","parse-names":false,"suffix":""},{"dropping-particle":"","family":"Stork","given":"Jiri","non-dropping-particle":"","parse-names":false,"suffix":""},{"dropping-particle":"","family":"Stebbings","given":"Simon","non-dropping-particle":"","parse-names":false,"suffix":""},{"dropping-particle":"","family":"Inanc","given":"Murat","non-dropping-particle":"","parse-names":false,"suffix":""},{"dropping-particle":"","family":"Hasler","given":"Paul","non-dropping-particle":"","parse-names":false,"suffix":""},{"dropping-particle":"","family":"Mühlen","given":"Carlos Alberto","non-dropping-particle":"Von","parse-names":false,"suffix":""},{"dropping-particle":"","family":"Aringer","given":"Martin","non-dropping-particle":"","parse-names":false,"suffix":""},{"dropping-particle":"","family":"Popa","given":"Sergei","non-dropping-particle":"","parse-names":false,"suffix":""},{"dropping-particle":"","family":"Li","given":"Mengtao","non-dropping-particle":"","parse-names":false,"suffix":""},{"dropping-particle":"","family":"Rosato","given":"Edoardo","non-dropping-particle":"","parse-names":false,"suffix":""}],"container-title":"Annals of the Rheumatic Diseases","id":"ITEM-3","issue":"4","issued":{"date-parts":[["2016","4","1"]]},"page":"681-686","publisher":"BMJ Publishing Group","title":"Digital ulcers predict a worse disease course in patients with systemic sclerosis","type":"article-journal","volume":"75"},"uris":["http://www.mendeley.com/documents/?uuid=db748f07-1b58-3e6e-b62a-241094fa85f4"]}],"mendeley":{"formattedCitation":"&lt;sup&gt;4,5,14&lt;/sup&gt;","plainTextFormattedCitation":"4,5,14","previouslyFormattedCitation":"&lt;sup&gt;4,5,14&lt;/sup&gt;"},"properties":{"noteIndex":0},"schema":"https://github.com/citation-style-language/schema/raw/master/csl-citation.json"}</w:instrText>
      </w:r>
      <w:r w:rsidRPr="0002130C">
        <w:rPr>
          <w:rFonts w:ascii="Times" w:eastAsia="Times" w:hAnsi="Times" w:cs="Times"/>
          <w:sz w:val="24"/>
          <w:lang w:val="en-US"/>
        </w:rPr>
        <w:fldChar w:fldCharType="separate"/>
      </w:r>
      <w:r w:rsidR="002D7AE7" w:rsidRPr="002D7AE7">
        <w:rPr>
          <w:rFonts w:ascii="Times" w:eastAsia="Times" w:hAnsi="Times" w:cs="Times"/>
          <w:noProof/>
          <w:sz w:val="24"/>
          <w:vertAlign w:val="superscript"/>
          <w:lang w:val="en-US"/>
        </w:rPr>
        <w:t>4,5,14</w:t>
      </w:r>
      <w:r w:rsidRPr="0002130C">
        <w:rPr>
          <w:rFonts w:ascii="Times" w:eastAsia="Times" w:hAnsi="Times" w:cs="Times"/>
          <w:sz w:val="24"/>
          <w:lang w:val="en-US"/>
        </w:rPr>
        <w:fldChar w:fldCharType="end"/>
      </w:r>
      <w:r w:rsidRPr="00F808A1">
        <w:rPr>
          <w:rFonts w:ascii="Times" w:eastAsia="Times" w:hAnsi="Times" w:cs="Times"/>
          <w:sz w:val="24"/>
          <w:lang w:val="en-US"/>
        </w:rPr>
        <w:t xml:space="preserve">. </w:t>
      </w:r>
      <w:r w:rsidRPr="0002130C">
        <w:rPr>
          <w:rFonts w:ascii="Times" w:eastAsia="Times" w:hAnsi="Times" w:cs="Times"/>
          <w:sz w:val="24"/>
          <w:lang w:val="en-US"/>
        </w:rPr>
        <w:t>Wound infection is one of the most challenging aspects of wound management and a major contributor to healthcare costs worldwide. Nonetheless we a</w:t>
      </w:r>
      <w:r>
        <w:rPr>
          <w:rFonts w:ascii="Times" w:eastAsia="Times" w:hAnsi="Times" w:cs="Times"/>
          <w:sz w:val="24"/>
          <w:lang w:val="en-US"/>
        </w:rPr>
        <w:t>re</w:t>
      </w:r>
      <w:r w:rsidRPr="0002130C">
        <w:rPr>
          <w:rFonts w:ascii="Times" w:eastAsia="Times" w:hAnsi="Times" w:cs="Times"/>
          <w:sz w:val="24"/>
          <w:lang w:val="en-US"/>
        </w:rPr>
        <w:t xml:space="preserve"> missing robust data about infectious complications of </w:t>
      </w:r>
      <w:r>
        <w:rPr>
          <w:rFonts w:ascii="Times" w:eastAsia="Times" w:hAnsi="Times" w:cs="Times"/>
          <w:sz w:val="24"/>
          <w:lang w:val="en-US"/>
        </w:rPr>
        <w:t xml:space="preserve">SSc-related DUs </w:t>
      </w:r>
      <w:r w:rsidRPr="0002130C">
        <w:rPr>
          <w:rFonts w:ascii="Times" w:eastAsia="Times" w:hAnsi="Times" w:cs="Times"/>
          <w:sz w:val="24"/>
          <w:lang w:val="en-US"/>
        </w:rPr>
        <w:t>and about the impact of infection on DUs’ healing</w:t>
      </w:r>
      <w:r w:rsidRPr="0002130C">
        <w:rPr>
          <w:rFonts w:ascii="Times" w:eastAsia="Times" w:hAnsi="Times" w:cs="Times"/>
          <w:b/>
          <w:sz w:val="24"/>
          <w:lang w:val="en-US"/>
        </w:rPr>
        <w:t xml:space="preserve"> </w:t>
      </w:r>
      <w:r w:rsidRPr="0002130C">
        <w:rPr>
          <w:rFonts w:ascii="Times" w:eastAsia="Times" w:hAnsi="Times" w:cs="Times"/>
          <w:b/>
          <w:sz w:val="24"/>
          <w:lang w:val="en-US"/>
        </w:rPr>
        <w:fldChar w:fldCharType="begin" w:fldLock="1"/>
      </w:r>
      <w:r w:rsidR="002D7AE7">
        <w:rPr>
          <w:rFonts w:ascii="Times" w:eastAsia="Times" w:hAnsi="Times" w:cs="Times"/>
          <w:b/>
          <w:sz w:val="24"/>
          <w:lang w:val="en-US"/>
        </w:rPr>
        <w:instrText>ADDIN CSL_CITATION {"citationItems":[{"id":"ITEM-1","itemData":{"DOI":"10.1186/s13075-019-2080-y","ISSN":"14786362","abstract":"Background: To determine the frequency and clinical characteristics of systemic sclerosis-related digital ulcers, and associated direct health care costs, quality of life, and survival. Methods: Digital ulcers (DUs) were defined as an area with a visually discernible depth and a loss of continuity of epithelial coverage. DU severity was calculated based on the physician reported highest number of new DUs at clinical review (mild = 1-5 DUs, moderate 6-10 DUs, severe &gt; 10 DUs). Healthcare use was captured through data linkage, wherein SSc clinical data captured prospectively in a dedicated clinical database were linked with health services databases to capture hospital admissions, emergency department (ED) presentations and ambulatory care (MBS) utilization and cost for the period 2008-2015. Healthcare cost determinants were estimated using logistic regression. Results: Among 1085 SSc patients, 48.6% experienced a DU over a mean follow-up of 5.2 ± 2.5 years. Those who developed DUs were more likely to have diffuse disease subtype (34.9% vs 18.2%, p &lt; 0.001), anti-Scl-70 antibody (18.9% vs 9.3%, p &lt; 0.001), and a younger age at SSc onset (43.6 ± 13.9 vs 48.8 ± 14.0 years, p &lt; 0.001) in addition to reduced health-related quality of life (HRQoL) measured by the SF-36 but without a significant impact on survival. SSc patients with a history of a DU utilized significantly more healthcare resources per annum than those without a DU, including hospitalizations, ED presentation, and ambulatory care services. Total healthcare services, excluding medications, were associated with an annual excess cost per DU patient of AUD$12,474 (8574-25,677), p &lt; 0.001, driven by hospital admission and ED presentation costs. Conclusion: DUs place a large burden on the patient and healthcare system through reduced HRQoL and increased healthcare resource utilization and associated cost.","author":[{"dropping-particle":"","family":"Morrisroe","given":"Kathleen","non-dropping-particle":"","parse-names":false,"suffix":""},{"dropping-particle":"","family":"Stevens","given":"Wendy","non-dropping-particle":"","parse-names":false,"suffix":""},{"dropping-particle":"","family":"Sahhar","given":"Joanne","non-dropping-particle":"","parse-names":false,"suffix":""},{"dropping-particle":"","family":"Ngian","given":"Gene Siew","non-dropping-particle":"","parse-names":false,"suffix":""},{"dropping-particle":"","family":"Ferdowsi","given":"Nava","non-dropping-particle":"","parse-names":false,"suffix":""},{"dropping-particle":"","family":"Hill","given":"Catherine L.","non-dropping-particle":"","parse-names":false,"suffix":""},{"dropping-particle":"","family":"Roddy","given":"Janet","non-dropping-particle":"","parse-names":false,"suffix":""},{"dropping-particle":"","family":"Walker","given":"Jennifer","non-dropping-particle":"","parse-names":false,"suffix":""},{"dropping-particle":"","family":"Proudman","given":"Susanna","non-dropping-particle":"","parse-names":false,"suffix":""},{"dropping-particle":"","family":"Nikpour","given":"Mandana","non-dropping-particle":"","parse-names":false,"suffix":""}],"container-title":"Arthritis Research and Therapy","id":"ITEM-1","issue":"1","issued":{"date-parts":[["2019","12","23"]]},"publisher":"BioMed Central Ltd.","title":"Digital ulcers in systemic sclerosis: Their epidemiology, clinical characteristics, and associated clinical and economic burden","type":"article-journal","volume":"21"},"uris":["http://www.mendeley.com/documents/?uuid=e114b003-69eb-3b5d-b431-43989e5c661d"]},{"id":"ITEM-2","itemData":{"DOI":"10.1136/annrheumdis-2015-208121","ISSN":"14682060","PMID":"26612339","abstract":"OBJECTIVES: Digital ulcers (DUs) occur in up to half of patients with systemic sclerosis (SSc) and may lead to infection, gangrene and amputation with functional disability and reduced quality of life. This study has elucidated the burden of SSc-associated DUs through identification of four patient categories based on the pattern of DU recurrence over a 2-year observation period.\nMETHODS: Patients with SSc-associated DUs enrolled in the Digital Ulcers Outcome Registry between 1 April 2008 and 19 November 2013, and with ≥2 years of observation and ≥3 follow-up visits during the observation period were analysed. Incident DU-associated complications were recorded during follow-up. Work and daily activity impairment were measured using a functional assessment questionnaire completed by patients after the observation period. Potential factors that could predict incident complications were identified in patients with chronic DUs.\nRESULTS: From 1459 patients, four DU occurrence categories were identified: 33.2% no-DU; 9.4% episodic; 46.2% recurrent; 11.2% chronic. During the observation period, patients from the chronic category had the highest rate of incident complications, highest work impairment and greatest need for help compared with the other categories. Independent factors associated with incident complications included gastrointestinal manifestations (OR 3.73, p=0.03) and previous soft tissue infection (OR 5.86, p=0.01).\nCONCLUSIONS: This proposed novel categorisation of patients with SSc-associated DUs based on the occurrence of DUs over time may help to identify patients in the clinic with a heavier DU burden who could benefit from more complex management to improve their functioning and quality of life.","author":[{"dropping-particle":"","family":"Matucci-Cerinic","given":"Marco","non-dropping-particle":"","parse-names":false,"suffix":""},{"dropping-particle":"","family":"Krieg","given":"Thomas","non-dropping-particle":"","parse-names":false,"suffix":""},{"dropping-particle":"","family":"Guillevin","given":"Loic","non-dropping-particle":"","parse-names":false,"suffix":""},{"dropping-particle":"","family":"Schwierin","given":"Barbara","non-dropping-particle":"","parse-names":false,"suffix":""},{"dropping-particle":"","family":"Rosenberg","given":"Daniel","non-dropping-particle":"","parse-names":false,"suffix":""},{"dropping-particle":"","family":"Cornelisse","given":"Peter","non-dropping-particle":"","parse-names":false,"suffix":""},{"dropping-particle":"","family":"Denton","given":"Christopher P.","non-dropping-particle":"","parse-names":false,"suffix":""}],"container-title":"Annals of the rheumatic diseases","id":"ITEM-2","issue":"10","issued":{"date-parts":[["2016","10","1"]]},"page":"1770-1776","title":"Elucidating the burden of recurrent and chronic digital ulcers in systemic sclerosis: long-term results from the DUO Registry","type":"article-journal","volume":"75"},"uris":["http://www.mendeley.com/documents/?uuid=e354c070-7d9f-3885-b021-3ee89913bfab"]}],"mendeley":{"formattedCitation":"&lt;sup&gt;15,16&lt;/sup&gt;","plainTextFormattedCitation":"15,16","previouslyFormattedCitation":"&lt;sup&gt;15,16&lt;/sup&gt;"},"properties":{"noteIndex":0},"schema":"https://github.com/citation-style-language/schema/raw/master/csl-citation.json"}</w:instrText>
      </w:r>
      <w:r w:rsidRPr="0002130C">
        <w:rPr>
          <w:rFonts w:ascii="Times" w:eastAsia="Times" w:hAnsi="Times" w:cs="Times"/>
          <w:b/>
          <w:sz w:val="24"/>
          <w:lang w:val="en-US"/>
        </w:rPr>
        <w:fldChar w:fldCharType="separate"/>
      </w:r>
      <w:r w:rsidR="002D7AE7" w:rsidRPr="002D7AE7">
        <w:rPr>
          <w:rFonts w:ascii="Times" w:eastAsia="Times" w:hAnsi="Times" w:cs="Times"/>
          <w:noProof/>
          <w:sz w:val="24"/>
          <w:vertAlign w:val="superscript"/>
          <w:lang w:val="en-US"/>
        </w:rPr>
        <w:t>15,16</w:t>
      </w:r>
      <w:r w:rsidRPr="0002130C">
        <w:rPr>
          <w:rFonts w:ascii="Times" w:eastAsia="Times" w:hAnsi="Times" w:cs="Times"/>
          <w:b/>
          <w:sz w:val="24"/>
          <w:lang w:val="en-US"/>
        </w:rPr>
        <w:fldChar w:fldCharType="end"/>
      </w:r>
      <w:r w:rsidRPr="00573082">
        <w:rPr>
          <w:rFonts w:ascii="Times" w:eastAsia="Times" w:hAnsi="Times" w:cs="Times"/>
          <w:b/>
          <w:sz w:val="24"/>
          <w:lang w:val="en-US"/>
        </w:rPr>
        <w:t xml:space="preserve">. </w:t>
      </w:r>
      <w:r w:rsidRPr="0002130C">
        <w:rPr>
          <w:rFonts w:ascii="Times" w:eastAsia="Times" w:hAnsi="Times" w:cs="Times"/>
          <w:sz w:val="24"/>
          <w:lang w:val="en-US"/>
        </w:rPr>
        <w:t xml:space="preserve">Exogenous microorganism could be spread by the environment, by health care personnel during dressing, by contaminated medical equipment or even by the patient him/herself.  In 2012 we reported </w:t>
      </w:r>
      <w:r w:rsidRPr="0002130C">
        <w:rPr>
          <w:rFonts w:ascii="Times" w:eastAsia="Times" w:hAnsi="Times" w:cs="Times"/>
          <w:sz w:val="24"/>
          <w:lang w:val="en-US"/>
        </w:rPr>
        <w:fldChar w:fldCharType="begin" w:fldLock="1"/>
      </w:r>
      <w:r w:rsidR="002D7AE7">
        <w:rPr>
          <w:rFonts w:ascii="Times" w:eastAsia="Times" w:hAnsi="Times" w:cs="Times"/>
          <w:sz w:val="24"/>
          <w:lang w:val="en-US"/>
        </w:rPr>
        <w:instrText>ADDIN CSL_CITATION {"citationItems":[{"id":"ITEM-1","itemData":{"DOI":"10.1002/acr.20673","ISSN":"00043591","abstract":"Digital ulcers represent one of the most frequent complications of systemic sclerosis (SSc; scleroderma); they are very painful, scarcely responsive to treatment, and often responsible for marked limitations on daily activities, including patient self-care. Infectious complications may severely compromise the outcome of skin lesions in a significant percentage of patients. Numerous pathogens of different origin may be involved, including bacteria from patient endogenous flora. Here we evaluated the possible involvement of fecal pathogens in scleroderma digital ulcers. Methods. Among a series of 82 SSc patients with digital ulcers, we retrospectively analyzed 42 subjects with clinical signs of local bacterial infection. All digital ulcers with suspected infection have been investigated by microbiologic examinations. Results. Bacterial infection was confirmed in all 42 patients investigated; in particular, Staphylococcus aureus were the most frequently found (50%). Interestingly, 11 (26%) of 42 patients showed digital ulcers infected with intestinal bacteria; specifically, 7 patients were positive for Escherichia coli and 4 for Enterococcus faecalis. Diffuse cutaneous SSc patients were more numerous in this subgroup versus the other 31 patients (Fisher's P= 0.011). Conclusion. A number of effective measures involving health care personnel and hospital environment are essential in the management of digital ulcers and prevention of infectious complications. In addition, the prevalence of fecal pathogens in one-quarter of cases, never reported previously, suggests an important role of a patient's self-care limitations, mainly during intercurrent home medications. Consequently, methodical education on hand hygiene of both patients and relatives, frequently involved in ulcer medications, is mandatory to avoid such deleterious complications. © 2012, American College of Rheumatology.","author":[{"dropping-particle":"","family":"Giuggioli","given":"Dilia","non-dropping-particle":"","parse-names":false,"suffix":""},{"dropping-particle":"","family":"Manfredi","given":"Andreina","non-dropping-particle":"","parse-names":false,"suffix":""},{"dropping-particle":"","family":"Colaci","given":"Michele","non-dropping-particle":"","parse-names":false,"suffix":""},{"dropping-particle":"","family":"Lumetti","given":"Federica","non-dropping-particle":"","parse-names":false,"suffix":""},{"dropping-particle":"","family":"Ferri","given":"Clodoveo","non-dropping-particle":"","parse-names":false,"suffix":""}],"container-title":"Arthritis Care and Research","id":"ITEM-1","issue":"2","issued":{"date-parts":[["2012","2"]]},"page":"295-297","title":"Scleroderma digital ulcers complicated by infection with fecal pathogens","type":"article-journal","volume":"64"},"uris":["http://www.mendeley.com/documents/?uuid=921beb7e-8042-3871-9a43-b3e4e258bc2c"]}],"mendeley":{"formattedCitation":"&lt;sup&gt;5&lt;/sup&gt;","plainTextFormattedCitation":"5","previouslyFormattedCitation":"&lt;sup&gt;5&lt;/sup&gt;"},"properties":{"noteIndex":0},"schema":"https://github.com/citation-style-language/schema/raw/master/csl-citation.json"}</w:instrText>
      </w:r>
      <w:r w:rsidRPr="0002130C">
        <w:rPr>
          <w:rFonts w:ascii="Times" w:eastAsia="Times" w:hAnsi="Times" w:cs="Times"/>
          <w:sz w:val="24"/>
          <w:lang w:val="en-US"/>
        </w:rPr>
        <w:fldChar w:fldCharType="separate"/>
      </w:r>
      <w:r w:rsidR="00822B4E" w:rsidRPr="00822B4E">
        <w:rPr>
          <w:rFonts w:ascii="Times" w:eastAsia="Times" w:hAnsi="Times" w:cs="Times"/>
          <w:noProof/>
          <w:sz w:val="24"/>
          <w:vertAlign w:val="superscript"/>
          <w:lang w:val="en-US"/>
        </w:rPr>
        <w:t>5</w:t>
      </w:r>
      <w:r w:rsidRPr="0002130C">
        <w:rPr>
          <w:rFonts w:ascii="Times" w:eastAsia="Times" w:hAnsi="Times" w:cs="Times"/>
          <w:sz w:val="24"/>
          <w:lang w:val="en-US"/>
        </w:rPr>
        <w:fldChar w:fldCharType="end"/>
      </w:r>
      <w:r w:rsidRPr="0002130C">
        <w:rPr>
          <w:rFonts w:ascii="Times" w:eastAsia="Times" w:hAnsi="Times" w:cs="Times"/>
          <w:sz w:val="24"/>
          <w:lang w:val="en-US"/>
        </w:rPr>
        <w:t xml:space="preserve"> that  fecal pathogens were found to be present in 26% of SSc</w:t>
      </w:r>
      <w:r>
        <w:rPr>
          <w:rFonts w:ascii="Times" w:eastAsia="Times" w:hAnsi="Times" w:cs="Times"/>
          <w:sz w:val="24"/>
          <w:lang w:val="en-US"/>
        </w:rPr>
        <w:t xml:space="preserve">-related </w:t>
      </w:r>
      <w:r w:rsidRPr="0002130C">
        <w:rPr>
          <w:rFonts w:ascii="Times" w:eastAsia="Times" w:hAnsi="Times" w:cs="Times"/>
          <w:sz w:val="24"/>
          <w:lang w:val="en-US"/>
        </w:rPr>
        <w:t>DU</w:t>
      </w:r>
      <w:r>
        <w:rPr>
          <w:rFonts w:ascii="Times" w:eastAsia="Times" w:hAnsi="Times" w:cs="Times"/>
          <w:sz w:val="24"/>
          <w:lang w:val="en-US"/>
        </w:rPr>
        <w:t>s</w:t>
      </w:r>
      <w:r w:rsidRPr="0002130C">
        <w:rPr>
          <w:rFonts w:ascii="Times" w:eastAsia="Times" w:hAnsi="Times" w:cs="Times"/>
          <w:sz w:val="24"/>
          <w:lang w:val="en-US"/>
        </w:rPr>
        <w:t xml:space="preserve"> infections but </w:t>
      </w:r>
      <w:r>
        <w:rPr>
          <w:rFonts w:ascii="Times" w:eastAsia="Times" w:hAnsi="Times" w:cs="Times"/>
          <w:sz w:val="24"/>
          <w:lang w:val="en-US"/>
        </w:rPr>
        <w:t>in the present paper we reported a</w:t>
      </w:r>
      <w:r w:rsidRPr="0002130C">
        <w:rPr>
          <w:rFonts w:ascii="Times" w:eastAsia="Times" w:hAnsi="Times" w:cs="Times"/>
          <w:sz w:val="24"/>
          <w:lang w:val="en-US"/>
        </w:rPr>
        <w:t xml:space="preserve"> prevalence of just the 15% (E. Coli + E. </w:t>
      </w:r>
      <w:r w:rsidR="005F1047">
        <w:rPr>
          <w:rFonts w:ascii="Times" w:eastAsia="Times" w:hAnsi="Times" w:cs="Times"/>
          <w:sz w:val="24"/>
          <w:lang w:val="en-US"/>
        </w:rPr>
        <w:t>Faecalis)</w:t>
      </w:r>
      <w:r w:rsidRPr="0002130C">
        <w:rPr>
          <w:rFonts w:ascii="Times" w:eastAsia="Times" w:hAnsi="Times" w:cs="Times"/>
          <w:sz w:val="24"/>
          <w:lang w:val="en-US"/>
        </w:rPr>
        <w:t>. Those new data are particularly intriguing because from 2012 we have been training our patients with prominent attention to h</w:t>
      </w:r>
      <w:r w:rsidR="006D7791">
        <w:rPr>
          <w:rFonts w:ascii="Times" w:eastAsia="Times" w:hAnsi="Times" w:cs="Times"/>
          <w:sz w:val="24"/>
          <w:lang w:val="en-US"/>
        </w:rPr>
        <w:t>and</w:t>
      </w:r>
      <w:r w:rsidR="005F1047">
        <w:rPr>
          <w:rFonts w:ascii="Times" w:eastAsia="Times" w:hAnsi="Times" w:cs="Times"/>
          <w:sz w:val="24"/>
          <w:lang w:val="en-US"/>
        </w:rPr>
        <w:t xml:space="preserve"> </w:t>
      </w:r>
      <w:r w:rsidRPr="0002130C">
        <w:rPr>
          <w:rFonts w:ascii="Times" w:eastAsia="Times" w:hAnsi="Times" w:cs="Times"/>
          <w:sz w:val="24"/>
          <w:lang w:val="en-US"/>
        </w:rPr>
        <w:t>hygiene. We strongly recommended the use of individual protection devices as disposable gloves or sterile dressing for self-medication. Those precautions have probably caused a reduction in some pathogens favoring ubiquitous ones like S. Aureus. Th</w:t>
      </w:r>
      <w:r>
        <w:rPr>
          <w:rFonts w:ascii="Times" w:eastAsia="Times" w:hAnsi="Times" w:cs="Times"/>
          <w:sz w:val="24"/>
          <w:lang w:val="en-US"/>
        </w:rPr>
        <w:t>e</w:t>
      </w:r>
      <w:r w:rsidRPr="0002130C">
        <w:rPr>
          <w:rFonts w:ascii="Times" w:eastAsia="Times" w:hAnsi="Times" w:cs="Times"/>
          <w:sz w:val="24"/>
          <w:lang w:val="en-US"/>
        </w:rPr>
        <w:t>s</w:t>
      </w:r>
      <w:r>
        <w:rPr>
          <w:rFonts w:ascii="Times" w:eastAsia="Times" w:hAnsi="Times" w:cs="Times"/>
          <w:sz w:val="24"/>
          <w:lang w:val="en-US"/>
        </w:rPr>
        <w:t>e</w:t>
      </w:r>
      <w:r w:rsidRPr="0002130C">
        <w:rPr>
          <w:rFonts w:ascii="Times" w:eastAsia="Times" w:hAnsi="Times" w:cs="Times"/>
          <w:sz w:val="24"/>
          <w:lang w:val="en-US"/>
        </w:rPr>
        <w:t xml:space="preserve"> Gram-positive bacteria is the most frequently isolated pathogen (followed by P. Aeruginosa and S. Epide</w:t>
      </w:r>
      <w:r w:rsidR="005F1047">
        <w:rPr>
          <w:rFonts w:ascii="Times" w:eastAsia="Times" w:hAnsi="Times" w:cs="Times"/>
          <w:sz w:val="24"/>
          <w:lang w:val="en-US"/>
        </w:rPr>
        <w:t>r</w:t>
      </w:r>
      <w:r w:rsidRPr="0002130C">
        <w:rPr>
          <w:rFonts w:ascii="Times" w:eastAsia="Times" w:hAnsi="Times" w:cs="Times"/>
          <w:sz w:val="24"/>
          <w:lang w:val="en-US"/>
        </w:rPr>
        <w:t>midis) particularly in patients on immunosuppressive therapy (m</w:t>
      </w:r>
      <w:r>
        <w:rPr>
          <w:rFonts w:ascii="Times" w:eastAsia="Times" w:hAnsi="Times" w:cs="Times"/>
          <w:sz w:val="24"/>
          <w:lang w:val="en-US"/>
        </w:rPr>
        <w:t>y</w:t>
      </w:r>
      <w:r w:rsidRPr="0002130C">
        <w:rPr>
          <w:rFonts w:ascii="Times" w:eastAsia="Times" w:hAnsi="Times" w:cs="Times"/>
          <w:sz w:val="24"/>
          <w:lang w:val="en-US"/>
        </w:rPr>
        <w:t>co</w:t>
      </w:r>
      <w:r>
        <w:rPr>
          <w:rFonts w:ascii="Times" w:eastAsia="Times" w:hAnsi="Times" w:cs="Times"/>
          <w:sz w:val="24"/>
          <w:lang w:val="en-US"/>
        </w:rPr>
        <w:t>phe</w:t>
      </w:r>
      <w:r w:rsidRPr="0002130C">
        <w:rPr>
          <w:rFonts w:ascii="Times" w:eastAsia="Times" w:hAnsi="Times" w:cs="Times"/>
          <w:sz w:val="24"/>
          <w:lang w:val="en-US"/>
        </w:rPr>
        <w:t xml:space="preserve">nolate mofetil, anti-CD 20 antibodies, azathioprine). In our database, MRSA constitute the 6% of every infection, are responsible for the 100% of our pathogen-resistant infection and are related with multiple/recurrent DUs and subsequent history of hospitalizations. </w:t>
      </w:r>
      <w:r>
        <w:rPr>
          <w:rFonts w:ascii="Times" w:eastAsia="Times" w:hAnsi="Times" w:cs="Times"/>
          <w:sz w:val="24"/>
          <w:lang w:val="en-US"/>
        </w:rPr>
        <w:t>Anyway, f</w:t>
      </w:r>
      <w:r w:rsidRPr="0002130C">
        <w:rPr>
          <w:rFonts w:ascii="Times" w:eastAsia="Times" w:hAnsi="Times" w:cs="Times"/>
          <w:sz w:val="24"/>
          <w:lang w:val="en-US"/>
        </w:rPr>
        <w:t>urther studies are needed to better understand the role of resistant bacteria in DUs infections</w:t>
      </w:r>
      <w:r>
        <w:rPr>
          <w:rFonts w:ascii="Times" w:eastAsia="Times" w:hAnsi="Times" w:cs="Times"/>
          <w:sz w:val="24"/>
          <w:lang w:val="en-US"/>
        </w:rPr>
        <w:t xml:space="preserve">. </w:t>
      </w:r>
    </w:p>
    <w:p w14:paraId="08789106" w14:textId="5200804A" w:rsidR="00703CF5" w:rsidRDefault="00703CF5" w:rsidP="00703CF5">
      <w:pPr>
        <w:spacing w:after="0"/>
        <w:jc w:val="both"/>
        <w:rPr>
          <w:rFonts w:ascii="Times" w:eastAsia="Times" w:hAnsi="Times" w:cs="Times"/>
          <w:sz w:val="24"/>
          <w:lang w:val="en-US"/>
        </w:rPr>
      </w:pPr>
      <w:r w:rsidRPr="0002130C">
        <w:rPr>
          <w:rFonts w:ascii="Times" w:eastAsia="Times" w:hAnsi="Times" w:cs="Times"/>
          <w:sz w:val="24"/>
          <w:lang w:val="en-US"/>
        </w:rPr>
        <w:t xml:space="preserve">We are still lacking of validated DUs’ management guidelines </w:t>
      </w:r>
      <w:r>
        <w:rPr>
          <w:rFonts w:ascii="Times" w:eastAsia="Times" w:hAnsi="Times" w:cs="Times"/>
          <w:sz w:val="24"/>
          <w:lang w:val="en-US"/>
        </w:rPr>
        <w:t>with particular regard to those who became infected. W</w:t>
      </w:r>
      <w:r w:rsidRPr="0002130C">
        <w:rPr>
          <w:rFonts w:ascii="Times" w:eastAsia="Times" w:hAnsi="Times" w:cs="Times"/>
          <w:sz w:val="24"/>
          <w:lang w:val="en-US"/>
        </w:rPr>
        <w:t xml:space="preserve">e believe that the therapeutic approach of SSc-related DUs should be invariably patient-tailored on the basis of both general clinical conditions and careful evaluation of single skin wound. In particular, a correct therapeutical strategy should always be preceded by the assessment of each DUs, the presence of possible subclinical local complications (infections, osteomyelitis, gangrene), and/or comorbidities (district macrovascular involvement, diabetes, and other systemic </w:t>
      </w:r>
      <w:r w:rsidRPr="0002130C">
        <w:rPr>
          <w:rFonts w:ascii="Times" w:eastAsia="Times" w:hAnsi="Times" w:cs="Times"/>
          <w:sz w:val="24"/>
          <w:lang w:val="en-US"/>
        </w:rPr>
        <w:lastRenderedPageBreak/>
        <w:t xml:space="preserve">disorders) </w:t>
      </w:r>
      <w:r w:rsidRPr="0002130C">
        <w:rPr>
          <w:rFonts w:ascii="Times" w:eastAsia="Times" w:hAnsi="Times" w:cs="Times"/>
          <w:sz w:val="24"/>
          <w:lang w:val="en-US"/>
        </w:rPr>
        <w:fldChar w:fldCharType="begin" w:fldLock="1"/>
      </w:r>
      <w:r w:rsidR="002D7AE7">
        <w:rPr>
          <w:rFonts w:ascii="Times" w:eastAsia="Times" w:hAnsi="Times" w:cs="Times"/>
          <w:sz w:val="24"/>
          <w:lang w:val="en-US"/>
        </w:rPr>
        <w:instrText>ADDIN CSL_CITATION {"citationItems":[{"id":"ITEM-1","itemData":{"DOI":"10.1093/rheumatology/kew047","ISSN":"14620332","abstract":"Digital ulcers (DUs) are a common visible manifestation of the progressive vascular disease that characterizes the SSc disease process. DUs not only impact significantly on patients' quality of life and hand function, but are also a biomarker of internal organ involvement and of disease severity. The aetiology of (digital) vascular disease in SSc is multifactorial, and many of these factors are potentially amenable to therapeutic intervention. The management of DU disease in SSc is multifaceted. Patient education and non-pharmacological interventions (e.g. smoking cessation) should not be neglected. There are a number of drug therapies available to prevent (e.g. phosphodiesterase type-5 inhibitors and ET receptor-1 antagonists) and treat (e.g. i.v. iloprost) DUs. DUs are also important for two other reasons: firstly, as a primary end point in SSc-related clinical trials; and secondly, DUs are included in the ACR/EULAR SSc classification criteria. However, the reliability of rheumatologists to grade DUs is poor to moderate at best, and this poses challenges in both clinical practice and research. The purpose of this review is to provide the reader with a description of the spectrum of DU disease in SSc including pathophysiology, epidemiology and clinical burden, all of which inform the multifaceted approach to management.","author":[{"dropping-particle":"","family":"Hughes","given":"Michael","non-dropping-particle":"","parse-names":false,"suffix":""},{"dropping-particle":"","family":"Herrick","given":"Ariane L.","non-dropping-particle":"","parse-names":false,"suffix":""}],"container-title":"Rheumatology (Oxford, England)","id":"ITEM-1","issue":"1","issued":{"date-parts":[["2017","1","1"]]},"page":"14-25","title":"Digital ulcers in systemic sclerosis","type":"article","volume":"56"},"uris":["http://www.mendeley.com/documents/?uuid=4bc5da7b-512a-3624-abe3-a4536d4d231a"]}],"mendeley":{"formattedCitation":"&lt;sup&gt;17&lt;/sup&gt;","plainTextFormattedCitation":"17","previouslyFormattedCitation":"&lt;sup&gt;17&lt;/sup&gt;"},"properties":{"noteIndex":0},"schema":"https://github.com/citation-style-language/schema/raw/master/csl-citation.json"}</w:instrText>
      </w:r>
      <w:r w:rsidRPr="0002130C">
        <w:rPr>
          <w:rFonts w:ascii="Times" w:eastAsia="Times" w:hAnsi="Times" w:cs="Times"/>
          <w:sz w:val="24"/>
          <w:lang w:val="en-US"/>
        </w:rPr>
        <w:fldChar w:fldCharType="separate"/>
      </w:r>
      <w:r w:rsidR="002D7AE7" w:rsidRPr="002D7AE7">
        <w:rPr>
          <w:rFonts w:ascii="Times" w:eastAsia="Times" w:hAnsi="Times" w:cs="Times"/>
          <w:noProof/>
          <w:sz w:val="24"/>
          <w:vertAlign w:val="superscript"/>
          <w:lang w:val="en-US"/>
        </w:rPr>
        <w:t>17</w:t>
      </w:r>
      <w:r w:rsidRPr="0002130C">
        <w:rPr>
          <w:rFonts w:ascii="Times" w:eastAsia="Times" w:hAnsi="Times" w:cs="Times"/>
          <w:sz w:val="24"/>
          <w:lang w:val="en-US"/>
        </w:rPr>
        <w:fldChar w:fldCharType="end"/>
      </w:r>
      <w:r w:rsidRPr="0002130C">
        <w:rPr>
          <w:rFonts w:ascii="Times" w:eastAsia="Times" w:hAnsi="Times" w:cs="Times"/>
          <w:sz w:val="24"/>
          <w:lang w:val="en-US"/>
        </w:rPr>
        <w:t xml:space="preserve">. Systemic and local treatments encompass both pathogenetic and symptomatic drugs, as well as different non-pharmacological measures. Noteworthy, chronic and procedural pain treatments using systemic and local analgesics are definitely required </w:t>
      </w:r>
      <w:r w:rsidRPr="0002130C">
        <w:rPr>
          <w:rFonts w:ascii="Times" w:eastAsia="Times" w:hAnsi="Times" w:cs="Times"/>
          <w:sz w:val="24"/>
          <w:lang w:val="en-US"/>
        </w:rPr>
        <w:fldChar w:fldCharType="begin" w:fldLock="1"/>
      </w:r>
      <w:r w:rsidR="002D7AE7">
        <w:rPr>
          <w:rFonts w:ascii="Times" w:eastAsia="Times" w:hAnsi="Times" w:cs="Times"/>
          <w:sz w:val="24"/>
          <w:lang w:val="en-US"/>
        </w:rPr>
        <w:instrText>ADDIN CSL_CITATION {"citationItems":[{"id":"ITEM-1","itemData":{"abstract":"Objective Digital ulcers (DU) may develop in half of systemic sclerosis (SSc) patients; they are often resistant to treatments. Deep wound debridement is crucial for DU healing, but very difficult to carry out without adequate procedural pain management. Here, we report the results of our experience on procedural pain management in scleroderma DU. Methods The study included 51 DU observed in 32 consecutive SSc patients; procedural pain was treated following a definite schedule: local lidocaine and prilocaine (25 mg of either agent per gram of cream, EMLA 5%) were initially used in all cases, followed by local and oral morphine, according to the severity of pain scored on a 10 cm visual analogue scale (VAS). Results At baseline, higher pain VAS was recorded in more severe (p=0.0001) and/or infected DU (p=0.0001). Good compliance to DU debridement was observed in patients with mild pain (VAS ≤4) treated with only EMLA, and in 5 cases with moderate-severe pain (VAS &gt;4) at baseline. While, the majority of DU with moderate-severe pain (34/39) needed a combined therapy with EMLA and local morphine (8/34) or with EMLA, local and oral morphine (26/34). On the whole, pain management during DU debridement required only EMLA application in 33% of cases, EMLA plus local morphine in 16%, while combined EMLA, local and oral morphine were necessary in 51%, generally with more severe and/or infected lesions. Conclusion The present study showed valuable control of procedural pain during DU debridement with sequential, combined analgesic treatment.","author":[{"dropping-particle":"","family":"Giuggioli","given":"D","non-dropping-particle":"","parse-names":false,"suffix":""},{"dropping-particle":"","family":"Manfredi","given":"A","non-dropping-particle":"","parse-names":false,"suffix":""},{"dropping-particle":"","family":"Vacchi","given":"C","non-dropping-particle":"","parse-names":false,"suffix":""},{"dropping-particle":"","family":"Sebastiani","given":"M","non-dropping-particle":"","parse-names":false,"suffix":""},{"dropping-particle":"","family":"Spinella","given":"A","non-dropping-particle":"","parse-names":false,"suffix":""},{"dropping-particle":"","family":"Ferri","given":"C","non-dropping-particle":"","parse-names":false,"suffix":""},{"dropping-particle":"","family":"Giuggioli","given":"Dilia","non-dropping-particle":"","parse-names":false,"suffix":""},{"dropping-particle":"","family":"Manfredi","given":"Andreina","non-dropping-particle":"","parse-names":false,"suffix":""},{"dropping-particle":"","family":"Vacchi","given":"Caterina","non-dropping-particle":"","parse-names":false,"suffix":""},{"dropping-particle":"","family":"Sebastiani","given":"Marco","non-dropping-particle":"","parse-names":false,"suffix":""},{"dropping-particle":"","family":"Spinella","given":"Amelia","non-dropping-particle":"","parse-names":false,"suffix":""},{"dropping-particle":"","family":"Ferri","given":"Clodoveo","non-dropping-particle":"","parse-names":false,"suffix":""}],"container-title":"Clinical and Experimental Rheumatology","id":"ITEM-1","issued":{"date-parts":[["2015"]]},"number-of-pages":"5-10","title":"Procedural pain management in the treatment of scleroderma digital ulcers Procedural pain management and scleroderma digital ulcers / D. Giuggioli et al","type":"report","volume":"33"},"uris":["http://www.mendeley.com/documents/?uuid=a3051911-dd47-3eb8-bdf9-04ee0fed84df"]},{"id":"ITEM-2","itemData":{"abstract":"Objective. To demonstrate the efficacy and safety of long-term therapy with oxycodone in severe pain of scleroderma skin ulcers. Design. Open study. Setting and Patients. Twenty-nine consecutive patients, referred to our Rheumatology Unit during 2006, affected by systemic sclerosis complicated by painful long-standing skin ulcers entered in the study. In all cases, pain was classified as severe according to World Health Organization guidelines, and oxycodone chloridrate (Oxycontin®; Mundip-harma Pharmaceuticals, Milan, Italy) was adminis-trated at the dosage of 10-20 mg twice daily for a mean period of 7.9 3.2 standard deviation months. Outcome Measures. To evaluate the efficacy and safety of opioid therapy, the following parameters were recorded at standard time intervals: visual analog scale (VAS) pain, Pittsburgh sleep quality index (PSQI), hours of sleep per night, Health Assessment Questionnaire-Disability index, analgesics use (rescue therapy), side effects, vital signs, routine laboratory assessment. Results. After 1 month of therapy, all patients experienced relief of pain (VAS decreased from 93.8 8.72 to 56.7 10.4, P &lt; 0.0001), and better quality of sleep (total hours of sleep increased from 3.68 1.28 to 5.27 0.75, P &lt; 0.0001; PSQI decreased from 9.72 3.95 to 3.37 1.04, P &lt; 0.0001). These parameters further improved after 3 months of therapy and remained stable during the follow-up; moreover, an increase of daily dosage of oxycodone was never required. The observed side effects were always transient and mild; only constipation, when present, was persistent. Conclusion. Oxycodone showed to be effective and safe in the treatment of pain due to severe sclero-derma skin ulcers; contemporarily, it markedly improved the patient's compliance to local wound care procedures.","author":[{"dropping-particle":"","family":"Giuggioli","given":"Dilia","non-dropping-particle":"","parse-names":false,"suffix":""},{"dropping-particle":"","family":"Manfredi","given":"Andreina","non-dropping-particle":"","parse-names":false,"suffix":""},{"dropping-particle":"","family":"Colaci","given":"Michele","non-dropping-particle":"","parse-names":false,"suffix":""},{"dropping-particle":"","family":"Ferri","given":"Clodoveo","non-dropping-particle":"","parse-names":false,"suffix":""}],"id":"ITEM-2","issued":{"date-parts":[["0"]]},"title":"BRIEF RESEARCH REPORT Oxycodone in the Long-Term Treatment of Chronic Pain Related to Scleroderma Skin Ulcers","type":"report"},"uris":["http://www.mendeley.com/documents/?uuid=bea56c85-1646-3801-b738-a3bffcbd485f"]},{"id":"ITEM-3","itemData":{"DOI":"10.2147/CIA.S102577","ISSN":"11781998","abstract":"Digital ulcers (DUs) are a severe and frequent clinical feature of patients with systemic sclerosis (SSc). The presence of DUs may cause severe pain and often lead to impairment of patient’s functional activities and health-related quality of life. Moreover, poor patient cooperation during the wound care procedure due to pain may be associated with a negative outcome of DU healing. Therefore, pain management has a key role in patients with SSc. These two case reports describe the effectiveness and safety of oxycodone/naloxone in patients with SSc complicated by painful chronic DUs. Such a therapy has provided pain relief and consequently an increased compliance during redressing wounds.","author":[{"dropping-particle":"","family":"Ughi","given":"Nicola","non-dropping-particle":"","parse-names":false,"suffix":""},{"dropping-particle":"","family":"Crotti","given":"Chiara","non-dropping-particle":"","parse-names":false,"suffix":""},{"dropping-particle":"","family":"Ingegnoli","given":"Francesca","non-dropping-particle":"","parse-names":false,"suffix":""}],"container-title":"Clinical Interventions in Aging","id":"ITEM-3","issued":{"date-parts":[["2016","3","14"]]},"page":"307-311","publisher":"Dove Medical Press Ltd.","title":"Effectiveness and safety of oxycodone/naloxone in the management of chronic pain in patients with systemic sclerosis with recurrent digital ulcers: Two case reports","type":"article-journal","volume":"11"},"uris":["http://www.mendeley.com/documents/?uuid=93f2f6a7-3598-3ab6-9c93-0ac8614bf053"]}],"mendeley":{"formattedCitation":"&lt;sup&gt;8,18,19&lt;/sup&gt;","plainTextFormattedCitation":"8,18,19","previouslyFormattedCitation":"&lt;sup&gt;8,18,19&lt;/sup&gt;"},"properties":{"noteIndex":0},"schema":"https://github.com/citation-style-language/schema/raw/master/csl-citation.json"}</w:instrText>
      </w:r>
      <w:r w:rsidRPr="0002130C">
        <w:rPr>
          <w:rFonts w:ascii="Times" w:eastAsia="Times" w:hAnsi="Times" w:cs="Times"/>
          <w:sz w:val="24"/>
          <w:lang w:val="en-US"/>
        </w:rPr>
        <w:fldChar w:fldCharType="separate"/>
      </w:r>
      <w:r w:rsidR="002D7AE7" w:rsidRPr="002D7AE7">
        <w:rPr>
          <w:rFonts w:ascii="Times" w:eastAsia="Times" w:hAnsi="Times" w:cs="Times"/>
          <w:noProof/>
          <w:sz w:val="24"/>
          <w:vertAlign w:val="superscript"/>
          <w:lang w:val="en-US"/>
        </w:rPr>
        <w:t>8,18,19</w:t>
      </w:r>
      <w:r w:rsidRPr="0002130C">
        <w:rPr>
          <w:rFonts w:ascii="Times" w:eastAsia="Times" w:hAnsi="Times" w:cs="Times"/>
          <w:sz w:val="24"/>
          <w:lang w:val="en-US"/>
        </w:rPr>
        <w:fldChar w:fldCharType="end"/>
      </w:r>
      <w:r w:rsidRPr="009908B2">
        <w:rPr>
          <w:rFonts w:ascii="Times" w:eastAsia="Times" w:hAnsi="Times" w:cs="Times"/>
          <w:sz w:val="24"/>
          <w:lang w:val="en-US"/>
        </w:rPr>
        <w:t xml:space="preserve">. </w:t>
      </w:r>
      <w:r w:rsidRPr="0002130C">
        <w:rPr>
          <w:rFonts w:ascii="Times" w:eastAsia="Times" w:hAnsi="Times" w:cs="Times"/>
          <w:sz w:val="24"/>
          <w:lang w:val="en-US"/>
        </w:rPr>
        <w:t xml:space="preserve">An incessant collaboration between nursing and medical team is essential to ensure appropriate DUs management and facilitate optimal wound healing. Elevated standard of health care, self-hygiene and asepsis during procedures are mandatory as well as careful surveillance of the hospital environment. Patient must be trained to pay specific attention to avoid infections, because one of the most important reservoir is the patients’ endogenous flora (pathogens from the skin, mucous membranes and gastrointestinal tract). Our data support the need of a training of patients about the use of personal protections devices and there is clearly a need for further multicentric studies </w:t>
      </w:r>
      <w:r>
        <w:rPr>
          <w:rFonts w:ascii="Times" w:eastAsia="Times" w:hAnsi="Times" w:cs="Times"/>
          <w:sz w:val="24"/>
          <w:lang w:val="en-US"/>
        </w:rPr>
        <w:t>to better comprehend</w:t>
      </w:r>
      <w:r w:rsidRPr="0002130C">
        <w:rPr>
          <w:rFonts w:ascii="Times" w:eastAsia="Times" w:hAnsi="Times" w:cs="Times"/>
          <w:sz w:val="24"/>
          <w:lang w:val="en-US"/>
        </w:rPr>
        <w:t xml:space="preserve"> the role of infections in scleroderma DUs. </w:t>
      </w:r>
    </w:p>
    <w:p w14:paraId="35F2C441" w14:textId="3D5FB02E" w:rsidR="00171B12" w:rsidRDefault="00171B12" w:rsidP="00703CF5">
      <w:pPr>
        <w:spacing w:after="0"/>
        <w:jc w:val="both"/>
        <w:rPr>
          <w:rFonts w:ascii="Times" w:eastAsia="Times" w:hAnsi="Times" w:cs="Times"/>
          <w:sz w:val="24"/>
          <w:lang w:val="en-US"/>
        </w:rPr>
      </w:pPr>
    </w:p>
    <w:p w14:paraId="02AD5EC1" w14:textId="77777777" w:rsidR="00171B12" w:rsidRDefault="00171B12" w:rsidP="00171B12">
      <w:pPr>
        <w:jc w:val="both"/>
        <w:rPr>
          <w:rFonts w:ascii="Times New Roman" w:eastAsia="Times New Roman" w:hAnsi="Times New Roman" w:cs="Times New Roman"/>
          <w:sz w:val="24"/>
          <w:lang w:val="en-US"/>
        </w:rPr>
      </w:pPr>
      <w:r>
        <w:rPr>
          <w:rFonts w:ascii="Times New Roman" w:eastAsia="Times New Roman" w:hAnsi="Times New Roman" w:cs="Times New Roman"/>
          <w:sz w:val="24"/>
          <w:lang w:val="en-US"/>
        </w:rPr>
        <w:t>CONCLUSIONS</w:t>
      </w:r>
    </w:p>
    <w:p w14:paraId="36F3F0B2" w14:textId="5460E72E" w:rsidR="00822B4E" w:rsidRDefault="00171B12" w:rsidP="00822B4E">
      <w:pPr>
        <w:spacing w:after="0"/>
        <w:jc w:val="both"/>
        <w:rPr>
          <w:rFonts w:ascii="Times" w:eastAsia="Times" w:hAnsi="Times" w:cs="Times"/>
          <w:sz w:val="24"/>
          <w:lang w:val="en-US"/>
        </w:rPr>
      </w:pPr>
      <w:r>
        <w:rPr>
          <w:rFonts w:ascii="Times New Roman" w:eastAsia="Times New Roman" w:hAnsi="Times New Roman" w:cs="Times New Roman"/>
          <w:sz w:val="24"/>
          <w:lang w:val="en-US"/>
        </w:rPr>
        <w:t>Our data support a patient-tailored approached to DUs, particularly those infected.</w:t>
      </w:r>
      <w:r>
        <w:rPr>
          <w:rFonts w:ascii="Times" w:eastAsia="Times" w:hAnsi="Times" w:cs="Times"/>
          <w:sz w:val="24"/>
          <w:lang w:val="en-US"/>
        </w:rPr>
        <w:t xml:space="preserve"> S</w:t>
      </w:r>
      <w:r w:rsidRPr="0002130C">
        <w:rPr>
          <w:rFonts w:ascii="Times" w:eastAsia="Times" w:hAnsi="Times" w:cs="Times"/>
          <w:sz w:val="24"/>
          <w:lang w:val="en-US"/>
        </w:rPr>
        <w:t xml:space="preserve">elf-hygiene and asepsis during </w:t>
      </w:r>
      <w:r>
        <w:rPr>
          <w:rFonts w:ascii="Times" w:eastAsia="Times" w:hAnsi="Times" w:cs="Times"/>
          <w:sz w:val="24"/>
          <w:lang w:val="en-US"/>
        </w:rPr>
        <w:t>dressing p</w:t>
      </w:r>
      <w:r w:rsidRPr="0002130C">
        <w:rPr>
          <w:rFonts w:ascii="Times" w:eastAsia="Times" w:hAnsi="Times" w:cs="Times"/>
          <w:sz w:val="24"/>
          <w:lang w:val="en-US"/>
        </w:rPr>
        <w:t>rocedures are mandatory</w:t>
      </w:r>
      <w:r>
        <w:rPr>
          <w:rFonts w:ascii="Times" w:eastAsia="Times" w:hAnsi="Times" w:cs="Times"/>
          <w:sz w:val="24"/>
          <w:lang w:val="en-US"/>
        </w:rPr>
        <w:t xml:space="preserve">. </w:t>
      </w:r>
      <w:r w:rsidRPr="0002130C">
        <w:rPr>
          <w:rFonts w:ascii="Times" w:eastAsia="Times" w:hAnsi="Times" w:cs="Times"/>
          <w:sz w:val="24"/>
          <w:lang w:val="en-US"/>
        </w:rPr>
        <w:t xml:space="preserve">Patient must be trained to avoid </w:t>
      </w:r>
      <w:r>
        <w:rPr>
          <w:rFonts w:ascii="Times" w:eastAsia="Times" w:hAnsi="Times" w:cs="Times"/>
          <w:sz w:val="24"/>
          <w:lang w:val="en-US"/>
        </w:rPr>
        <w:t>dangerous  behavior</w:t>
      </w:r>
      <w:r w:rsidR="00822B4E">
        <w:rPr>
          <w:rFonts w:ascii="Times" w:eastAsia="Times" w:hAnsi="Times" w:cs="Times"/>
          <w:sz w:val="24"/>
          <w:lang w:val="en-US"/>
        </w:rPr>
        <w:t>s</w:t>
      </w:r>
      <w:r>
        <w:rPr>
          <w:rFonts w:ascii="Times" w:eastAsia="Times" w:hAnsi="Times" w:cs="Times"/>
          <w:sz w:val="24"/>
          <w:lang w:val="en-US"/>
        </w:rPr>
        <w:t xml:space="preserve"> to reduce the risk of infection due to their endogenous flora, which is, based on our data, patients’ greatest reservoir. </w:t>
      </w:r>
    </w:p>
    <w:p w14:paraId="2AF760B6" w14:textId="77777777" w:rsidR="00822B4E" w:rsidRDefault="00822B4E">
      <w:pPr>
        <w:rPr>
          <w:rFonts w:ascii="Times" w:eastAsia="Times" w:hAnsi="Times" w:cs="Times"/>
          <w:sz w:val="24"/>
          <w:lang w:val="en-US"/>
        </w:rPr>
      </w:pPr>
      <w:r>
        <w:rPr>
          <w:rFonts w:ascii="Times" w:eastAsia="Times" w:hAnsi="Times" w:cs="Times"/>
          <w:sz w:val="24"/>
          <w:lang w:val="en-US"/>
        </w:rPr>
        <w:br w:type="page"/>
      </w:r>
    </w:p>
    <w:p w14:paraId="43C21C6C" w14:textId="38D7A3AF" w:rsidR="006132C3" w:rsidRDefault="00822B4E" w:rsidP="00822B4E">
      <w:pPr>
        <w:spacing w:after="0"/>
        <w:jc w:val="both"/>
        <w:rPr>
          <w:rFonts w:ascii="Times" w:eastAsia="Times" w:hAnsi="Times" w:cs="Times"/>
          <w:sz w:val="24"/>
          <w:lang w:val="en-US"/>
        </w:rPr>
      </w:pPr>
      <w:r>
        <w:rPr>
          <w:rFonts w:ascii="Times" w:eastAsia="Times" w:hAnsi="Times" w:cs="Times"/>
          <w:sz w:val="24"/>
          <w:lang w:val="en-US"/>
        </w:rPr>
        <w:lastRenderedPageBreak/>
        <w:t>References</w:t>
      </w:r>
    </w:p>
    <w:p w14:paraId="206B4ED4" w14:textId="77777777" w:rsidR="006132C3" w:rsidRPr="0002130C" w:rsidRDefault="006132C3" w:rsidP="00703CF5">
      <w:pPr>
        <w:rPr>
          <w:rFonts w:ascii="Times" w:eastAsia="Times" w:hAnsi="Times" w:cs="Times"/>
          <w:sz w:val="24"/>
          <w:lang w:val="en-US"/>
        </w:rPr>
      </w:pPr>
    </w:p>
    <w:p w14:paraId="3D2E3C07" w14:textId="4A828C95" w:rsidR="002D7AE7" w:rsidRPr="002D7AE7" w:rsidRDefault="0028535A" w:rsidP="002D7AE7">
      <w:pPr>
        <w:widowControl w:val="0"/>
        <w:autoSpaceDE w:val="0"/>
        <w:autoSpaceDN w:val="0"/>
        <w:adjustRightInd w:val="0"/>
        <w:spacing w:line="240" w:lineRule="auto"/>
        <w:ind w:left="640" w:hanging="640"/>
        <w:rPr>
          <w:rFonts w:ascii="Times New Roman" w:hAnsi="Times New Roman" w:cs="Times New Roman"/>
          <w:noProof/>
          <w:szCs w:val="24"/>
        </w:rPr>
      </w:pPr>
      <w:r>
        <w:rPr>
          <w:rFonts w:ascii="Times New Roman" w:eastAsia="Times New Roman" w:hAnsi="Times New Roman" w:cs="Times New Roman"/>
        </w:rPr>
        <w:fldChar w:fldCharType="begin" w:fldLock="1"/>
      </w:r>
      <w:r w:rsidRPr="003820EA">
        <w:rPr>
          <w:rFonts w:ascii="Times New Roman" w:eastAsia="Times New Roman" w:hAnsi="Times New Roman" w:cs="Times New Roman"/>
          <w:lang w:val="en-US"/>
        </w:rPr>
        <w:instrText xml:space="preserve">ADDIN Mendeley Bibliography CSL_BIBLIOGRAPHY </w:instrText>
      </w:r>
      <w:r>
        <w:rPr>
          <w:rFonts w:ascii="Times New Roman" w:eastAsia="Times New Roman" w:hAnsi="Times New Roman" w:cs="Times New Roman"/>
        </w:rPr>
        <w:fldChar w:fldCharType="separate"/>
      </w:r>
      <w:r w:rsidR="002D7AE7" w:rsidRPr="002D7AE7">
        <w:rPr>
          <w:rFonts w:ascii="Times New Roman" w:hAnsi="Times New Roman" w:cs="Times New Roman"/>
          <w:noProof/>
          <w:szCs w:val="24"/>
        </w:rPr>
        <w:t xml:space="preserve">1. </w:t>
      </w:r>
      <w:r w:rsidR="002D7AE7" w:rsidRPr="002D7AE7">
        <w:rPr>
          <w:rFonts w:ascii="Times New Roman" w:hAnsi="Times New Roman" w:cs="Times New Roman"/>
          <w:noProof/>
          <w:szCs w:val="24"/>
        </w:rPr>
        <w:tab/>
        <w:t xml:space="preserve">Wigley FM. Vascular Disease in Scleroderma. </w:t>
      </w:r>
      <w:r w:rsidR="002D7AE7" w:rsidRPr="002D7AE7">
        <w:rPr>
          <w:rFonts w:ascii="Times New Roman" w:hAnsi="Times New Roman" w:cs="Times New Roman"/>
          <w:i/>
          <w:iCs/>
          <w:noProof/>
          <w:szCs w:val="24"/>
        </w:rPr>
        <w:t>Clin Rev Allergy Immunol</w:t>
      </w:r>
      <w:r w:rsidR="002D7AE7" w:rsidRPr="002D7AE7">
        <w:rPr>
          <w:rFonts w:ascii="Times New Roman" w:hAnsi="Times New Roman" w:cs="Times New Roman"/>
          <w:noProof/>
          <w:szCs w:val="24"/>
        </w:rPr>
        <w:t xml:space="preserve"> 2009; 36: 150–175.</w:t>
      </w:r>
    </w:p>
    <w:p w14:paraId="31C19D8E"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2. </w:t>
      </w:r>
      <w:r w:rsidRPr="002D7AE7">
        <w:rPr>
          <w:rFonts w:ascii="Times New Roman" w:hAnsi="Times New Roman" w:cs="Times New Roman"/>
          <w:noProof/>
          <w:szCs w:val="24"/>
        </w:rPr>
        <w:tab/>
        <w:t xml:space="preserve">Cappelli L, Wigley FM. Management of Raynaud Phenomenon and Digital Ulcers in Scleroderma. </w:t>
      </w:r>
      <w:r w:rsidRPr="002D7AE7">
        <w:rPr>
          <w:rFonts w:ascii="Times New Roman" w:hAnsi="Times New Roman" w:cs="Times New Roman"/>
          <w:i/>
          <w:iCs/>
          <w:noProof/>
          <w:szCs w:val="24"/>
        </w:rPr>
        <w:t>Rheum Dis Clin North Am</w:t>
      </w:r>
      <w:r w:rsidRPr="002D7AE7">
        <w:rPr>
          <w:rFonts w:ascii="Times New Roman" w:hAnsi="Times New Roman" w:cs="Times New Roman"/>
          <w:noProof/>
          <w:szCs w:val="24"/>
        </w:rPr>
        <w:t xml:space="preserve"> 2015; 41: 419–438.</w:t>
      </w:r>
    </w:p>
    <w:p w14:paraId="6BC60F39"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3. </w:t>
      </w:r>
      <w:r w:rsidRPr="002D7AE7">
        <w:rPr>
          <w:rFonts w:ascii="Times New Roman" w:hAnsi="Times New Roman" w:cs="Times New Roman"/>
          <w:noProof/>
          <w:szCs w:val="24"/>
        </w:rPr>
        <w:tab/>
        <w:t xml:space="preserve">Giuggioli D, Manfredi A, Lumetti F, et al. Scleroderma skin ulcers definition, classification and treatment strategies our experience and review of the literature. </w:t>
      </w:r>
      <w:r w:rsidRPr="002D7AE7">
        <w:rPr>
          <w:rFonts w:ascii="Times New Roman" w:hAnsi="Times New Roman" w:cs="Times New Roman"/>
          <w:i/>
          <w:iCs/>
          <w:noProof/>
          <w:szCs w:val="24"/>
        </w:rPr>
        <w:t>Autoimmunity Reviews</w:t>
      </w:r>
      <w:r w:rsidRPr="002D7AE7">
        <w:rPr>
          <w:rFonts w:ascii="Times New Roman" w:hAnsi="Times New Roman" w:cs="Times New Roman"/>
          <w:noProof/>
          <w:szCs w:val="24"/>
        </w:rPr>
        <w:t xml:space="preserve"> 2018; 17: 155–164.</w:t>
      </w:r>
    </w:p>
    <w:p w14:paraId="2842F837"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4. </w:t>
      </w:r>
      <w:r w:rsidRPr="002D7AE7">
        <w:rPr>
          <w:rFonts w:ascii="Times New Roman" w:hAnsi="Times New Roman" w:cs="Times New Roman"/>
          <w:noProof/>
          <w:szCs w:val="24"/>
        </w:rPr>
        <w:tab/>
        <w:t xml:space="preserve">Giuggioli D, Manfredi A, Colaci M, et al. Osteomyelitis complicating scleroderma digital ulcers. </w:t>
      </w:r>
      <w:r w:rsidRPr="002D7AE7">
        <w:rPr>
          <w:rFonts w:ascii="Times New Roman" w:hAnsi="Times New Roman" w:cs="Times New Roman"/>
          <w:i/>
          <w:iCs/>
          <w:noProof/>
          <w:szCs w:val="24"/>
        </w:rPr>
        <w:t>Clin Rheumatol</w:t>
      </w:r>
      <w:r w:rsidRPr="002D7AE7">
        <w:rPr>
          <w:rFonts w:ascii="Times New Roman" w:hAnsi="Times New Roman" w:cs="Times New Roman"/>
          <w:noProof/>
          <w:szCs w:val="24"/>
        </w:rPr>
        <w:t xml:space="preserve"> 2013; 32: 623–627.</w:t>
      </w:r>
    </w:p>
    <w:p w14:paraId="2C392F39"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5. </w:t>
      </w:r>
      <w:r w:rsidRPr="002D7AE7">
        <w:rPr>
          <w:rFonts w:ascii="Times New Roman" w:hAnsi="Times New Roman" w:cs="Times New Roman"/>
          <w:noProof/>
          <w:szCs w:val="24"/>
        </w:rPr>
        <w:tab/>
        <w:t xml:space="preserve">Giuggioli D, Manfredi A, Colaci M, et al. Scleroderma digital ulcers complicated by infection with fecal pathogens. </w:t>
      </w:r>
      <w:r w:rsidRPr="002D7AE7">
        <w:rPr>
          <w:rFonts w:ascii="Times New Roman" w:hAnsi="Times New Roman" w:cs="Times New Roman"/>
          <w:i/>
          <w:iCs/>
          <w:noProof/>
          <w:szCs w:val="24"/>
        </w:rPr>
        <w:t>Arthritis Care Res</w:t>
      </w:r>
      <w:r w:rsidRPr="002D7AE7">
        <w:rPr>
          <w:rFonts w:ascii="Times New Roman" w:hAnsi="Times New Roman" w:cs="Times New Roman"/>
          <w:noProof/>
          <w:szCs w:val="24"/>
        </w:rPr>
        <w:t xml:space="preserve"> 2012; 64: 295–297.</w:t>
      </w:r>
    </w:p>
    <w:p w14:paraId="28D55DFF"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6. </w:t>
      </w:r>
      <w:r w:rsidRPr="002D7AE7">
        <w:rPr>
          <w:rFonts w:ascii="Times New Roman" w:hAnsi="Times New Roman" w:cs="Times New Roman"/>
          <w:noProof/>
          <w:szCs w:val="24"/>
        </w:rPr>
        <w:tab/>
        <w:t xml:space="preserve">Queyrel V, Hatron P-Y, Hachulla E, et al. </w:t>
      </w:r>
      <w:r w:rsidRPr="002D7AE7">
        <w:rPr>
          <w:rFonts w:ascii="Times New Roman" w:hAnsi="Times New Roman" w:cs="Times New Roman"/>
          <w:i/>
          <w:iCs/>
          <w:noProof/>
          <w:szCs w:val="24"/>
        </w:rPr>
        <w:t>Natural history of ischemic digital ulcers in systemic sclerosis: single-center</w:t>
      </w:r>
      <w:r w:rsidRPr="002D7AE7">
        <w:rPr>
          <w:rFonts w:ascii="Times New Roman" w:hAnsi="Times New Roman" w:cs="Times New Roman"/>
          <w:noProof/>
          <w:szCs w:val="24"/>
        </w:rPr>
        <w:t>, http://www.jrheum.org/content/34/12/2423http://www.jrheum.org/alerts1.SignupforTOCsandotheralertshttp://jrheum.com/faqwww.jrheum.orgwww.jrheum.orgDownloadedfrom (2007).</w:t>
      </w:r>
    </w:p>
    <w:p w14:paraId="1C83D3A2"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7. </w:t>
      </w:r>
      <w:r w:rsidRPr="002D7AE7">
        <w:rPr>
          <w:rFonts w:ascii="Times New Roman" w:hAnsi="Times New Roman" w:cs="Times New Roman"/>
          <w:noProof/>
          <w:szCs w:val="24"/>
        </w:rPr>
        <w:tab/>
        <w:t xml:space="preserve">Allanore Y, Denton CP, Krieg T, et al. Clinical characteristics and predictors of gangrene in patients with systemic sclerosis and digital ulcers in the Digital Ulcer Outcome Registry: A prospective, observational cohort. </w:t>
      </w:r>
      <w:r w:rsidRPr="002D7AE7">
        <w:rPr>
          <w:rFonts w:ascii="Times New Roman" w:hAnsi="Times New Roman" w:cs="Times New Roman"/>
          <w:i/>
          <w:iCs/>
          <w:noProof/>
          <w:szCs w:val="24"/>
        </w:rPr>
        <w:t>Annals of the Rheumatic Diseases</w:t>
      </w:r>
      <w:r w:rsidRPr="002D7AE7">
        <w:rPr>
          <w:rFonts w:ascii="Times New Roman" w:hAnsi="Times New Roman" w:cs="Times New Roman"/>
          <w:noProof/>
          <w:szCs w:val="24"/>
        </w:rPr>
        <w:t xml:space="preserve"> 2016; 75: 1736–1740.</w:t>
      </w:r>
    </w:p>
    <w:p w14:paraId="085AB915"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8. </w:t>
      </w:r>
      <w:r w:rsidRPr="002D7AE7">
        <w:rPr>
          <w:rFonts w:ascii="Times New Roman" w:hAnsi="Times New Roman" w:cs="Times New Roman"/>
          <w:noProof/>
          <w:szCs w:val="24"/>
        </w:rPr>
        <w:tab/>
        <w:t xml:space="preserve">Giuggioli D, Manfredi A, Vacchi C, et al. </w:t>
      </w:r>
      <w:r w:rsidRPr="002D7AE7">
        <w:rPr>
          <w:rFonts w:ascii="Times New Roman" w:hAnsi="Times New Roman" w:cs="Times New Roman"/>
          <w:i/>
          <w:iCs/>
          <w:noProof/>
          <w:szCs w:val="24"/>
        </w:rPr>
        <w:t>Procedural pain management in the treatment of scleroderma digital ulcers Procedural pain management and scleroderma digital ulcers / D. Giuggioli et al</w:t>
      </w:r>
      <w:r w:rsidRPr="002D7AE7">
        <w:rPr>
          <w:rFonts w:ascii="Times New Roman" w:hAnsi="Times New Roman" w:cs="Times New Roman"/>
          <w:noProof/>
          <w:szCs w:val="24"/>
        </w:rPr>
        <w:t>. 2015.</w:t>
      </w:r>
    </w:p>
    <w:p w14:paraId="1B7B1C32"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9. </w:t>
      </w:r>
      <w:r w:rsidRPr="002D7AE7">
        <w:rPr>
          <w:rFonts w:ascii="Times New Roman" w:hAnsi="Times New Roman" w:cs="Times New Roman"/>
          <w:noProof/>
          <w:szCs w:val="24"/>
        </w:rPr>
        <w:tab/>
        <w:t xml:space="preserve">Grey JE, Enoch S, Harding KG. Wound assessment. </w:t>
      </w:r>
      <w:r w:rsidRPr="002D7AE7">
        <w:rPr>
          <w:rFonts w:ascii="Times New Roman" w:hAnsi="Times New Roman" w:cs="Times New Roman"/>
          <w:i/>
          <w:iCs/>
          <w:noProof/>
          <w:szCs w:val="24"/>
        </w:rPr>
        <w:t>British Medical Journal</w:t>
      </w:r>
      <w:r w:rsidRPr="002D7AE7">
        <w:rPr>
          <w:rFonts w:ascii="Times New Roman" w:hAnsi="Times New Roman" w:cs="Times New Roman"/>
          <w:noProof/>
          <w:szCs w:val="24"/>
        </w:rPr>
        <w:t xml:space="preserve"> 2006; 332: 285–288.</w:t>
      </w:r>
    </w:p>
    <w:p w14:paraId="5CF55B2A"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10. </w:t>
      </w:r>
      <w:r w:rsidRPr="002D7AE7">
        <w:rPr>
          <w:rFonts w:ascii="Times New Roman" w:hAnsi="Times New Roman" w:cs="Times New Roman"/>
          <w:noProof/>
          <w:szCs w:val="24"/>
        </w:rPr>
        <w:tab/>
        <w:t xml:space="preserve">van den Hoogen F, Khanna D, Fransen J, et al. 2013 classification criteria for systemic sclerosis: an American College of Rheumatology/European League against Rheumatism collaborative initiative. </w:t>
      </w:r>
      <w:r w:rsidRPr="002D7AE7">
        <w:rPr>
          <w:rFonts w:ascii="Times New Roman" w:hAnsi="Times New Roman" w:cs="Times New Roman"/>
          <w:i/>
          <w:iCs/>
          <w:noProof/>
          <w:szCs w:val="24"/>
        </w:rPr>
        <w:t>Arthritis Rheum</w:t>
      </w:r>
      <w:r w:rsidRPr="002D7AE7">
        <w:rPr>
          <w:rFonts w:ascii="Times New Roman" w:hAnsi="Times New Roman" w:cs="Times New Roman"/>
          <w:noProof/>
          <w:szCs w:val="24"/>
        </w:rPr>
        <w:t xml:space="preserve"> 2013; 65: 2737–47.</w:t>
      </w:r>
    </w:p>
    <w:p w14:paraId="4BB75284"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11. </w:t>
      </w:r>
      <w:r w:rsidRPr="002D7AE7">
        <w:rPr>
          <w:rFonts w:ascii="Times New Roman" w:hAnsi="Times New Roman" w:cs="Times New Roman"/>
          <w:noProof/>
          <w:szCs w:val="24"/>
        </w:rPr>
        <w:tab/>
        <w:t xml:space="preserve">Abraham S, Steen V. Optimal management of digital ulcers in systemic sclerosis. </w:t>
      </w:r>
      <w:r w:rsidRPr="002D7AE7">
        <w:rPr>
          <w:rFonts w:ascii="Times New Roman" w:hAnsi="Times New Roman" w:cs="Times New Roman"/>
          <w:i/>
          <w:iCs/>
          <w:noProof/>
          <w:szCs w:val="24"/>
        </w:rPr>
        <w:t>Ther Clin Risk Manag</w:t>
      </w:r>
      <w:r w:rsidRPr="002D7AE7">
        <w:rPr>
          <w:rFonts w:ascii="Times New Roman" w:hAnsi="Times New Roman" w:cs="Times New Roman"/>
          <w:noProof/>
          <w:szCs w:val="24"/>
        </w:rPr>
        <w:t xml:space="preserve"> 2015; 11: 939–947.</w:t>
      </w:r>
    </w:p>
    <w:p w14:paraId="52E5803F"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12. </w:t>
      </w:r>
      <w:r w:rsidRPr="002D7AE7">
        <w:rPr>
          <w:rFonts w:ascii="Times New Roman" w:hAnsi="Times New Roman" w:cs="Times New Roman"/>
          <w:noProof/>
          <w:szCs w:val="24"/>
        </w:rPr>
        <w:tab/>
        <w:t xml:space="preserve">Sibbald RG, Schultz G, Keast DH. </w:t>
      </w:r>
      <w:r w:rsidRPr="002D7AE7">
        <w:rPr>
          <w:rFonts w:ascii="Times New Roman" w:hAnsi="Times New Roman" w:cs="Times New Roman"/>
          <w:i/>
          <w:iCs/>
          <w:noProof/>
          <w:szCs w:val="24"/>
        </w:rPr>
        <w:t>Preparing the wound BED 2003: Focus on infection and inflammation</w:t>
      </w:r>
      <w:r w:rsidRPr="002D7AE7">
        <w:rPr>
          <w:rFonts w:ascii="Times New Roman" w:hAnsi="Times New Roman" w:cs="Times New Roman"/>
          <w:noProof/>
          <w:szCs w:val="24"/>
        </w:rPr>
        <w:t>, www.nhscrd.york.ac.uk. (2003).</w:t>
      </w:r>
    </w:p>
    <w:p w14:paraId="4975D91D"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13. </w:t>
      </w:r>
      <w:r w:rsidRPr="002D7AE7">
        <w:rPr>
          <w:rFonts w:ascii="Times New Roman" w:hAnsi="Times New Roman" w:cs="Times New Roman"/>
          <w:noProof/>
          <w:szCs w:val="24"/>
        </w:rPr>
        <w:tab/>
        <w:t xml:space="preserve">Leaper DJ, Schultz G, Carville K, et al. </w:t>
      </w:r>
      <w:r w:rsidRPr="002D7AE7">
        <w:rPr>
          <w:rFonts w:ascii="Times New Roman" w:hAnsi="Times New Roman" w:cs="Times New Roman"/>
          <w:i/>
          <w:iCs/>
          <w:noProof/>
          <w:szCs w:val="24"/>
        </w:rPr>
        <w:t>Extending the TIME concept: what have we learned in the past 10 years?*</w:t>
      </w:r>
      <w:r w:rsidRPr="002D7AE7">
        <w:rPr>
          <w:rFonts w:ascii="Times New Roman" w:hAnsi="Times New Roman" w:cs="Times New Roman"/>
          <w:noProof/>
          <w:szCs w:val="24"/>
        </w:rPr>
        <w:t>. 2012.</w:t>
      </w:r>
    </w:p>
    <w:p w14:paraId="4916FA69"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14. </w:t>
      </w:r>
      <w:r w:rsidRPr="002D7AE7">
        <w:rPr>
          <w:rFonts w:ascii="Times New Roman" w:hAnsi="Times New Roman" w:cs="Times New Roman"/>
          <w:noProof/>
          <w:szCs w:val="24"/>
        </w:rPr>
        <w:tab/>
        <w:t xml:space="preserve">Mihai C, Landewé R, Van Der Heijde D, et al. Digital ulcers predict a worse disease course in patients with systemic sclerosis. </w:t>
      </w:r>
      <w:r w:rsidRPr="002D7AE7">
        <w:rPr>
          <w:rFonts w:ascii="Times New Roman" w:hAnsi="Times New Roman" w:cs="Times New Roman"/>
          <w:i/>
          <w:iCs/>
          <w:noProof/>
          <w:szCs w:val="24"/>
        </w:rPr>
        <w:t>Ann Rheum Dis</w:t>
      </w:r>
      <w:r w:rsidRPr="002D7AE7">
        <w:rPr>
          <w:rFonts w:ascii="Times New Roman" w:hAnsi="Times New Roman" w:cs="Times New Roman"/>
          <w:noProof/>
          <w:szCs w:val="24"/>
        </w:rPr>
        <w:t xml:space="preserve"> 2016; 75: 681–686.</w:t>
      </w:r>
    </w:p>
    <w:p w14:paraId="119175EC"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15. </w:t>
      </w:r>
      <w:r w:rsidRPr="002D7AE7">
        <w:rPr>
          <w:rFonts w:ascii="Times New Roman" w:hAnsi="Times New Roman" w:cs="Times New Roman"/>
          <w:noProof/>
          <w:szCs w:val="24"/>
        </w:rPr>
        <w:tab/>
        <w:t xml:space="preserve">Morrisroe K, Stevens W, Sahhar J, et al. Digital ulcers in systemic sclerosis: Their epidemiology, clinical characteristics, and associated clinical and economic burden. </w:t>
      </w:r>
      <w:r w:rsidRPr="002D7AE7">
        <w:rPr>
          <w:rFonts w:ascii="Times New Roman" w:hAnsi="Times New Roman" w:cs="Times New Roman"/>
          <w:i/>
          <w:iCs/>
          <w:noProof/>
          <w:szCs w:val="24"/>
        </w:rPr>
        <w:t>Arthritis Res Ther</w:t>
      </w:r>
      <w:r w:rsidRPr="002D7AE7">
        <w:rPr>
          <w:rFonts w:ascii="Times New Roman" w:hAnsi="Times New Roman" w:cs="Times New Roman"/>
          <w:noProof/>
          <w:szCs w:val="24"/>
        </w:rPr>
        <w:t>; 21. Epub ahead of print 23 December 2019. DOI: 10.1186/s13075-019-2080-y.</w:t>
      </w:r>
    </w:p>
    <w:p w14:paraId="1465A82B"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16. </w:t>
      </w:r>
      <w:r w:rsidRPr="002D7AE7">
        <w:rPr>
          <w:rFonts w:ascii="Times New Roman" w:hAnsi="Times New Roman" w:cs="Times New Roman"/>
          <w:noProof/>
          <w:szCs w:val="24"/>
        </w:rPr>
        <w:tab/>
        <w:t xml:space="preserve">Matucci-Cerinic M, Krieg T, Guillevin L, et al. Elucidating the burden of recurrent and chronic digital ulcers in systemic sclerosis: long-term results from the DUO Registry. </w:t>
      </w:r>
      <w:r w:rsidRPr="002D7AE7">
        <w:rPr>
          <w:rFonts w:ascii="Times New Roman" w:hAnsi="Times New Roman" w:cs="Times New Roman"/>
          <w:i/>
          <w:iCs/>
          <w:noProof/>
          <w:szCs w:val="24"/>
        </w:rPr>
        <w:t>Ann Rheum Dis</w:t>
      </w:r>
      <w:r w:rsidRPr="002D7AE7">
        <w:rPr>
          <w:rFonts w:ascii="Times New Roman" w:hAnsi="Times New Roman" w:cs="Times New Roman"/>
          <w:noProof/>
          <w:szCs w:val="24"/>
        </w:rPr>
        <w:t xml:space="preserve"> 2016; 75: 1770–1776.</w:t>
      </w:r>
    </w:p>
    <w:p w14:paraId="1AF12D66"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17. </w:t>
      </w:r>
      <w:r w:rsidRPr="002D7AE7">
        <w:rPr>
          <w:rFonts w:ascii="Times New Roman" w:hAnsi="Times New Roman" w:cs="Times New Roman"/>
          <w:noProof/>
          <w:szCs w:val="24"/>
        </w:rPr>
        <w:tab/>
        <w:t xml:space="preserve">Hughes M, Herrick AL. Digital ulcers in systemic sclerosis. </w:t>
      </w:r>
      <w:r w:rsidRPr="002D7AE7">
        <w:rPr>
          <w:rFonts w:ascii="Times New Roman" w:hAnsi="Times New Roman" w:cs="Times New Roman"/>
          <w:i/>
          <w:iCs/>
          <w:noProof/>
          <w:szCs w:val="24"/>
        </w:rPr>
        <w:t>Rheumatology (Oxford, England)</w:t>
      </w:r>
      <w:r w:rsidRPr="002D7AE7">
        <w:rPr>
          <w:rFonts w:ascii="Times New Roman" w:hAnsi="Times New Roman" w:cs="Times New Roman"/>
          <w:noProof/>
          <w:szCs w:val="24"/>
        </w:rPr>
        <w:t xml:space="preserve"> 2017; 56: 14–25.</w:t>
      </w:r>
    </w:p>
    <w:p w14:paraId="3167693D"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szCs w:val="24"/>
        </w:rPr>
      </w:pPr>
      <w:r w:rsidRPr="002D7AE7">
        <w:rPr>
          <w:rFonts w:ascii="Times New Roman" w:hAnsi="Times New Roman" w:cs="Times New Roman"/>
          <w:noProof/>
          <w:szCs w:val="24"/>
        </w:rPr>
        <w:t xml:space="preserve">18. </w:t>
      </w:r>
      <w:r w:rsidRPr="002D7AE7">
        <w:rPr>
          <w:rFonts w:ascii="Times New Roman" w:hAnsi="Times New Roman" w:cs="Times New Roman"/>
          <w:noProof/>
          <w:szCs w:val="24"/>
        </w:rPr>
        <w:tab/>
        <w:t xml:space="preserve">Giuggioli D, Manfredi A, Colaci M, et al. </w:t>
      </w:r>
      <w:r w:rsidRPr="002D7AE7">
        <w:rPr>
          <w:rFonts w:ascii="Times New Roman" w:hAnsi="Times New Roman" w:cs="Times New Roman"/>
          <w:i/>
          <w:iCs/>
          <w:noProof/>
          <w:szCs w:val="24"/>
        </w:rPr>
        <w:t>BRIEF RESEARCH REPORT Oxycodone in the Long-Term Treatment of Chronic Pain Related to Scleroderma Skin Ulcers</w:t>
      </w:r>
      <w:r w:rsidRPr="002D7AE7">
        <w:rPr>
          <w:rFonts w:ascii="Times New Roman" w:hAnsi="Times New Roman" w:cs="Times New Roman"/>
          <w:noProof/>
          <w:szCs w:val="24"/>
        </w:rPr>
        <w:t xml:space="preserve">, </w:t>
      </w:r>
      <w:r w:rsidRPr="002D7AE7">
        <w:rPr>
          <w:rFonts w:ascii="Times New Roman" w:hAnsi="Times New Roman" w:cs="Times New Roman"/>
          <w:noProof/>
          <w:szCs w:val="24"/>
        </w:rPr>
        <w:lastRenderedPageBreak/>
        <w:t>https://academic.oup.com/painmedicine/article-abstract/11/10/1500/1866040.</w:t>
      </w:r>
    </w:p>
    <w:p w14:paraId="673D1210" w14:textId="77777777" w:rsidR="002D7AE7" w:rsidRPr="002D7AE7" w:rsidRDefault="002D7AE7" w:rsidP="002D7AE7">
      <w:pPr>
        <w:widowControl w:val="0"/>
        <w:autoSpaceDE w:val="0"/>
        <w:autoSpaceDN w:val="0"/>
        <w:adjustRightInd w:val="0"/>
        <w:spacing w:line="240" w:lineRule="auto"/>
        <w:ind w:left="640" w:hanging="640"/>
        <w:rPr>
          <w:rFonts w:ascii="Times New Roman" w:hAnsi="Times New Roman" w:cs="Times New Roman"/>
          <w:noProof/>
        </w:rPr>
      </w:pPr>
      <w:r w:rsidRPr="002D7AE7">
        <w:rPr>
          <w:rFonts w:ascii="Times New Roman" w:hAnsi="Times New Roman" w:cs="Times New Roman"/>
          <w:noProof/>
          <w:szCs w:val="24"/>
        </w:rPr>
        <w:t xml:space="preserve">19. </w:t>
      </w:r>
      <w:r w:rsidRPr="002D7AE7">
        <w:rPr>
          <w:rFonts w:ascii="Times New Roman" w:hAnsi="Times New Roman" w:cs="Times New Roman"/>
          <w:noProof/>
          <w:szCs w:val="24"/>
        </w:rPr>
        <w:tab/>
        <w:t xml:space="preserve">Ughi N, Crotti C, Ingegnoli F. Effectiveness and safety of oxycodone/naloxone in the management of chronic pain in patients with systemic sclerosis with recurrent digital ulcers: Two case reports. </w:t>
      </w:r>
      <w:r w:rsidRPr="002D7AE7">
        <w:rPr>
          <w:rFonts w:ascii="Times New Roman" w:hAnsi="Times New Roman" w:cs="Times New Roman"/>
          <w:i/>
          <w:iCs/>
          <w:noProof/>
          <w:szCs w:val="24"/>
        </w:rPr>
        <w:t>Clin Interv Aging</w:t>
      </w:r>
      <w:r w:rsidRPr="002D7AE7">
        <w:rPr>
          <w:rFonts w:ascii="Times New Roman" w:hAnsi="Times New Roman" w:cs="Times New Roman"/>
          <w:noProof/>
          <w:szCs w:val="24"/>
        </w:rPr>
        <w:t xml:space="preserve"> 2016; 11: 307–311.</w:t>
      </w:r>
    </w:p>
    <w:p w14:paraId="34FE8F37" w14:textId="1249729D" w:rsidR="00703CF5" w:rsidRDefault="0028535A" w:rsidP="00703CF5">
      <w:pPr>
        <w:rPr>
          <w:rFonts w:ascii="Times New Roman" w:eastAsia="Times New Roman" w:hAnsi="Times New Roman" w:cs="Times New Roman"/>
        </w:rPr>
      </w:pPr>
      <w:r>
        <w:rPr>
          <w:rFonts w:ascii="Times New Roman" w:eastAsia="Times New Roman" w:hAnsi="Times New Roman" w:cs="Times New Roman"/>
        </w:rPr>
        <w:fldChar w:fldCharType="end"/>
      </w:r>
    </w:p>
    <w:tbl>
      <w:tblPr>
        <w:tblW w:w="6380" w:type="dxa"/>
        <w:tblLook w:val="04A0" w:firstRow="1" w:lastRow="0" w:firstColumn="1" w:lastColumn="0" w:noHBand="0" w:noVBand="1"/>
      </w:tblPr>
      <w:tblGrid>
        <w:gridCol w:w="3854"/>
        <w:gridCol w:w="823"/>
        <w:gridCol w:w="1761"/>
      </w:tblGrid>
      <w:tr w:rsidR="00703CF5" w:rsidRPr="009B1DCE" w14:paraId="50FB7D16" w14:textId="77777777" w:rsidTr="0004702C">
        <w:trPr>
          <w:trHeight w:val="360"/>
        </w:trPr>
        <w:tc>
          <w:tcPr>
            <w:tcW w:w="6380" w:type="dxa"/>
            <w:gridSpan w:val="3"/>
            <w:tcBorders>
              <w:top w:val="nil"/>
              <w:left w:val="nil"/>
              <w:bottom w:val="nil"/>
              <w:right w:val="nil"/>
            </w:tcBorders>
            <w:shd w:val="clear" w:color="000000" w:fill="FFFFFF"/>
            <w:noWrap/>
            <w:vAlign w:val="bottom"/>
            <w:hideMark/>
          </w:tcPr>
          <w:p w14:paraId="24C91370" w14:textId="77777777" w:rsidR="00703CF5" w:rsidRPr="001A3661" w:rsidRDefault="00703CF5" w:rsidP="0004702C">
            <w:pPr>
              <w:spacing w:after="0" w:line="240" w:lineRule="auto"/>
              <w:rPr>
                <w:rFonts w:ascii="Calibri" w:eastAsia="Times New Roman" w:hAnsi="Calibri" w:cs="Calibri"/>
                <w:color w:val="000000"/>
                <w:sz w:val="28"/>
                <w:szCs w:val="28"/>
                <w:lang w:val="en-US" w:eastAsia="en-US"/>
              </w:rPr>
            </w:pPr>
            <w:r w:rsidRPr="001A3661">
              <w:rPr>
                <w:rFonts w:ascii="Calibri" w:eastAsia="Times New Roman" w:hAnsi="Calibri" w:cs="Calibri"/>
                <w:color w:val="000000"/>
                <w:sz w:val="28"/>
                <w:szCs w:val="28"/>
                <w:lang w:val="en-US" w:eastAsia="en-US"/>
              </w:rPr>
              <w:t>Table 1. Clinical &amp; serological data</w:t>
            </w:r>
            <w:r>
              <w:rPr>
                <w:rFonts w:ascii="Calibri" w:eastAsia="Times New Roman" w:hAnsi="Calibri" w:cs="Calibri"/>
                <w:color w:val="000000"/>
                <w:sz w:val="28"/>
                <w:szCs w:val="28"/>
                <w:lang w:val="en-US" w:eastAsia="en-US"/>
              </w:rPr>
              <w:t xml:space="preserve"> overview</w:t>
            </w:r>
          </w:p>
        </w:tc>
      </w:tr>
      <w:tr w:rsidR="00703CF5" w:rsidRPr="009B1DCE" w14:paraId="42193FA9" w14:textId="77777777" w:rsidTr="0004702C">
        <w:trPr>
          <w:trHeight w:val="293"/>
        </w:trPr>
        <w:tc>
          <w:tcPr>
            <w:tcW w:w="3854" w:type="dxa"/>
            <w:tcBorders>
              <w:top w:val="nil"/>
              <w:left w:val="nil"/>
              <w:bottom w:val="nil"/>
              <w:right w:val="nil"/>
            </w:tcBorders>
            <w:shd w:val="clear" w:color="000000" w:fill="FFFFFF"/>
            <w:noWrap/>
            <w:vAlign w:val="bottom"/>
            <w:hideMark/>
          </w:tcPr>
          <w:p w14:paraId="5AFAA72E" w14:textId="77777777" w:rsidR="00703CF5" w:rsidRPr="001A3661" w:rsidRDefault="00703CF5" w:rsidP="0004702C">
            <w:pPr>
              <w:spacing w:after="0" w:line="240" w:lineRule="auto"/>
              <w:rPr>
                <w:rFonts w:ascii="Calibri" w:eastAsia="Times New Roman" w:hAnsi="Calibri" w:cs="Calibri"/>
                <w:color w:val="000000"/>
                <w:lang w:val="en-US" w:eastAsia="en-US"/>
              </w:rPr>
            </w:pPr>
            <w:r w:rsidRPr="001A3661">
              <w:rPr>
                <w:rFonts w:ascii="Calibri" w:eastAsia="Times New Roman" w:hAnsi="Calibri" w:cs="Calibri"/>
                <w:color w:val="000000"/>
                <w:lang w:val="en-US" w:eastAsia="en-US"/>
              </w:rPr>
              <w:t> </w:t>
            </w:r>
          </w:p>
        </w:tc>
        <w:tc>
          <w:tcPr>
            <w:tcW w:w="765" w:type="dxa"/>
            <w:tcBorders>
              <w:top w:val="nil"/>
              <w:left w:val="nil"/>
              <w:bottom w:val="nil"/>
              <w:right w:val="nil"/>
            </w:tcBorders>
            <w:shd w:val="clear" w:color="000000" w:fill="FFFFFF"/>
            <w:noWrap/>
            <w:vAlign w:val="bottom"/>
            <w:hideMark/>
          </w:tcPr>
          <w:p w14:paraId="5CEC8905" w14:textId="77777777" w:rsidR="00703CF5" w:rsidRPr="001A3661" w:rsidRDefault="00703CF5" w:rsidP="0004702C">
            <w:pPr>
              <w:spacing w:after="0" w:line="240" w:lineRule="auto"/>
              <w:jc w:val="center"/>
              <w:rPr>
                <w:rFonts w:ascii="Calibri" w:eastAsia="Times New Roman" w:hAnsi="Calibri" w:cs="Calibri"/>
                <w:color w:val="000000"/>
                <w:lang w:val="en-US" w:eastAsia="en-US"/>
              </w:rPr>
            </w:pPr>
            <w:r w:rsidRPr="001A3661">
              <w:rPr>
                <w:rFonts w:ascii="Calibri" w:eastAsia="Times New Roman" w:hAnsi="Calibri" w:cs="Calibri"/>
                <w:color w:val="000000"/>
                <w:lang w:val="en-US" w:eastAsia="en-US"/>
              </w:rPr>
              <w:t> </w:t>
            </w:r>
          </w:p>
        </w:tc>
        <w:tc>
          <w:tcPr>
            <w:tcW w:w="1761" w:type="dxa"/>
            <w:tcBorders>
              <w:top w:val="nil"/>
              <w:left w:val="nil"/>
              <w:bottom w:val="nil"/>
              <w:right w:val="nil"/>
            </w:tcBorders>
            <w:shd w:val="clear" w:color="000000" w:fill="FFFFFF"/>
            <w:noWrap/>
            <w:vAlign w:val="bottom"/>
            <w:hideMark/>
          </w:tcPr>
          <w:p w14:paraId="79516193" w14:textId="77777777" w:rsidR="00703CF5" w:rsidRPr="001A3661" w:rsidRDefault="00703CF5" w:rsidP="0004702C">
            <w:pPr>
              <w:spacing w:after="0" w:line="240" w:lineRule="auto"/>
              <w:jc w:val="center"/>
              <w:rPr>
                <w:rFonts w:ascii="Calibri" w:eastAsia="Times New Roman" w:hAnsi="Calibri" w:cs="Calibri"/>
                <w:color w:val="000000"/>
                <w:lang w:val="en-US" w:eastAsia="en-US"/>
              </w:rPr>
            </w:pPr>
            <w:r w:rsidRPr="001A3661">
              <w:rPr>
                <w:rFonts w:ascii="Calibri" w:eastAsia="Times New Roman" w:hAnsi="Calibri" w:cs="Calibri"/>
                <w:color w:val="000000"/>
                <w:lang w:val="en-US" w:eastAsia="en-US"/>
              </w:rPr>
              <w:t> </w:t>
            </w:r>
          </w:p>
        </w:tc>
      </w:tr>
      <w:tr w:rsidR="00703CF5" w:rsidRPr="001A3661" w14:paraId="78447816" w14:textId="77777777" w:rsidTr="0004702C">
        <w:trPr>
          <w:trHeight w:val="315"/>
        </w:trPr>
        <w:tc>
          <w:tcPr>
            <w:tcW w:w="3854" w:type="dxa"/>
            <w:tcBorders>
              <w:top w:val="single" w:sz="8" w:space="0" w:color="auto"/>
              <w:left w:val="single" w:sz="8" w:space="0" w:color="auto"/>
              <w:bottom w:val="nil"/>
              <w:right w:val="nil"/>
            </w:tcBorders>
            <w:shd w:val="clear" w:color="000000" w:fill="FFFFFF"/>
            <w:noWrap/>
            <w:vAlign w:val="center"/>
            <w:hideMark/>
          </w:tcPr>
          <w:p w14:paraId="5DAC0897" w14:textId="77777777" w:rsidR="00703CF5" w:rsidRPr="001A3661" w:rsidRDefault="00703CF5" w:rsidP="0004702C">
            <w:pPr>
              <w:spacing w:after="0" w:line="240" w:lineRule="auto"/>
              <w:rPr>
                <w:rFonts w:ascii="Times New Roman" w:eastAsia="Times New Roman" w:hAnsi="Times New Roman" w:cs="Times New Roman"/>
                <w:b/>
                <w:bCs/>
                <w:color w:val="000000"/>
                <w:sz w:val="24"/>
                <w:szCs w:val="24"/>
                <w:u w:val="single"/>
                <w:lang w:val="en-US" w:eastAsia="en-US"/>
              </w:rPr>
            </w:pPr>
            <w:r w:rsidRPr="001A3661">
              <w:rPr>
                <w:rFonts w:ascii="Times New Roman" w:eastAsia="Times New Roman" w:hAnsi="Times New Roman" w:cs="Times New Roman"/>
                <w:b/>
                <w:bCs/>
                <w:color w:val="000000"/>
                <w:sz w:val="24"/>
                <w:szCs w:val="24"/>
                <w:u w:val="single"/>
                <w:lang w:val="en-US" w:eastAsia="en-US"/>
              </w:rPr>
              <w:t>Clinic</w:t>
            </w:r>
            <w:r>
              <w:rPr>
                <w:rFonts w:ascii="Times New Roman" w:eastAsia="Times New Roman" w:hAnsi="Times New Roman" w:cs="Times New Roman"/>
                <w:b/>
                <w:bCs/>
                <w:color w:val="000000"/>
                <w:sz w:val="24"/>
                <w:szCs w:val="24"/>
                <w:u w:val="single"/>
                <w:lang w:val="en-US" w:eastAsia="en-US"/>
              </w:rPr>
              <w:t>al &amp; S</w:t>
            </w:r>
            <w:r w:rsidRPr="001A3661">
              <w:rPr>
                <w:rFonts w:ascii="Times New Roman" w:eastAsia="Times New Roman" w:hAnsi="Times New Roman" w:cs="Times New Roman"/>
                <w:b/>
                <w:bCs/>
                <w:color w:val="000000"/>
                <w:sz w:val="24"/>
                <w:szCs w:val="24"/>
                <w:u w:val="single"/>
                <w:lang w:val="en-US" w:eastAsia="en-US"/>
              </w:rPr>
              <w:t>erologic</w:t>
            </w:r>
            <w:r>
              <w:rPr>
                <w:rFonts w:ascii="Times New Roman" w:eastAsia="Times New Roman" w:hAnsi="Times New Roman" w:cs="Times New Roman"/>
                <w:b/>
                <w:bCs/>
                <w:color w:val="000000"/>
                <w:sz w:val="24"/>
                <w:szCs w:val="24"/>
                <w:u w:val="single"/>
                <w:lang w:val="en-US" w:eastAsia="en-US"/>
              </w:rPr>
              <w:t xml:space="preserve">al </w:t>
            </w:r>
            <w:r w:rsidRPr="001A3661">
              <w:rPr>
                <w:rFonts w:ascii="Times New Roman" w:eastAsia="Times New Roman" w:hAnsi="Times New Roman" w:cs="Times New Roman"/>
                <w:b/>
                <w:bCs/>
                <w:color w:val="000000"/>
                <w:sz w:val="24"/>
                <w:szCs w:val="24"/>
                <w:u w:val="single"/>
                <w:lang w:val="en-US" w:eastAsia="en-US"/>
              </w:rPr>
              <w:t xml:space="preserve">data </w:t>
            </w:r>
          </w:p>
        </w:tc>
        <w:tc>
          <w:tcPr>
            <w:tcW w:w="765" w:type="dxa"/>
            <w:tcBorders>
              <w:top w:val="single" w:sz="8" w:space="0" w:color="auto"/>
              <w:left w:val="nil"/>
              <w:bottom w:val="nil"/>
              <w:right w:val="nil"/>
            </w:tcBorders>
            <w:shd w:val="clear" w:color="000000" w:fill="FFFFFF"/>
            <w:noWrap/>
            <w:vAlign w:val="bottom"/>
            <w:hideMark/>
          </w:tcPr>
          <w:p w14:paraId="2BD26CA9" w14:textId="77777777" w:rsidR="00703CF5" w:rsidRPr="001A3661" w:rsidRDefault="00703CF5" w:rsidP="0004702C">
            <w:pPr>
              <w:spacing w:after="0" w:line="240" w:lineRule="auto"/>
              <w:jc w:val="center"/>
              <w:rPr>
                <w:rFonts w:ascii="Calibri" w:eastAsia="Times New Roman" w:hAnsi="Calibri" w:cs="Calibri"/>
                <w:b/>
                <w:bCs/>
                <w:color w:val="000000"/>
                <w:sz w:val="24"/>
                <w:szCs w:val="24"/>
                <w:lang w:val="en-US" w:eastAsia="en-US"/>
              </w:rPr>
            </w:pPr>
            <w:r w:rsidRPr="001A3661">
              <w:rPr>
                <w:rFonts w:ascii="Calibri" w:eastAsia="Times New Roman" w:hAnsi="Calibri" w:cs="Calibri"/>
                <w:b/>
                <w:bCs/>
                <w:color w:val="000000"/>
                <w:sz w:val="24"/>
                <w:szCs w:val="24"/>
                <w:lang w:val="en-US" w:eastAsia="en-US"/>
              </w:rPr>
              <w:t>Total</w:t>
            </w:r>
          </w:p>
        </w:tc>
        <w:tc>
          <w:tcPr>
            <w:tcW w:w="1761" w:type="dxa"/>
            <w:tcBorders>
              <w:top w:val="single" w:sz="8" w:space="0" w:color="auto"/>
              <w:left w:val="nil"/>
              <w:bottom w:val="nil"/>
              <w:right w:val="single" w:sz="8" w:space="0" w:color="auto"/>
            </w:tcBorders>
            <w:shd w:val="clear" w:color="000000" w:fill="FFFFFF"/>
            <w:noWrap/>
            <w:vAlign w:val="center"/>
            <w:hideMark/>
          </w:tcPr>
          <w:p w14:paraId="429F6723" w14:textId="77777777" w:rsidR="00703CF5" w:rsidRPr="001A3661" w:rsidRDefault="00703CF5" w:rsidP="0004702C">
            <w:pPr>
              <w:spacing w:after="0" w:line="240" w:lineRule="auto"/>
              <w:jc w:val="center"/>
              <w:rPr>
                <w:rFonts w:eastAsia="Times New Roman" w:cstheme="minorHAnsi"/>
                <w:b/>
                <w:bCs/>
                <w:color w:val="000000"/>
                <w:sz w:val="24"/>
                <w:szCs w:val="24"/>
                <w:lang w:val="en-US" w:eastAsia="en-US"/>
              </w:rPr>
            </w:pPr>
            <w:r w:rsidRPr="001A3661">
              <w:rPr>
                <w:rFonts w:eastAsia="Times New Roman" w:cstheme="minorHAnsi"/>
                <w:b/>
                <w:bCs/>
                <w:color w:val="000000"/>
                <w:sz w:val="24"/>
                <w:szCs w:val="24"/>
                <w:lang w:val="en-US" w:eastAsia="en-US"/>
              </w:rPr>
              <w:t>Infected D</w:t>
            </w:r>
            <w:r>
              <w:rPr>
                <w:rFonts w:eastAsia="Times New Roman" w:cstheme="minorHAnsi"/>
                <w:b/>
                <w:bCs/>
                <w:color w:val="000000"/>
                <w:sz w:val="24"/>
                <w:szCs w:val="24"/>
                <w:lang w:val="en-US" w:eastAsia="en-US"/>
              </w:rPr>
              <w:t>igital Ulcers</w:t>
            </w:r>
          </w:p>
        </w:tc>
      </w:tr>
      <w:tr w:rsidR="00703CF5" w:rsidRPr="001A3661" w14:paraId="621A69EE"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75BFE40B"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 xml:space="preserve">SSc Patients, (No.) </w:t>
            </w:r>
          </w:p>
        </w:tc>
        <w:tc>
          <w:tcPr>
            <w:tcW w:w="765" w:type="dxa"/>
            <w:tcBorders>
              <w:top w:val="nil"/>
              <w:left w:val="nil"/>
              <w:bottom w:val="nil"/>
              <w:right w:val="nil"/>
            </w:tcBorders>
            <w:shd w:val="clear" w:color="000000" w:fill="FFFFFF"/>
            <w:noWrap/>
            <w:vAlign w:val="bottom"/>
            <w:hideMark/>
          </w:tcPr>
          <w:p w14:paraId="5D9C642B"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50</w:t>
            </w:r>
          </w:p>
        </w:tc>
        <w:tc>
          <w:tcPr>
            <w:tcW w:w="1761" w:type="dxa"/>
            <w:tcBorders>
              <w:top w:val="nil"/>
              <w:left w:val="nil"/>
              <w:bottom w:val="nil"/>
              <w:right w:val="single" w:sz="8" w:space="0" w:color="auto"/>
            </w:tcBorders>
            <w:shd w:val="clear" w:color="000000" w:fill="FFFFFF"/>
            <w:noWrap/>
            <w:vAlign w:val="center"/>
            <w:hideMark/>
          </w:tcPr>
          <w:p w14:paraId="53BBAE4C"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35</w:t>
            </w:r>
          </w:p>
        </w:tc>
      </w:tr>
      <w:tr w:rsidR="00703CF5" w:rsidRPr="001A3661" w14:paraId="0274FCBA"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2A5EC4E0"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Male/Female</w:t>
            </w:r>
          </w:p>
        </w:tc>
        <w:tc>
          <w:tcPr>
            <w:tcW w:w="765" w:type="dxa"/>
            <w:tcBorders>
              <w:top w:val="nil"/>
              <w:left w:val="nil"/>
              <w:bottom w:val="nil"/>
              <w:right w:val="nil"/>
            </w:tcBorders>
            <w:shd w:val="clear" w:color="000000" w:fill="FFFFFF"/>
            <w:noWrap/>
            <w:vAlign w:val="bottom"/>
            <w:hideMark/>
          </w:tcPr>
          <w:p w14:paraId="10B3910E"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3/47</w:t>
            </w:r>
          </w:p>
        </w:tc>
        <w:tc>
          <w:tcPr>
            <w:tcW w:w="1761" w:type="dxa"/>
            <w:tcBorders>
              <w:top w:val="nil"/>
              <w:left w:val="nil"/>
              <w:bottom w:val="nil"/>
              <w:right w:val="single" w:sz="8" w:space="0" w:color="auto"/>
            </w:tcBorders>
            <w:shd w:val="clear" w:color="000000" w:fill="FFFFFF"/>
            <w:noWrap/>
            <w:vAlign w:val="center"/>
            <w:hideMark/>
          </w:tcPr>
          <w:p w14:paraId="53D08B18"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2/33</w:t>
            </w:r>
          </w:p>
        </w:tc>
      </w:tr>
      <w:tr w:rsidR="00703CF5" w:rsidRPr="001A3661" w14:paraId="6F6DDFB8"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5D10195A"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 xml:space="preserve">Age, mean SD years </w:t>
            </w:r>
          </w:p>
        </w:tc>
        <w:tc>
          <w:tcPr>
            <w:tcW w:w="765" w:type="dxa"/>
            <w:tcBorders>
              <w:top w:val="nil"/>
              <w:left w:val="nil"/>
              <w:bottom w:val="nil"/>
              <w:right w:val="nil"/>
            </w:tcBorders>
            <w:shd w:val="clear" w:color="000000" w:fill="FFFFFF"/>
            <w:noWrap/>
            <w:vAlign w:val="bottom"/>
            <w:hideMark/>
          </w:tcPr>
          <w:p w14:paraId="4DA96ADD"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64±13</w:t>
            </w:r>
          </w:p>
        </w:tc>
        <w:tc>
          <w:tcPr>
            <w:tcW w:w="1761" w:type="dxa"/>
            <w:tcBorders>
              <w:top w:val="nil"/>
              <w:left w:val="nil"/>
              <w:bottom w:val="nil"/>
              <w:right w:val="single" w:sz="8" w:space="0" w:color="auto"/>
            </w:tcBorders>
            <w:shd w:val="clear" w:color="000000" w:fill="FFFFFF"/>
            <w:noWrap/>
            <w:vAlign w:val="center"/>
            <w:hideMark/>
          </w:tcPr>
          <w:p w14:paraId="7775709B"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65±13</w:t>
            </w:r>
          </w:p>
        </w:tc>
      </w:tr>
      <w:tr w:rsidR="00703CF5" w:rsidRPr="001A3661" w14:paraId="63650DC1"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652C87F5"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 xml:space="preserve">Disease duration, mean SD years </w:t>
            </w:r>
          </w:p>
        </w:tc>
        <w:tc>
          <w:tcPr>
            <w:tcW w:w="765" w:type="dxa"/>
            <w:tcBorders>
              <w:top w:val="nil"/>
              <w:left w:val="nil"/>
              <w:bottom w:val="nil"/>
              <w:right w:val="nil"/>
            </w:tcBorders>
            <w:shd w:val="clear" w:color="000000" w:fill="FFFFFF"/>
            <w:noWrap/>
            <w:vAlign w:val="bottom"/>
            <w:hideMark/>
          </w:tcPr>
          <w:p w14:paraId="7868B46B"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13±10</w:t>
            </w:r>
          </w:p>
        </w:tc>
        <w:tc>
          <w:tcPr>
            <w:tcW w:w="1761" w:type="dxa"/>
            <w:tcBorders>
              <w:top w:val="nil"/>
              <w:left w:val="nil"/>
              <w:bottom w:val="nil"/>
              <w:right w:val="single" w:sz="8" w:space="0" w:color="auto"/>
            </w:tcBorders>
            <w:shd w:val="clear" w:color="000000" w:fill="FFFFFF"/>
            <w:noWrap/>
            <w:vAlign w:val="center"/>
            <w:hideMark/>
          </w:tcPr>
          <w:p w14:paraId="63DE54B8"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14 ±11</w:t>
            </w:r>
          </w:p>
        </w:tc>
      </w:tr>
      <w:tr w:rsidR="00703CF5" w:rsidRPr="001A3661" w14:paraId="43B9A1BD"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36CD8912"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Smockers/NON smockers</w:t>
            </w:r>
          </w:p>
        </w:tc>
        <w:tc>
          <w:tcPr>
            <w:tcW w:w="765" w:type="dxa"/>
            <w:tcBorders>
              <w:top w:val="nil"/>
              <w:left w:val="nil"/>
              <w:bottom w:val="nil"/>
              <w:right w:val="nil"/>
            </w:tcBorders>
            <w:shd w:val="clear" w:color="000000" w:fill="FFFFFF"/>
            <w:noWrap/>
            <w:vAlign w:val="bottom"/>
            <w:hideMark/>
          </w:tcPr>
          <w:p w14:paraId="061036DB"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13/</w:t>
            </w:r>
            <w:r>
              <w:rPr>
                <w:rFonts w:ascii="Calibri" w:eastAsia="Times New Roman" w:hAnsi="Calibri" w:cs="Calibri"/>
                <w:color w:val="000000"/>
                <w:sz w:val="24"/>
                <w:szCs w:val="24"/>
                <w:lang w:val="en-US" w:eastAsia="en-US"/>
              </w:rPr>
              <w:t>3</w:t>
            </w:r>
            <w:r w:rsidRPr="001A3661">
              <w:rPr>
                <w:rFonts w:ascii="Calibri" w:eastAsia="Times New Roman" w:hAnsi="Calibri" w:cs="Calibri"/>
                <w:color w:val="000000"/>
                <w:sz w:val="24"/>
                <w:szCs w:val="24"/>
                <w:lang w:val="en-US" w:eastAsia="en-US"/>
              </w:rPr>
              <w:t>7</w:t>
            </w:r>
          </w:p>
        </w:tc>
        <w:tc>
          <w:tcPr>
            <w:tcW w:w="1761" w:type="dxa"/>
            <w:tcBorders>
              <w:top w:val="nil"/>
              <w:left w:val="nil"/>
              <w:bottom w:val="nil"/>
              <w:right w:val="single" w:sz="8" w:space="0" w:color="auto"/>
            </w:tcBorders>
            <w:shd w:val="clear" w:color="000000" w:fill="FFFFFF"/>
            <w:noWrap/>
            <w:vAlign w:val="center"/>
            <w:hideMark/>
          </w:tcPr>
          <w:p w14:paraId="371535B1"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10/25</w:t>
            </w:r>
          </w:p>
        </w:tc>
      </w:tr>
      <w:tr w:rsidR="00703CF5" w:rsidRPr="001A3661" w14:paraId="663D140A"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437EB2B7" w14:textId="77777777" w:rsidR="00703CF5" w:rsidRPr="001A3661" w:rsidRDefault="00703CF5" w:rsidP="0004702C">
            <w:pPr>
              <w:spacing w:after="0" w:line="240" w:lineRule="auto"/>
              <w:rPr>
                <w:rFonts w:ascii="Times New Roman" w:eastAsia="Times New Roman" w:hAnsi="Times New Roman" w:cs="Times New Roman"/>
                <w:b/>
                <w:bCs/>
                <w:color w:val="000000"/>
                <w:sz w:val="24"/>
                <w:szCs w:val="24"/>
                <w:u w:val="single"/>
                <w:lang w:val="en-US" w:eastAsia="en-US"/>
              </w:rPr>
            </w:pPr>
            <w:r w:rsidRPr="001A3661">
              <w:rPr>
                <w:rFonts w:ascii="Times New Roman" w:eastAsia="Times New Roman" w:hAnsi="Times New Roman" w:cs="Times New Roman"/>
                <w:b/>
                <w:bCs/>
                <w:color w:val="000000"/>
                <w:sz w:val="24"/>
                <w:szCs w:val="24"/>
                <w:u w:val="single"/>
                <w:lang w:val="en-US" w:eastAsia="en-US"/>
              </w:rPr>
              <w:t>Skin subsets (No.)</w:t>
            </w:r>
          </w:p>
        </w:tc>
        <w:tc>
          <w:tcPr>
            <w:tcW w:w="765" w:type="dxa"/>
            <w:tcBorders>
              <w:top w:val="nil"/>
              <w:left w:val="nil"/>
              <w:bottom w:val="nil"/>
              <w:right w:val="nil"/>
            </w:tcBorders>
            <w:shd w:val="clear" w:color="000000" w:fill="FFFFFF"/>
            <w:noWrap/>
            <w:vAlign w:val="bottom"/>
            <w:hideMark/>
          </w:tcPr>
          <w:p w14:paraId="6E9AF543"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49C002ED"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 </w:t>
            </w:r>
          </w:p>
        </w:tc>
      </w:tr>
      <w:tr w:rsidR="00703CF5" w:rsidRPr="001A3661" w14:paraId="4A2AAA72"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5036AA95"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Limited cutaneous</w:t>
            </w:r>
          </w:p>
        </w:tc>
        <w:tc>
          <w:tcPr>
            <w:tcW w:w="765" w:type="dxa"/>
            <w:tcBorders>
              <w:top w:val="nil"/>
              <w:left w:val="nil"/>
              <w:bottom w:val="nil"/>
              <w:right w:val="nil"/>
            </w:tcBorders>
            <w:shd w:val="clear" w:color="000000" w:fill="FFFFFF"/>
            <w:noWrap/>
            <w:vAlign w:val="bottom"/>
            <w:hideMark/>
          </w:tcPr>
          <w:p w14:paraId="5C3B05FF"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35</w:t>
            </w:r>
          </w:p>
        </w:tc>
        <w:tc>
          <w:tcPr>
            <w:tcW w:w="1761" w:type="dxa"/>
            <w:tcBorders>
              <w:top w:val="nil"/>
              <w:left w:val="nil"/>
              <w:bottom w:val="nil"/>
              <w:right w:val="single" w:sz="8" w:space="0" w:color="auto"/>
            </w:tcBorders>
            <w:shd w:val="clear" w:color="000000" w:fill="FFFFFF"/>
            <w:noWrap/>
            <w:vAlign w:val="center"/>
            <w:hideMark/>
          </w:tcPr>
          <w:p w14:paraId="5F61E8BE"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25</w:t>
            </w:r>
          </w:p>
        </w:tc>
      </w:tr>
      <w:tr w:rsidR="00703CF5" w:rsidRPr="001A3661" w14:paraId="363AA4E0"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61D9C70E"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Diffuse cutaneous</w:t>
            </w:r>
          </w:p>
        </w:tc>
        <w:tc>
          <w:tcPr>
            <w:tcW w:w="765" w:type="dxa"/>
            <w:tcBorders>
              <w:top w:val="nil"/>
              <w:left w:val="nil"/>
              <w:bottom w:val="nil"/>
              <w:right w:val="nil"/>
            </w:tcBorders>
            <w:shd w:val="clear" w:color="000000" w:fill="FFFFFF"/>
            <w:noWrap/>
            <w:vAlign w:val="bottom"/>
            <w:hideMark/>
          </w:tcPr>
          <w:p w14:paraId="7AB656A6"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15</w:t>
            </w:r>
          </w:p>
        </w:tc>
        <w:tc>
          <w:tcPr>
            <w:tcW w:w="1761" w:type="dxa"/>
            <w:tcBorders>
              <w:top w:val="nil"/>
              <w:left w:val="nil"/>
              <w:bottom w:val="nil"/>
              <w:right w:val="single" w:sz="8" w:space="0" w:color="auto"/>
            </w:tcBorders>
            <w:shd w:val="clear" w:color="000000" w:fill="FFFFFF"/>
            <w:noWrap/>
            <w:vAlign w:val="center"/>
            <w:hideMark/>
          </w:tcPr>
          <w:p w14:paraId="40271418"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10</w:t>
            </w:r>
          </w:p>
        </w:tc>
      </w:tr>
      <w:tr w:rsidR="00703CF5" w:rsidRPr="001A3661" w14:paraId="6AD06E5D"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02D3FC25" w14:textId="77777777" w:rsidR="00703CF5" w:rsidRPr="001A3661" w:rsidRDefault="00703CF5" w:rsidP="0004702C">
            <w:pPr>
              <w:spacing w:after="0" w:line="240" w:lineRule="auto"/>
              <w:rPr>
                <w:rFonts w:ascii="Times New Roman" w:eastAsia="Times New Roman" w:hAnsi="Times New Roman" w:cs="Times New Roman"/>
                <w:b/>
                <w:bCs/>
                <w:color w:val="000000"/>
                <w:sz w:val="24"/>
                <w:szCs w:val="24"/>
                <w:u w:val="single"/>
                <w:lang w:val="en-US" w:eastAsia="en-US"/>
              </w:rPr>
            </w:pPr>
            <w:r w:rsidRPr="001A3661">
              <w:rPr>
                <w:rFonts w:ascii="Times New Roman" w:eastAsia="Times New Roman" w:hAnsi="Times New Roman" w:cs="Times New Roman"/>
                <w:b/>
                <w:bCs/>
                <w:color w:val="000000"/>
                <w:sz w:val="24"/>
                <w:szCs w:val="24"/>
                <w:u w:val="single"/>
                <w:lang w:val="en-US" w:eastAsia="en-US"/>
              </w:rPr>
              <w:t>Serology (No.)</w:t>
            </w:r>
          </w:p>
        </w:tc>
        <w:tc>
          <w:tcPr>
            <w:tcW w:w="765" w:type="dxa"/>
            <w:tcBorders>
              <w:top w:val="nil"/>
              <w:left w:val="nil"/>
              <w:bottom w:val="nil"/>
              <w:right w:val="nil"/>
            </w:tcBorders>
            <w:shd w:val="clear" w:color="000000" w:fill="FFFFFF"/>
            <w:noWrap/>
            <w:vAlign w:val="bottom"/>
            <w:hideMark/>
          </w:tcPr>
          <w:p w14:paraId="197CD7F5"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6575948A"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 </w:t>
            </w:r>
          </w:p>
        </w:tc>
      </w:tr>
      <w:tr w:rsidR="00703CF5" w:rsidRPr="001A3661" w14:paraId="473C143E"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5926C5C4"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 xml:space="preserve">Anti–Scl-70 </w:t>
            </w:r>
          </w:p>
        </w:tc>
        <w:tc>
          <w:tcPr>
            <w:tcW w:w="765" w:type="dxa"/>
            <w:tcBorders>
              <w:top w:val="nil"/>
              <w:left w:val="nil"/>
              <w:bottom w:val="nil"/>
              <w:right w:val="nil"/>
            </w:tcBorders>
            <w:shd w:val="clear" w:color="000000" w:fill="FFFFFF"/>
            <w:noWrap/>
            <w:vAlign w:val="bottom"/>
            <w:hideMark/>
          </w:tcPr>
          <w:p w14:paraId="3F7DE444"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12</w:t>
            </w:r>
          </w:p>
        </w:tc>
        <w:tc>
          <w:tcPr>
            <w:tcW w:w="1761" w:type="dxa"/>
            <w:tcBorders>
              <w:top w:val="nil"/>
              <w:left w:val="nil"/>
              <w:bottom w:val="nil"/>
              <w:right w:val="single" w:sz="8" w:space="0" w:color="auto"/>
            </w:tcBorders>
            <w:shd w:val="clear" w:color="000000" w:fill="FFFFFF"/>
            <w:noWrap/>
            <w:vAlign w:val="center"/>
            <w:hideMark/>
          </w:tcPr>
          <w:p w14:paraId="5BAAEC67"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7</w:t>
            </w:r>
          </w:p>
        </w:tc>
      </w:tr>
      <w:tr w:rsidR="00703CF5" w:rsidRPr="001A3661" w14:paraId="155A6962"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66E16CC8"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Anticentromere</w:t>
            </w:r>
          </w:p>
        </w:tc>
        <w:tc>
          <w:tcPr>
            <w:tcW w:w="765" w:type="dxa"/>
            <w:tcBorders>
              <w:top w:val="nil"/>
              <w:left w:val="nil"/>
              <w:bottom w:val="nil"/>
              <w:right w:val="nil"/>
            </w:tcBorders>
            <w:shd w:val="clear" w:color="000000" w:fill="FFFFFF"/>
            <w:noWrap/>
            <w:vAlign w:val="bottom"/>
            <w:hideMark/>
          </w:tcPr>
          <w:p w14:paraId="711721D3"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28</w:t>
            </w:r>
          </w:p>
        </w:tc>
        <w:tc>
          <w:tcPr>
            <w:tcW w:w="1761" w:type="dxa"/>
            <w:tcBorders>
              <w:top w:val="nil"/>
              <w:left w:val="nil"/>
              <w:bottom w:val="nil"/>
              <w:right w:val="single" w:sz="8" w:space="0" w:color="auto"/>
            </w:tcBorders>
            <w:shd w:val="clear" w:color="000000" w:fill="FFFFFF"/>
            <w:noWrap/>
            <w:vAlign w:val="center"/>
            <w:hideMark/>
          </w:tcPr>
          <w:p w14:paraId="1F798E72"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20</w:t>
            </w:r>
          </w:p>
        </w:tc>
      </w:tr>
      <w:tr w:rsidR="00703CF5" w:rsidRPr="001A3661" w14:paraId="39BF4A80"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48899065"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other antinuclear antibodies</w:t>
            </w:r>
          </w:p>
        </w:tc>
        <w:tc>
          <w:tcPr>
            <w:tcW w:w="765" w:type="dxa"/>
            <w:tcBorders>
              <w:top w:val="nil"/>
              <w:left w:val="nil"/>
              <w:bottom w:val="nil"/>
              <w:right w:val="nil"/>
            </w:tcBorders>
            <w:shd w:val="clear" w:color="000000" w:fill="FFFFFF"/>
            <w:noWrap/>
            <w:vAlign w:val="bottom"/>
            <w:hideMark/>
          </w:tcPr>
          <w:p w14:paraId="60754A95"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10</w:t>
            </w:r>
          </w:p>
        </w:tc>
        <w:tc>
          <w:tcPr>
            <w:tcW w:w="1761" w:type="dxa"/>
            <w:tcBorders>
              <w:top w:val="nil"/>
              <w:left w:val="nil"/>
              <w:bottom w:val="nil"/>
              <w:right w:val="single" w:sz="8" w:space="0" w:color="auto"/>
            </w:tcBorders>
            <w:shd w:val="clear" w:color="000000" w:fill="FFFFFF"/>
            <w:noWrap/>
            <w:vAlign w:val="center"/>
            <w:hideMark/>
          </w:tcPr>
          <w:p w14:paraId="0EBB1272"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8</w:t>
            </w:r>
          </w:p>
        </w:tc>
      </w:tr>
      <w:tr w:rsidR="00703CF5" w:rsidRPr="001A3661" w14:paraId="08055D76"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7A99D4FB" w14:textId="77777777" w:rsidR="00703CF5" w:rsidRPr="001A3661" w:rsidRDefault="00703CF5" w:rsidP="0004702C">
            <w:pPr>
              <w:spacing w:after="0" w:line="240" w:lineRule="auto"/>
              <w:rPr>
                <w:rFonts w:ascii="Times New Roman" w:eastAsia="Times New Roman" w:hAnsi="Times New Roman" w:cs="Times New Roman"/>
                <w:b/>
                <w:bCs/>
                <w:color w:val="000000"/>
                <w:sz w:val="24"/>
                <w:szCs w:val="24"/>
                <w:u w:val="single"/>
                <w:lang w:val="en-US" w:eastAsia="en-US"/>
              </w:rPr>
            </w:pPr>
            <w:r w:rsidRPr="001A3661">
              <w:rPr>
                <w:rFonts w:ascii="Times New Roman" w:eastAsia="Times New Roman" w:hAnsi="Times New Roman" w:cs="Times New Roman"/>
                <w:b/>
                <w:bCs/>
                <w:color w:val="000000"/>
                <w:sz w:val="24"/>
                <w:szCs w:val="24"/>
                <w:u w:val="single"/>
                <w:lang w:val="en-US" w:eastAsia="en-US"/>
              </w:rPr>
              <w:t>Therapy (No.)</w:t>
            </w:r>
          </w:p>
        </w:tc>
        <w:tc>
          <w:tcPr>
            <w:tcW w:w="765" w:type="dxa"/>
            <w:tcBorders>
              <w:top w:val="nil"/>
              <w:left w:val="nil"/>
              <w:bottom w:val="nil"/>
              <w:right w:val="nil"/>
            </w:tcBorders>
            <w:shd w:val="clear" w:color="000000" w:fill="FFFFFF"/>
            <w:noWrap/>
            <w:vAlign w:val="bottom"/>
            <w:hideMark/>
          </w:tcPr>
          <w:p w14:paraId="7A8CA222"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0034E36C"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 </w:t>
            </w:r>
          </w:p>
        </w:tc>
      </w:tr>
      <w:tr w:rsidR="00703CF5" w:rsidRPr="001A3661" w14:paraId="67FA608D"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50DF2653"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val="en-US" w:eastAsia="en-US"/>
              </w:rPr>
              <w:t>S</w:t>
            </w:r>
            <w:r w:rsidRPr="001A3661">
              <w:rPr>
                <w:rFonts w:ascii="Times New Roman" w:eastAsia="Times New Roman" w:hAnsi="Times New Roman" w:cs="Times New Roman"/>
                <w:color w:val="000000"/>
                <w:sz w:val="24"/>
                <w:szCs w:val="24"/>
                <w:lang w:val="en-US" w:eastAsia="en-US"/>
              </w:rPr>
              <w:t xml:space="preserve">ystemic I.V. prostanoid </w:t>
            </w:r>
          </w:p>
        </w:tc>
        <w:tc>
          <w:tcPr>
            <w:tcW w:w="765" w:type="dxa"/>
            <w:tcBorders>
              <w:top w:val="nil"/>
              <w:left w:val="nil"/>
              <w:bottom w:val="nil"/>
              <w:right w:val="nil"/>
            </w:tcBorders>
            <w:shd w:val="clear" w:color="000000" w:fill="FFFFFF"/>
            <w:noWrap/>
            <w:vAlign w:val="bottom"/>
            <w:hideMark/>
          </w:tcPr>
          <w:p w14:paraId="1BCE17AF"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42</w:t>
            </w:r>
          </w:p>
        </w:tc>
        <w:tc>
          <w:tcPr>
            <w:tcW w:w="1761" w:type="dxa"/>
            <w:tcBorders>
              <w:top w:val="nil"/>
              <w:left w:val="nil"/>
              <w:bottom w:val="nil"/>
              <w:right w:val="single" w:sz="8" w:space="0" w:color="auto"/>
            </w:tcBorders>
            <w:shd w:val="clear" w:color="000000" w:fill="FFFFFF"/>
            <w:noWrap/>
            <w:vAlign w:val="center"/>
            <w:hideMark/>
          </w:tcPr>
          <w:p w14:paraId="4C6F6173"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28</w:t>
            </w:r>
          </w:p>
        </w:tc>
      </w:tr>
      <w:tr w:rsidR="00703CF5" w:rsidRPr="001A3661" w14:paraId="7E8BCE52"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0B56F105"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val="en-US" w:eastAsia="en-US"/>
              </w:rPr>
              <w:t>B</w:t>
            </w:r>
            <w:r w:rsidRPr="001A3661">
              <w:rPr>
                <w:rFonts w:ascii="Times New Roman" w:eastAsia="Times New Roman" w:hAnsi="Times New Roman" w:cs="Times New Roman"/>
                <w:color w:val="000000"/>
                <w:sz w:val="24"/>
                <w:szCs w:val="24"/>
                <w:lang w:val="en-US" w:eastAsia="en-US"/>
              </w:rPr>
              <w:t>osentan</w:t>
            </w:r>
          </w:p>
        </w:tc>
        <w:tc>
          <w:tcPr>
            <w:tcW w:w="765" w:type="dxa"/>
            <w:tcBorders>
              <w:top w:val="nil"/>
              <w:left w:val="nil"/>
              <w:bottom w:val="nil"/>
              <w:right w:val="nil"/>
            </w:tcBorders>
            <w:shd w:val="clear" w:color="000000" w:fill="FFFFFF"/>
            <w:noWrap/>
            <w:vAlign w:val="bottom"/>
            <w:hideMark/>
          </w:tcPr>
          <w:p w14:paraId="21690098"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25</w:t>
            </w:r>
          </w:p>
        </w:tc>
        <w:tc>
          <w:tcPr>
            <w:tcW w:w="1761" w:type="dxa"/>
            <w:tcBorders>
              <w:top w:val="nil"/>
              <w:left w:val="nil"/>
              <w:bottom w:val="nil"/>
              <w:right w:val="single" w:sz="8" w:space="0" w:color="auto"/>
            </w:tcBorders>
            <w:shd w:val="clear" w:color="000000" w:fill="FFFFFF"/>
            <w:noWrap/>
            <w:vAlign w:val="center"/>
            <w:hideMark/>
          </w:tcPr>
          <w:p w14:paraId="54488E66"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16</w:t>
            </w:r>
          </w:p>
        </w:tc>
      </w:tr>
      <w:tr w:rsidR="00703CF5" w:rsidRPr="001A3661" w14:paraId="169B0057"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547715E0"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val="en-US" w:eastAsia="en-US"/>
              </w:rPr>
              <w:t>M</w:t>
            </w:r>
            <w:r w:rsidRPr="001A3661">
              <w:rPr>
                <w:rFonts w:ascii="Times New Roman" w:eastAsia="Times New Roman" w:hAnsi="Times New Roman" w:cs="Times New Roman"/>
                <w:color w:val="000000"/>
                <w:sz w:val="24"/>
                <w:szCs w:val="24"/>
                <w:lang w:val="en-US" w:eastAsia="en-US"/>
              </w:rPr>
              <w:t>acicentan</w:t>
            </w:r>
          </w:p>
        </w:tc>
        <w:tc>
          <w:tcPr>
            <w:tcW w:w="765" w:type="dxa"/>
            <w:tcBorders>
              <w:top w:val="nil"/>
              <w:left w:val="nil"/>
              <w:bottom w:val="nil"/>
              <w:right w:val="nil"/>
            </w:tcBorders>
            <w:shd w:val="clear" w:color="000000" w:fill="FFFFFF"/>
            <w:noWrap/>
            <w:vAlign w:val="bottom"/>
            <w:hideMark/>
          </w:tcPr>
          <w:p w14:paraId="778F1667"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7</w:t>
            </w:r>
          </w:p>
        </w:tc>
        <w:tc>
          <w:tcPr>
            <w:tcW w:w="1761" w:type="dxa"/>
            <w:tcBorders>
              <w:top w:val="nil"/>
              <w:left w:val="nil"/>
              <w:bottom w:val="nil"/>
              <w:right w:val="single" w:sz="8" w:space="0" w:color="auto"/>
            </w:tcBorders>
            <w:shd w:val="clear" w:color="000000" w:fill="FFFFFF"/>
            <w:noWrap/>
            <w:vAlign w:val="center"/>
            <w:hideMark/>
          </w:tcPr>
          <w:p w14:paraId="475B5A10"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6</w:t>
            </w:r>
          </w:p>
        </w:tc>
      </w:tr>
      <w:tr w:rsidR="00703CF5" w:rsidRPr="001A3661" w14:paraId="2F92AD5D"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5368CBFE"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val="en-US" w:eastAsia="en-US"/>
              </w:rPr>
              <w:t>O</w:t>
            </w:r>
            <w:r w:rsidRPr="001A3661">
              <w:rPr>
                <w:rFonts w:ascii="Times New Roman" w:eastAsia="Times New Roman" w:hAnsi="Times New Roman" w:cs="Times New Roman"/>
                <w:color w:val="000000"/>
                <w:sz w:val="24"/>
                <w:szCs w:val="24"/>
                <w:lang w:val="en-US" w:eastAsia="en-US"/>
              </w:rPr>
              <w:t>ral nifedipine</w:t>
            </w:r>
          </w:p>
        </w:tc>
        <w:tc>
          <w:tcPr>
            <w:tcW w:w="765" w:type="dxa"/>
            <w:tcBorders>
              <w:top w:val="nil"/>
              <w:left w:val="nil"/>
              <w:bottom w:val="nil"/>
              <w:right w:val="nil"/>
            </w:tcBorders>
            <w:shd w:val="clear" w:color="000000" w:fill="FFFFFF"/>
            <w:noWrap/>
            <w:vAlign w:val="bottom"/>
            <w:hideMark/>
          </w:tcPr>
          <w:p w14:paraId="7666A690"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12</w:t>
            </w:r>
          </w:p>
        </w:tc>
        <w:tc>
          <w:tcPr>
            <w:tcW w:w="1761" w:type="dxa"/>
            <w:tcBorders>
              <w:top w:val="nil"/>
              <w:left w:val="nil"/>
              <w:bottom w:val="nil"/>
              <w:right w:val="single" w:sz="8" w:space="0" w:color="auto"/>
            </w:tcBorders>
            <w:shd w:val="clear" w:color="000000" w:fill="FFFFFF"/>
            <w:noWrap/>
            <w:vAlign w:val="center"/>
            <w:hideMark/>
          </w:tcPr>
          <w:p w14:paraId="5B10D39A"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6</w:t>
            </w:r>
          </w:p>
        </w:tc>
      </w:tr>
      <w:tr w:rsidR="00703CF5" w:rsidRPr="001A3661" w14:paraId="449096D3"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29118A46"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Pr>
                <w:rFonts w:ascii="Times New Roman" w:eastAsia="Times New Roman" w:hAnsi="Times New Roman" w:cs="Times New Roman"/>
                <w:color w:val="000000"/>
                <w:sz w:val="24"/>
                <w:szCs w:val="24"/>
                <w:lang w:val="en-US" w:eastAsia="en-US"/>
              </w:rPr>
              <w:t>S</w:t>
            </w:r>
            <w:r w:rsidRPr="001A3661">
              <w:rPr>
                <w:rFonts w:ascii="Times New Roman" w:eastAsia="Times New Roman" w:hAnsi="Times New Roman" w:cs="Times New Roman"/>
                <w:color w:val="000000"/>
                <w:sz w:val="24"/>
                <w:szCs w:val="24"/>
                <w:lang w:val="en-US" w:eastAsia="en-US"/>
              </w:rPr>
              <w:t>ildenafil</w:t>
            </w:r>
          </w:p>
        </w:tc>
        <w:tc>
          <w:tcPr>
            <w:tcW w:w="765" w:type="dxa"/>
            <w:tcBorders>
              <w:top w:val="nil"/>
              <w:left w:val="nil"/>
              <w:bottom w:val="nil"/>
              <w:right w:val="nil"/>
            </w:tcBorders>
            <w:shd w:val="clear" w:color="000000" w:fill="FFFFFF"/>
            <w:noWrap/>
            <w:vAlign w:val="bottom"/>
            <w:hideMark/>
          </w:tcPr>
          <w:p w14:paraId="20F26FD4"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3</w:t>
            </w:r>
          </w:p>
        </w:tc>
        <w:tc>
          <w:tcPr>
            <w:tcW w:w="1761" w:type="dxa"/>
            <w:tcBorders>
              <w:top w:val="nil"/>
              <w:left w:val="nil"/>
              <w:bottom w:val="nil"/>
              <w:right w:val="single" w:sz="8" w:space="0" w:color="auto"/>
            </w:tcBorders>
            <w:shd w:val="clear" w:color="000000" w:fill="FFFFFF"/>
            <w:noWrap/>
            <w:vAlign w:val="center"/>
            <w:hideMark/>
          </w:tcPr>
          <w:p w14:paraId="0FB8EE09"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1</w:t>
            </w:r>
          </w:p>
        </w:tc>
      </w:tr>
      <w:tr w:rsidR="00703CF5" w:rsidRPr="001A3661" w14:paraId="4EAE3C64"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79F70865" w14:textId="77777777" w:rsidR="00703CF5" w:rsidRPr="001A3661" w:rsidRDefault="00703CF5" w:rsidP="0004702C">
            <w:pPr>
              <w:spacing w:after="0" w:line="240" w:lineRule="auto"/>
              <w:rPr>
                <w:rFonts w:ascii="Times New Roman" w:eastAsia="Times New Roman" w:hAnsi="Times New Roman" w:cs="Times New Roman"/>
                <w:b/>
                <w:bCs/>
                <w:color w:val="000000"/>
                <w:sz w:val="24"/>
                <w:szCs w:val="24"/>
                <w:u w:val="single"/>
                <w:lang w:val="en-US" w:eastAsia="en-US"/>
              </w:rPr>
            </w:pPr>
            <w:r w:rsidRPr="001A3661">
              <w:rPr>
                <w:rFonts w:ascii="Times New Roman" w:eastAsia="Times New Roman" w:hAnsi="Times New Roman" w:cs="Times New Roman"/>
                <w:b/>
                <w:bCs/>
                <w:color w:val="000000"/>
                <w:sz w:val="24"/>
                <w:szCs w:val="24"/>
                <w:u w:val="single"/>
                <w:lang w:val="en-US" w:eastAsia="en-US"/>
              </w:rPr>
              <w:t>D</w:t>
            </w:r>
            <w:r>
              <w:rPr>
                <w:rFonts w:ascii="Times New Roman" w:eastAsia="Times New Roman" w:hAnsi="Times New Roman" w:cs="Times New Roman"/>
                <w:b/>
                <w:bCs/>
                <w:color w:val="000000"/>
                <w:sz w:val="24"/>
                <w:szCs w:val="24"/>
                <w:u w:val="single"/>
                <w:lang w:val="en-US" w:eastAsia="en-US"/>
              </w:rPr>
              <w:t>igital Ulcers</w:t>
            </w:r>
            <w:r w:rsidRPr="001A3661">
              <w:rPr>
                <w:rFonts w:ascii="Times New Roman" w:eastAsia="Times New Roman" w:hAnsi="Times New Roman" w:cs="Times New Roman"/>
                <w:b/>
                <w:bCs/>
                <w:color w:val="000000"/>
                <w:sz w:val="24"/>
                <w:szCs w:val="24"/>
                <w:u w:val="single"/>
                <w:lang w:val="en-US" w:eastAsia="en-US"/>
              </w:rPr>
              <w:t xml:space="preserve"> (%)</w:t>
            </w:r>
          </w:p>
        </w:tc>
        <w:tc>
          <w:tcPr>
            <w:tcW w:w="765" w:type="dxa"/>
            <w:tcBorders>
              <w:top w:val="nil"/>
              <w:left w:val="nil"/>
              <w:bottom w:val="nil"/>
              <w:right w:val="nil"/>
            </w:tcBorders>
            <w:shd w:val="clear" w:color="000000" w:fill="FFFFFF"/>
            <w:noWrap/>
            <w:vAlign w:val="bottom"/>
            <w:hideMark/>
          </w:tcPr>
          <w:p w14:paraId="150A128A"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3E75F7BF"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 </w:t>
            </w:r>
          </w:p>
        </w:tc>
      </w:tr>
      <w:tr w:rsidR="00703CF5" w:rsidRPr="001A3661" w14:paraId="5A4BFB45"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0D4FB8A6"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Recurrent DUs</w:t>
            </w:r>
          </w:p>
        </w:tc>
        <w:tc>
          <w:tcPr>
            <w:tcW w:w="765" w:type="dxa"/>
            <w:tcBorders>
              <w:top w:val="nil"/>
              <w:left w:val="nil"/>
              <w:bottom w:val="nil"/>
              <w:right w:val="nil"/>
            </w:tcBorders>
            <w:shd w:val="clear" w:color="000000" w:fill="FFFFFF"/>
            <w:noWrap/>
            <w:vAlign w:val="bottom"/>
            <w:hideMark/>
          </w:tcPr>
          <w:p w14:paraId="466B767F"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58%</w:t>
            </w:r>
          </w:p>
        </w:tc>
        <w:tc>
          <w:tcPr>
            <w:tcW w:w="1761" w:type="dxa"/>
            <w:tcBorders>
              <w:top w:val="nil"/>
              <w:left w:val="nil"/>
              <w:bottom w:val="nil"/>
              <w:right w:val="single" w:sz="8" w:space="0" w:color="auto"/>
            </w:tcBorders>
            <w:shd w:val="clear" w:color="000000" w:fill="FFFFFF"/>
            <w:noWrap/>
            <w:vAlign w:val="center"/>
            <w:hideMark/>
          </w:tcPr>
          <w:p w14:paraId="23ADB6D6"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68%</w:t>
            </w:r>
          </w:p>
        </w:tc>
      </w:tr>
      <w:tr w:rsidR="00703CF5" w:rsidRPr="001A3661" w14:paraId="736264DD"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2FF36381"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Multiple DUs</w:t>
            </w:r>
          </w:p>
        </w:tc>
        <w:tc>
          <w:tcPr>
            <w:tcW w:w="765" w:type="dxa"/>
            <w:tcBorders>
              <w:top w:val="nil"/>
              <w:left w:val="nil"/>
              <w:bottom w:val="nil"/>
              <w:right w:val="nil"/>
            </w:tcBorders>
            <w:shd w:val="clear" w:color="000000" w:fill="FFFFFF"/>
            <w:noWrap/>
            <w:vAlign w:val="bottom"/>
            <w:hideMark/>
          </w:tcPr>
          <w:p w14:paraId="273D12BF"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60%</w:t>
            </w:r>
          </w:p>
        </w:tc>
        <w:tc>
          <w:tcPr>
            <w:tcW w:w="1761" w:type="dxa"/>
            <w:tcBorders>
              <w:top w:val="nil"/>
              <w:left w:val="nil"/>
              <w:bottom w:val="nil"/>
              <w:right w:val="single" w:sz="8" w:space="0" w:color="auto"/>
            </w:tcBorders>
            <w:shd w:val="clear" w:color="000000" w:fill="FFFFFF"/>
            <w:noWrap/>
            <w:vAlign w:val="center"/>
            <w:hideMark/>
          </w:tcPr>
          <w:p w14:paraId="6D04FCC8"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60%</w:t>
            </w:r>
          </w:p>
        </w:tc>
      </w:tr>
      <w:tr w:rsidR="00703CF5" w:rsidRPr="001A3661" w14:paraId="00B679A4"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20C454D1"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Fingertip ulcers</w:t>
            </w:r>
          </w:p>
        </w:tc>
        <w:tc>
          <w:tcPr>
            <w:tcW w:w="765" w:type="dxa"/>
            <w:tcBorders>
              <w:top w:val="nil"/>
              <w:left w:val="nil"/>
              <w:bottom w:val="nil"/>
              <w:right w:val="nil"/>
            </w:tcBorders>
            <w:shd w:val="clear" w:color="000000" w:fill="FFFFFF"/>
            <w:noWrap/>
            <w:vAlign w:val="bottom"/>
            <w:hideMark/>
          </w:tcPr>
          <w:p w14:paraId="26F6AA5F"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90%</w:t>
            </w:r>
          </w:p>
        </w:tc>
        <w:tc>
          <w:tcPr>
            <w:tcW w:w="1761" w:type="dxa"/>
            <w:tcBorders>
              <w:top w:val="nil"/>
              <w:left w:val="nil"/>
              <w:bottom w:val="nil"/>
              <w:right w:val="single" w:sz="8" w:space="0" w:color="auto"/>
            </w:tcBorders>
            <w:shd w:val="clear" w:color="000000" w:fill="FFFFFF"/>
            <w:noWrap/>
            <w:vAlign w:val="center"/>
            <w:hideMark/>
          </w:tcPr>
          <w:p w14:paraId="5FF2CD2F"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85.7%</w:t>
            </w:r>
          </w:p>
        </w:tc>
      </w:tr>
      <w:tr w:rsidR="00703CF5" w:rsidRPr="001A3661" w14:paraId="4D74F338" w14:textId="77777777" w:rsidTr="0004702C">
        <w:trPr>
          <w:trHeight w:val="315"/>
        </w:trPr>
        <w:tc>
          <w:tcPr>
            <w:tcW w:w="3854" w:type="dxa"/>
            <w:tcBorders>
              <w:top w:val="nil"/>
              <w:left w:val="single" w:sz="8" w:space="0" w:color="auto"/>
              <w:bottom w:val="nil"/>
              <w:right w:val="nil"/>
            </w:tcBorders>
            <w:shd w:val="clear" w:color="000000" w:fill="FFFFFF"/>
            <w:noWrap/>
            <w:vAlign w:val="bottom"/>
            <w:hideMark/>
          </w:tcPr>
          <w:p w14:paraId="73653BD4" w14:textId="77777777" w:rsidR="00703CF5" w:rsidRPr="001A3661" w:rsidRDefault="00703CF5" w:rsidP="0004702C">
            <w:pPr>
              <w:spacing w:after="0" w:line="240" w:lineRule="auto"/>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xml:space="preserve">Hospitalization </w:t>
            </w:r>
          </w:p>
        </w:tc>
        <w:tc>
          <w:tcPr>
            <w:tcW w:w="765" w:type="dxa"/>
            <w:tcBorders>
              <w:top w:val="nil"/>
              <w:left w:val="nil"/>
              <w:bottom w:val="nil"/>
              <w:right w:val="nil"/>
            </w:tcBorders>
            <w:shd w:val="clear" w:color="000000" w:fill="FFFFFF"/>
            <w:noWrap/>
            <w:vAlign w:val="bottom"/>
            <w:hideMark/>
          </w:tcPr>
          <w:p w14:paraId="0DB51726"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20%</w:t>
            </w:r>
          </w:p>
        </w:tc>
        <w:tc>
          <w:tcPr>
            <w:tcW w:w="1761" w:type="dxa"/>
            <w:tcBorders>
              <w:top w:val="nil"/>
              <w:left w:val="nil"/>
              <w:bottom w:val="nil"/>
              <w:right w:val="single" w:sz="8" w:space="0" w:color="auto"/>
            </w:tcBorders>
            <w:shd w:val="clear" w:color="000000" w:fill="FFFFFF"/>
            <w:noWrap/>
            <w:vAlign w:val="bottom"/>
            <w:hideMark/>
          </w:tcPr>
          <w:p w14:paraId="7745D7CE"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25.7%</w:t>
            </w:r>
          </w:p>
        </w:tc>
      </w:tr>
      <w:tr w:rsidR="00703CF5" w:rsidRPr="001A3661" w14:paraId="4881E848" w14:textId="77777777" w:rsidTr="0004702C">
        <w:trPr>
          <w:trHeight w:val="315"/>
        </w:trPr>
        <w:tc>
          <w:tcPr>
            <w:tcW w:w="3854" w:type="dxa"/>
            <w:tcBorders>
              <w:top w:val="nil"/>
              <w:left w:val="single" w:sz="8" w:space="0" w:color="auto"/>
              <w:bottom w:val="nil"/>
              <w:right w:val="nil"/>
            </w:tcBorders>
            <w:shd w:val="clear" w:color="000000" w:fill="FFFFFF"/>
            <w:noWrap/>
            <w:vAlign w:val="bottom"/>
            <w:hideMark/>
          </w:tcPr>
          <w:p w14:paraId="1AA38F13" w14:textId="77777777" w:rsidR="00703CF5" w:rsidRPr="001A3661" w:rsidRDefault="00703CF5" w:rsidP="0004702C">
            <w:pPr>
              <w:spacing w:after="0" w:line="240" w:lineRule="auto"/>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765" w:type="dxa"/>
            <w:tcBorders>
              <w:top w:val="nil"/>
              <w:left w:val="nil"/>
              <w:bottom w:val="nil"/>
              <w:right w:val="nil"/>
            </w:tcBorders>
            <w:shd w:val="clear" w:color="000000" w:fill="FFFFFF"/>
            <w:noWrap/>
            <w:vAlign w:val="bottom"/>
            <w:hideMark/>
          </w:tcPr>
          <w:p w14:paraId="0FB49CAE"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bottom"/>
            <w:hideMark/>
          </w:tcPr>
          <w:p w14:paraId="1EEB6B59"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 </w:t>
            </w:r>
          </w:p>
        </w:tc>
      </w:tr>
      <w:tr w:rsidR="00703CF5" w:rsidRPr="001A3661" w14:paraId="5208C51C"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3AB8FFC7" w14:textId="77777777" w:rsidR="00703CF5" w:rsidRPr="001A3661" w:rsidRDefault="00703CF5" w:rsidP="0004702C">
            <w:pPr>
              <w:spacing w:after="0" w:line="240" w:lineRule="auto"/>
              <w:rPr>
                <w:rFonts w:ascii="Times New Roman" w:eastAsia="Times New Roman" w:hAnsi="Times New Roman" w:cs="Times New Roman"/>
                <w:b/>
                <w:bCs/>
                <w:color w:val="000000"/>
                <w:sz w:val="24"/>
                <w:szCs w:val="24"/>
                <w:u w:val="single"/>
                <w:lang w:val="en-US" w:eastAsia="en-US"/>
              </w:rPr>
            </w:pPr>
            <w:r w:rsidRPr="001A3661">
              <w:rPr>
                <w:rFonts w:ascii="Times New Roman" w:eastAsia="Times New Roman" w:hAnsi="Times New Roman" w:cs="Times New Roman"/>
                <w:b/>
                <w:bCs/>
                <w:color w:val="000000"/>
                <w:sz w:val="24"/>
                <w:szCs w:val="24"/>
                <w:u w:val="single"/>
                <w:lang w:val="en-US" w:eastAsia="en-US"/>
              </w:rPr>
              <w:t>Swabs</w:t>
            </w:r>
          </w:p>
        </w:tc>
        <w:tc>
          <w:tcPr>
            <w:tcW w:w="765" w:type="dxa"/>
            <w:tcBorders>
              <w:top w:val="nil"/>
              <w:left w:val="nil"/>
              <w:bottom w:val="nil"/>
              <w:right w:val="nil"/>
            </w:tcBorders>
            <w:shd w:val="clear" w:color="000000" w:fill="FFFFFF"/>
            <w:noWrap/>
            <w:vAlign w:val="bottom"/>
            <w:hideMark/>
          </w:tcPr>
          <w:p w14:paraId="6639452A"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bottom"/>
            <w:hideMark/>
          </w:tcPr>
          <w:p w14:paraId="3E1F4E39" w14:textId="77777777" w:rsidR="00703CF5" w:rsidRPr="001A3661" w:rsidRDefault="00703CF5" w:rsidP="0004702C">
            <w:pPr>
              <w:spacing w:after="0" w:line="240" w:lineRule="auto"/>
              <w:jc w:val="center"/>
              <w:rPr>
                <w:rFonts w:eastAsia="Times New Roman" w:cstheme="minorHAnsi"/>
                <w:b/>
                <w:bCs/>
                <w:color w:val="000000"/>
                <w:sz w:val="24"/>
                <w:szCs w:val="24"/>
                <w:lang w:val="en-US" w:eastAsia="en-US"/>
              </w:rPr>
            </w:pPr>
            <w:r w:rsidRPr="001A3661">
              <w:rPr>
                <w:rFonts w:eastAsia="Times New Roman" w:cstheme="minorHAnsi"/>
                <w:b/>
                <w:bCs/>
                <w:color w:val="000000"/>
                <w:sz w:val="24"/>
                <w:szCs w:val="24"/>
                <w:lang w:val="en-US" w:eastAsia="en-US"/>
              </w:rPr>
              <w:t>No. (%)</w:t>
            </w:r>
          </w:p>
        </w:tc>
      </w:tr>
      <w:tr w:rsidR="00703CF5" w:rsidRPr="001A3661" w14:paraId="7A998E05"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357EAC4C"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Positive swabs</w:t>
            </w:r>
          </w:p>
        </w:tc>
        <w:tc>
          <w:tcPr>
            <w:tcW w:w="765" w:type="dxa"/>
            <w:tcBorders>
              <w:top w:val="nil"/>
              <w:left w:val="nil"/>
              <w:bottom w:val="nil"/>
              <w:right w:val="nil"/>
            </w:tcBorders>
            <w:shd w:val="clear" w:color="000000" w:fill="FFFFFF"/>
            <w:noWrap/>
            <w:vAlign w:val="bottom"/>
            <w:hideMark/>
          </w:tcPr>
          <w:p w14:paraId="57A4B361"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64826CEC"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83 (95%)</w:t>
            </w:r>
          </w:p>
        </w:tc>
      </w:tr>
      <w:tr w:rsidR="00703CF5" w:rsidRPr="001A3661" w14:paraId="0B0E11BB"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6FEA526B"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Staphylococcus aureus</w:t>
            </w:r>
          </w:p>
        </w:tc>
        <w:tc>
          <w:tcPr>
            <w:tcW w:w="765" w:type="dxa"/>
            <w:tcBorders>
              <w:top w:val="nil"/>
              <w:left w:val="nil"/>
              <w:bottom w:val="nil"/>
              <w:right w:val="nil"/>
            </w:tcBorders>
            <w:shd w:val="clear" w:color="000000" w:fill="FFFFFF"/>
            <w:noWrap/>
            <w:vAlign w:val="bottom"/>
            <w:hideMark/>
          </w:tcPr>
          <w:p w14:paraId="0B68D5C6"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4FDDCCFE"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44(53%)</w:t>
            </w:r>
          </w:p>
        </w:tc>
      </w:tr>
      <w:tr w:rsidR="00703CF5" w:rsidRPr="001A3661" w14:paraId="58BF5D91"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35CAE42A"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Pseudomonas aeruginosa</w:t>
            </w:r>
          </w:p>
        </w:tc>
        <w:tc>
          <w:tcPr>
            <w:tcW w:w="765" w:type="dxa"/>
            <w:tcBorders>
              <w:top w:val="nil"/>
              <w:left w:val="nil"/>
              <w:bottom w:val="nil"/>
              <w:right w:val="nil"/>
            </w:tcBorders>
            <w:shd w:val="clear" w:color="000000" w:fill="FFFFFF"/>
            <w:noWrap/>
            <w:vAlign w:val="bottom"/>
            <w:hideMark/>
          </w:tcPr>
          <w:p w14:paraId="439FDFB2"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67559198"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9(10%)</w:t>
            </w:r>
          </w:p>
        </w:tc>
      </w:tr>
      <w:tr w:rsidR="00703CF5" w:rsidRPr="001A3661" w14:paraId="1A593767"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40756C5A"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Escherichia coli</w:t>
            </w:r>
          </w:p>
        </w:tc>
        <w:tc>
          <w:tcPr>
            <w:tcW w:w="765" w:type="dxa"/>
            <w:tcBorders>
              <w:top w:val="nil"/>
              <w:left w:val="nil"/>
              <w:bottom w:val="nil"/>
              <w:right w:val="nil"/>
            </w:tcBorders>
            <w:shd w:val="clear" w:color="000000" w:fill="FFFFFF"/>
            <w:noWrap/>
            <w:vAlign w:val="bottom"/>
            <w:hideMark/>
          </w:tcPr>
          <w:p w14:paraId="73CA8904"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3BF753DE"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7(8%)</w:t>
            </w:r>
          </w:p>
        </w:tc>
      </w:tr>
      <w:tr w:rsidR="00703CF5" w:rsidRPr="001A3661" w14:paraId="56300B3F"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6BAF3665"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 xml:space="preserve">Enterococcus </w:t>
            </w:r>
            <w:r>
              <w:rPr>
                <w:rFonts w:ascii="Times New Roman" w:eastAsia="Times New Roman" w:hAnsi="Times New Roman" w:cs="Times New Roman"/>
                <w:color w:val="000000"/>
                <w:sz w:val="24"/>
                <w:szCs w:val="24"/>
                <w:lang w:val="en-US" w:eastAsia="en-US"/>
              </w:rPr>
              <w:t>F</w:t>
            </w:r>
            <w:r w:rsidRPr="001A3661">
              <w:rPr>
                <w:rFonts w:ascii="Times New Roman" w:eastAsia="Times New Roman" w:hAnsi="Times New Roman" w:cs="Times New Roman"/>
                <w:color w:val="000000"/>
                <w:sz w:val="24"/>
                <w:szCs w:val="24"/>
                <w:lang w:val="en-US" w:eastAsia="en-US"/>
              </w:rPr>
              <w:t>aecali</w:t>
            </w:r>
            <w:r>
              <w:rPr>
                <w:rFonts w:ascii="Times New Roman" w:eastAsia="Times New Roman" w:hAnsi="Times New Roman" w:cs="Times New Roman"/>
                <w:color w:val="000000"/>
                <w:sz w:val="24"/>
                <w:szCs w:val="24"/>
                <w:lang w:val="en-US" w:eastAsia="en-US"/>
              </w:rPr>
              <w:t>s</w:t>
            </w:r>
          </w:p>
        </w:tc>
        <w:tc>
          <w:tcPr>
            <w:tcW w:w="765" w:type="dxa"/>
            <w:tcBorders>
              <w:top w:val="nil"/>
              <w:left w:val="nil"/>
              <w:bottom w:val="nil"/>
              <w:right w:val="nil"/>
            </w:tcBorders>
            <w:shd w:val="clear" w:color="000000" w:fill="FFFFFF"/>
            <w:noWrap/>
            <w:vAlign w:val="bottom"/>
            <w:hideMark/>
          </w:tcPr>
          <w:p w14:paraId="3BC6A193"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4E3158FF"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6(7%)</w:t>
            </w:r>
          </w:p>
        </w:tc>
      </w:tr>
      <w:tr w:rsidR="00703CF5" w:rsidRPr="001A3661" w14:paraId="027370F5"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0C2C5D36"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 xml:space="preserve">S. Epidermidis </w:t>
            </w:r>
          </w:p>
        </w:tc>
        <w:tc>
          <w:tcPr>
            <w:tcW w:w="765" w:type="dxa"/>
            <w:tcBorders>
              <w:top w:val="nil"/>
              <w:left w:val="nil"/>
              <w:bottom w:val="nil"/>
              <w:right w:val="nil"/>
            </w:tcBorders>
            <w:shd w:val="clear" w:color="000000" w:fill="FFFFFF"/>
            <w:noWrap/>
            <w:vAlign w:val="bottom"/>
            <w:hideMark/>
          </w:tcPr>
          <w:p w14:paraId="1D00949F"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3A524D7C"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5(6%)</w:t>
            </w:r>
          </w:p>
        </w:tc>
      </w:tr>
      <w:tr w:rsidR="00703CF5" w:rsidRPr="001A3661" w14:paraId="6AB0B7F7"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21C1117E"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M. Morganii</w:t>
            </w:r>
          </w:p>
        </w:tc>
        <w:tc>
          <w:tcPr>
            <w:tcW w:w="765" w:type="dxa"/>
            <w:tcBorders>
              <w:top w:val="nil"/>
              <w:left w:val="nil"/>
              <w:bottom w:val="nil"/>
              <w:right w:val="nil"/>
            </w:tcBorders>
            <w:shd w:val="clear" w:color="000000" w:fill="FFFFFF"/>
            <w:noWrap/>
            <w:vAlign w:val="bottom"/>
            <w:hideMark/>
          </w:tcPr>
          <w:p w14:paraId="06C8C1E1"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5EC29A92"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3(3%)</w:t>
            </w:r>
          </w:p>
        </w:tc>
      </w:tr>
      <w:tr w:rsidR="00703CF5" w:rsidRPr="001A3661" w14:paraId="49BC7C00" w14:textId="77777777" w:rsidTr="0004702C">
        <w:trPr>
          <w:trHeight w:val="315"/>
        </w:trPr>
        <w:tc>
          <w:tcPr>
            <w:tcW w:w="3854" w:type="dxa"/>
            <w:tcBorders>
              <w:top w:val="nil"/>
              <w:left w:val="single" w:sz="8" w:space="0" w:color="auto"/>
              <w:bottom w:val="nil"/>
              <w:right w:val="nil"/>
            </w:tcBorders>
            <w:shd w:val="clear" w:color="000000" w:fill="FFFFFF"/>
            <w:noWrap/>
            <w:vAlign w:val="center"/>
            <w:hideMark/>
          </w:tcPr>
          <w:p w14:paraId="188E7246" w14:textId="77777777" w:rsidR="00703CF5" w:rsidRPr="001A3661" w:rsidRDefault="00703CF5" w:rsidP="0004702C">
            <w:pPr>
              <w:spacing w:after="0" w:line="240" w:lineRule="auto"/>
              <w:rPr>
                <w:rFonts w:ascii="Times New Roman" w:eastAsia="Times New Roman" w:hAnsi="Times New Roman" w:cs="Times New Roman"/>
                <w:color w:val="000000"/>
                <w:sz w:val="24"/>
                <w:szCs w:val="24"/>
                <w:lang w:val="en-US" w:eastAsia="en-US"/>
              </w:rPr>
            </w:pPr>
            <w:r w:rsidRPr="001A3661">
              <w:rPr>
                <w:rFonts w:ascii="Times New Roman" w:eastAsia="Times New Roman" w:hAnsi="Times New Roman" w:cs="Times New Roman"/>
                <w:color w:val="000000"/>
                <w:sz w:val="24"/>
                <w:szCs w:val="24"/>
                <w:lang w:val="en-US" w:eastAsia="en-US"/>
              </w:rPr>
              <w:t>Others*</w:t>
            </w:r>
          </w:p>
        </w:tc>
        <w:tc>
          <w:tcPr>
            <w:tcW w:w="765" w:type="dxa"/>
            <w:tcBorders>
              <w:top w:val="nil"/>
              <w:left w:val="nil"/>
              <w:bottom w:val="nil"/>
              <w:right w:val="nil"/>
            </w:tcBorders>
            <w:shd w:val="clear" w:color="000000" w:fill="FFFFFF"/>
            <w:noWrap/>
            <w:vAlign w:val="bottom"/>
            <w:hideMark/>
          </w:tcPr>
          <w:p w14:paraId="2BC29E5B"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center"/>
            <w:hideMark/>
          </w:tcPr>
          <w:p w14:paraId="6441C201"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9(10%)</w:t>
            </w:r>
          </w:p>
        </w:tc>
      </w:tr>
      <w:tr w:rsidR="00703CF5" w:rsidRPr="001A3661" w14:paraId="07F33003" w14:textId="77777777" w:rsidTr="0004702C">
        <w:trPr>
          <w:trHeight w:val="323"/>
        </w:trPr>
        <w:tc>
          <w:tcPr>
            <w:tcW w:w="3854" w:type="dxa"/>
            <w:tcBorders>
              <w:top w:val="nil"/>
              <w:left w:val="single" w:sz="8" w:space="0" w:color="auto"/>
              <w:bottom w:val="nil"/>
              <w:right w:val="nil"/>
            </w:tcBorders>
            <w:shd w:val="clear" w:color="000000" w:fill="FFFFFF"/>
            <w:noWrap/>
            <w:vAlign w:val="bottom"/>
            <w:hideMark/>
          </w:tcPr>
          <w:p w14:paraId="5EEDEB75" w14:textId="77777777" w:rsidR="00703CF5" w:rsidRPr="001A3661" w:rsidRDefault="00703CF5" w:rsidP="0004702C">
            <w:pPr>
              <w:spacing w:after="0" w:line="240" w:lineRule="auto"/>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765" w:type="dxa"/>
            <w:tcBorders>
              <w:top w:val="nil"/>
              <w:left w:val="nil"/>
              <w:bottom w:val="nil"/>
              <w:right w:val="nil"/>
            </w:tcBorders>
            <w:shd w:val="clear" w:color="000000" w:fill="FFFFFF"/>
            <w:noWrap/>
            <w:vAlign w:val="bottom"/>
            <w:hideMark/>
          </w:tcPr>
          <w:p w14:paraId="686ED113" w14:textId="77777777" w:rsidR="00703CF5" w:rsidRPr="001A3661" w:rsidRDefault="00703CF5" w:rsidP="0004702C">
            <w:pPr>
              <w:spacing w:after="0" w:line="240" w:lineRule="auto"/>
              <w:jc w:val="center"/>
              <w:rPr>
                <w:rFonts w:ascii="Calibri" w:eastAsia="Times New Roman" w:hAnsi="Calibri" w:cs="Calibri"/>
                <w:color w:val="000000"/>
                <w:sz w:val="24"/>
                <w:szCs w:val="24"/>
                <w:lang w:val="en-US" w:eastAsia="en-US"/>
              </w:rPr>
            </w:pPr>
            <w:r w:rsidRPr="001A3661">
              <w:rPr>
                <w:rFonts w:ascii="Calibri" w:eastAsia="Times New Roman" w:hAnsi="Calibri" w:cs="Calibri"/>
                <w:color w:val="000000"/>
                <w:sz w:val="24"/>
                <w:szCs w:val="24"/>
                <w:lang w:val="en-US" w:eastAsia="en-US"/>
              </w:rPr>
              <w:t> </w:t>
            </w:r>
          </w:p>
        </w:tc>
        <w:tc>
          <w:tcPr>
            <w:tcW w:w="1761" w:type="dxa"/>
            <w:tcBorders>
              <w:top w:val="nil"/>
              <w:left w:val="nil"/>
              <w:bottom w:val="nil"/>
              <w:right w:val="single" w:sz="8" w:space="0" w:color="auto"/>
            </w:tcBorders>
            <w:shd w:val="clear" w:color="000000" w:fill="FFFFFF"/>
            <w:noWrap/>
            <w:vAlign w:val="bottom"/>
            <w:hideMark/>
          </w:tcPr>
          <w:p w14:paraId="7E57C37B" w14:textId="77777777" w:rsidR="00703CF5" w:rsidRPr="001A3661" w:rsidRDefault="00703CF5" w:rsidP="0004702C">
            <w:pPr>
              <w:spacing w:after="0" w:line="240" w:lineRule="auto"/>
              <w:jc w:val="center"/>
              <w:rPr>
                <w:rFonts w:eastAsia="Times New Roman" w:cstheme="minorHAnsi"/>
                <w:color w:val="000000"/>
                <w:sz w:val="24"/>
                <w:szCs w:val="24"/>
                <w:lang w:val="en-US" w:eastAsia="en-US"/>
              </w:rPr>
            </w:pPr>
            <w:r w:rsidRPr="001A3661">
              <w:rPr>
                <w:rFonts w:eastAsia="Times New Roman" w:cstheme="minorHAnsi"/>
                <w:color w:val="000000"/>
                <w:sz w:val="24"/>
                <w:szCs w:val="24"/>
                <w:lang w:val="en-US" w:eastAsia="en-US"/>
              </w:rPr>
              <w:t> </w:t>
            </w:r>
          </w:p>
        </w:tc>
      </w:tr>
      <w:tr w:rsidR="00703CF5" w:rsidRPr="001A3661" w14:paraId="797E1AE6" w14:textId="77777777" w:rsidTr="0004702C">
        <w:trPr>
          <w:trHeight w:val="1943"/>
        </w:trPr>
        <w:tc>
          <w:tcPr>
            <w:tcW w:w="6380" w:type="dxa"/>
            <w:gridSpan w:val="3"/>
            <w:tcBorders>
              <w:top w:val="single" w:sz="8" w:space="0" w:color="auto"/>
              <w:left w:val="single" w:sz="8" w:space="0" w:color="auto"/>
              <w:bottom w:val="single" w:sz="8" w:space="0" w:color="auto"/>
              <w:right w:val="single" w:sz="8" w:space="0" w:color="000000"/>
            </w:tcBorders>
            <w:shd w:val="clear" w:color="000000" w:fill="FFFFFF"/>
            <w:vAlign w:val="center"/>
            <w:hideMark/>
          </w:tcPr>
          <w:p w14:paraId="17858CFA" w14:textId="77777777" w:rsidR="00703CF5" w:rsidRPr="007331C3" w:rsidRDefault="00703CF5" w:rsidP="0004702C">
            <w:pPr>
              <w:spacing w:after="0" w:line="240" w:lineRule="auto"/>
              <w:jc w:val="center"/>
              <w:rPr>
                <w:rFonts w:ascii="Times New Roman" w:eastAsia="Times New Roman" w:hAnsi="Times New Roman" w:cs="Times New Roman"/>
                <w:color w:val="000000"/>
                <w:sz w:val="24"/>
                <w:szCs w:val="24"/>
                <w:lang w:eastAsia="en-US"/>
              </w:rPr>
            </w:pPr>
            <w:r w:rsidRPr="007331C3">
              <w:rPr>
                <w:rFonts w:ascii="Times New Roman" w:eastAsia="Times New Roman" w:hAnsi="Times New Roman" w:cs="Times New Roman"/>
                <w:color w:val="000000"/>
                <w:sz w:val="24"/>
                <w:szCs w:val="24"/>
                <w:lang w:eastAsia="en-US"/>
              </w:rPr>
              <w:lastRenderedPageBreak/>
              <w:t>* C. albicans, K. Pneumoniae, Citrobacter freundii,</w:t>
            </w:r>
            <w:r w:rsidRPr="007331C3">
              <w:rPr>
                <w:rFonts w:ascii="Times New Roman" w:eastAsia="Times New Roman" w:hAnsi="Times New Roman" w:cs="Times New Roman"/>
                <w:color w:val="000000"/>
                <w:sz w:val="24"/>
                <w:szCs w:val="24"/>
                <w:lang w:eastAsia="en-US"/>
              </w:rPr>
              <w:br/>
              <w:t xml:space="preserve"> S. Agalactiae, Acinetobacter ursingii, </w:t>
            </w:r>
            <w:r w:rsidRPr="007331C3">
              <w:rPr>
                <w:rFonts w:ascii="Times New Roman" w:eastAsia="Times New Roman" w:hAnsi="Times New Roman" w:cs="Times New Roman"/>
                <w:color w:val="000000"/>
                <w:sz w:val="24"/>
                <w:szCs w:val="24"/>
                <w:lang w:eastAsia="en-US"/>
              </w:rPr>
              <w:br/>
              <w:t xml:space="preserve">Stenotrophomonas maltophilia, </w:t>
            </w:r>
            <w:r w:rsidRPr="007331C3">
              <w:rPr>
                <w:rFonts w:ascii="Times New Roman" w:eastAsia="Times New Roman" w:hAnsi="Times New Roman" w:cs="Times New Roman"/>
                <w:color w:val="000000"/>
                <w:sz w:val="24"/>
                <w:szCs w:val="24"/>
                <w:lang w:eastAsia="en-US"/>
              </w:rPr>
              <w:br/>
              <w:t>Acinetobacter gyllenbergi,</w:t>
            </w:r>
            <w:r w:rsidRPr="007331C3">
              <w:rPr>
                <w:rFonts w:ascii="Times New Roman" w:eastAsia="Times New Roman" w:hAnsi="Times New Roman" w:cs="Times New Roman"/>
                <w:color w:val="000000"/>
                <w:sz w:val="24"/>
                <w:szCs w:val="24"/>
                <w:lang w:eastAsia="en-US"/>
              </w:rPr>
              <w:br/>
              <w:t xml:space="preserve"> Serratia marcescens, Trichophyton interdigitale.</w:t>
            </w:r>
          </w:p>
        </w:tc>
      </w:tr>
    </w:tbl>
    <w:p w14:paraId="30C573C9" w14:textId="77777777" w:rsidR="00A71C8E" w:rsidRDefault="00BF378A"/>
    <w:sectPr w:rsidR="00A71C8E">
      <w:pgSz w:w="11906" w:h="16838"/>
      <w:pgMar w:top="1417" w:right="1134" w:bottom="1134" w:left="1134"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1" w:author="Luca Magnani" w:date="2021-04-13T16:17:00Z" w:initials="LM">
    <w:p w14:paraId="5BC79A65" w14:textId="4335A00E" w:rsidR="006D7791" w:rsidRDefault="006D7791">
      <w:pPr>
        <w:pStyle w:val="Testocommento"/>
      </w:pPr>
      <w:r>
        <w:rPr>
          <w:rStyle w:val="Rimandocommento"/>
        </w:rPr>
        <w:annotationRef/>
      </w:r>
      <w:r>
        <w:t>Se questa affermazione è vera, forse servirebbe una citazione bibliografica… L’abbiamo?</w:t>
      </w:r>
    </w:p>
  </w:comment>
  <w:comment w:id="2" w:author="Luca Magnani" w:date="2021-04-13T16:43:00Z" w:initials="LM">
    <w:p w14:paraId="371FA2ED" w14:textId="48158F9E" w:rsidR="00E86BE9" w:rsidRDefault="00E86BE9">
      <w:pPr>
        <w:pStyle w:val="Testocommento"/>
      </w:pPr>
      <w:r>
        <w:rPr>
          <w:rStyle w:val="Rimandocommento"/>
        </w:rPr>
        <w:annotationRef/>
      </w:r>
      <w:r>
        <w:t>Altro?</w:t>
      </w:r>
    </w:p>
  </w:comment>
  <w:comment w:id="3" w:author="Luca Magnani" w:date="2021-04-13T16:19:00Z" w:initials="LM">
    <w:p w14:paraId="252BF605" w14:textId="3FB3C44D" w:rsidR="006D7791" w:rsidRDefault="006D7791">
      <w:pPr>
        <w:pStyle w:val="Testocommento"/>
      </w:pPr>
      <w:r>
        <w:rPr>
          <w:rStyle w:val="Rimandocommento"/>
        </w:rPr>
        <w:annotationRef/>
      </w:r>
      <w:r>
        <w:t>Solo visivo (dimensione, profondità…) o altro?</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BC79A65" w15:done="0"/>
  <w15:commentEx w15:paraId="371FA2ED" w15:done="0"/>
  <w15:commentEx w15:paraId="252BF605"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4204296" w16cex:dateUtc="2021-04-13T14:17:00Z"/>
  <w16cex:commentExtensible w16cex:durableId="2420489C" w16cex:dateUtc="2021-04-13T14:43:00Z"/>
  <w16cex:commentExtensible w16cex:durableId="2420432A" w16cex:dateUtc="2021-04-13T14:19: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BC79A65" w16cid:durableId="24204296"/>
  <w16cid:commentId w16cid:paraId="371FA2ED" w16cid:durableId="2420489C"/>
  <w16cid:commentId w16cid:paraId="252BF605" w16cid:durableId="2420432A"/>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Times">
    <w:panose1 w:val="0000000000000000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B7C0F4B"/>
    <w:multiLevelType w:val="hybridMultilevel"/>
    <w:tmpl w:val="D84ECF20"/>
    <w:lvl w:ilvl="0" w:tplc="9D0691B2">
      <w:numFmt w:val="bullet"/>
      <w:lvlText w:val="-"/>
      <w:lvlJc w:val="left"/>
      <w:pPr>
        <w:ind w:left="720" w:hanging="360"/>
      </w:pPr>
      <w:rPr>
        <w:rFonts w:ascii="Calibri" w:eastAsiaTheme="minorEastAsia" w:hAnsi="Calibri" w:cs="Calibri" w:hint="default"/>
        <w:sz w:val="22"/>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419233DC"/>
    <w:multiLevelType w:val="hybridMultilevel"/>
    <w:tmpl w:val="1F2AD964"/>
    <w:lvl w:ilvl="0" w:tplc="984626C0">
      <w:start w:val="5"/>
      <w:numFmt w:val="bullet"/>
      <w:lvlText w:val="-"/>
      <w:lvlJc w:val="left"/>
      <w:pPr>
        <w:ind w:left="720" w:hanging="360"/>
      </w:pPr>
      <w:rPr>
        <w:rFonts w:ascii="Times New Roman" w:eastAsia="Times New Roman"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5F325802"/>
    <w:multiLevelType w:val="hybridMultilevel"/>
    <w:tmpl w:val="E1C8481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7C726DD9"/>
    <w:multiLevelType w:val="hybridMultilevel"/>
    <w:tmpl w:val="98486942"/>
    <w:lvl w:ilvl="0" w:tplc="A42A7EB0">
      <w:start w:val="5"/>
      <w:numFmt w:val="bullet"/>
      <w:lvlText w:val="-"/>
      <w:lvlJc w:val="left"/>
      <w:pPr>
        <w:ind w:left="720" w:hanging="360"/>
      </w:pPr>
      <w:rPr>
        <w:rFonts w:ascii="Calibri" w:eastAsiaTheme="minorEastAsia" w:hAnsi="Calibri" w:cs="Calibri" w:hint="default"/>
        <w:color w:val="0000FF"/>
        <w:u w:val="single"/>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2"/>
  </w:num>
  <w:num w:numId="3">
    <w:abstractNumId w:val="3"/>
  </w:num>
  <w:num w:numId="4">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Luca Magnani">
    <w15:presenceInfo w15:providerId="Windows Live" w15:userId="f8c09f814592a9da"/>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27"/>
  <w:defaultTabStop w:val="720"/>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3CF5"/>
    <w:rsid w:val="0008553A"/>
    <w:rsid w:val="001029DF"/>
    <w:rsid w:val="001415DB"/>
    <w:rsid w:val="00170424"/>
    <w:rsid w:val="00171B12"/>
    <w:rsid w:val="001D0E59"/>
    <w:rsid w:val="0028535A"/>
    <w:rsid w:val="002D7AE7"/>
    <w:rsid w:val="003820EA"/>
    <w:rsid w:val="003948D6"/>
    <w:rsid w:val="004130C2"/>
    <w:rsid w:val="004F17EE"/>
    <w:rsid w:val="00572B8C"/>
    <w:rsid w:val="00573082"/>
    <w:rsid w:val="005F1047"/>
    <w:rsid w:val="006132C3"/>
    <w:rsid w:val="006D7791"/>
    <w:rsid w:val="00703CF5"/>
    <w:rsid w:val="00770678"/>
    <w:rsid w:val="0079089B"/>
    <w:rsid w:val="007D2FAE"/>
    <w:rsid w:val="007F0670"/>
    <w:rsid w:val="007F4A42"/>
    <w:rsid w:val="0080458C"/>
    <w:rsid w:val="00822B4E"/>
    <w:rsid w:val="00841DAD"/>
    <w:rsid w:val="00892C82"/>
    <w:rsid w:val="0091101C"/>
    <w:rsid w:val="00941DA9"/>
    <w:rsid w:val="00BC2312"/>
    <w:rsid w:val="00BF378A"/>
    <w:rsid w:val="00CC62FC"/>
    <w:rsid w:val="00DD5206"/>
    <w:rsid w:val="00E30CD9"/>
    <w:rsid w:val="00E75A56"/>
    <w:rsid w:val="00E86BE9"/>
    <w:rsid w:val="00EA3CE5"/>
    <w:rsid w:val="00F44509"/>
    <w:rsid w:val="00F808A1"/>
    <w:rsid w:val="00FC6319"/>
  </w:rsids>
  <m:mathPr>
    <m:mathFont m:val="Cambria Math"/>
    <m:brkBin m:val="before"/>
    <m:brkBinSub m:val="--"/>
    <m:smallFrac m:val="0"/>
    <m:dispDef/>
    <m:lMargin m:val="0"/>
    <m:rMargin m:val="0"/>
    <m:defJc m:val="centerGroup"/>
    <m:wrapIndent m:val="1440"/>
    <m:intLim m:val="subSup"/>
    <m:naryLim m:val="undOvr"/>
  </m:mathPr>
  <w:themeFontLang w:val="it-IT"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529D364"/>
  <w15:chartTrackingRefBased/>
  <w15:docId w15:val="{EF7EFA50-0E34-41CD-B672-7485281B15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e">
    <w:name w:val="Normal"/>
    <w:qFormat/>
    <w:rsid w:val="00703CF5"/>
    <w:rPr>
      <w:rFonts w:eastAsiaTheme="minorEastAsia"/>
      <w:lang w:val="it-IT" w:eastAsia="it-IT"/>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FC6319"/>
    <w:pPr>
      <w:ind w:left="720"/>
      <w:contextualSpacing/>
    </w:pPr>
  </w:style>
  <w:style w:type="character" w:styleId="Collegamentoipertestuale">
    <w:name w:val="Hyperlink"/>
    <w:basedOn w:val="Carpredefinitoparagrafo"/>
    <w:uiPriority w:val="99"/>
    <w:semiHidden/>
    <w:unhideWhenUsed/>
    <w:rsid w:val="00E30CD9"/>
    <w:rPr>
      <w:color w:val="0000FF"/>
      <w:u w:val="single"/>
    </w:rPr>
  </w:style>
  <w:style w:type="character" w:styleId="Rimandocommento">
    <w:name w:val="annotation reference"/>
    <w:basedOn w:val="Carpredefinitoparagrafo"/>
    <w:uiPriority w:val="99"/>
    <w:semiHidden/>
    <w:unhideWhenUsed/>
    <w:rsid w:val="003820EA"/>
    <w:rPr>
      <w:sz w:val="16"/>
      <w:szCs w:val="16"/>
    </w:rPr>
  </w:style>
  <w:style w:type="paragraph" w:styleId="Testocommento">
    <w:name w:val="annotation text"/>
    <w:basedOn w:val="Normale"/>
    <w:link w:val="TestocommentoCarattere"/>
    <w:uiPriority w:val="99"/>
    <w:semiHidden/>
    <w:unhideWhenUsed/>
    <w:rsid w:val="003820EA"/>
    <w:pPr>
      <w:spacing w:line="240" w:lineRule="auto"/>
    </w:pPr>
    <w:rPr>
      <w:sz w:val="20"/>
      <w:szCs w:val="20"/>
    </w:rPr>
  </w:style>
  <w:style w:type="character" w:customStyle="1" w:styleId="TestocommentoCarattere">
    <w:name w:val="Testo commento Carattere"/>
    <w:basedOn w:val="Carpredefinitoparagrafo"/>
    <w:link w:val="Testocommento"/>
    <w:uiPriority w:val="99"/>
    <w:semiHidden/>
    <w:rsid w:val="003820EA"/>
    <w:rPr>
      <w:rFonts w:eastAsiaTheme="minorEastAsia"/>
      <w:sz w:val="20"/>
      <w:szCs w:val="20"/>
      <w:lang w:val="it-IT" w:eastAsia="it-IT"/>
    </w:rPr>
  </w:style>
  <w:style w:type="paragraph" w:styleId="Soggettocommento">
    <w:name w:val="annotation subject"/>
    <w:basedOn w:val="Testocommento"/>
    <w:next w:val="Testocommento"/>
    <w:link w:val="SoggettocommentoCarattere"/>
    <w:uiPriority w:val="99"/>
    <w:semiHidden/>
    <w:unhideWhenUsed/>
    <w:rsid w:val="003820EA"/>
    <w:rPr>
      <w:b/>
      <w:bCs/>
    </w:rPr>
  </w:style>
  <w:style w:type="character" w:customStyle="1" w:styleId="SoggettocommentoCarattere">
    <w:name w:val="Soggetto commento Carattere"/>
    <w:basedOn w:val="TestocommentoCarattere"/>
    <w:link w:val="Soggettocommento"/>
    <w:uiPriority w:val="99"/>
    <w:semiHidden/>
    <w:rsid w:val="003820EA"/>
    <w:rPr>
      <w:rFonts w:eastAsiaTheme="minorEastAsia"/>
      <w:b/>
      <w:bCs/>
      <w:sz w:val="20"/>
      <w:szCs w:val="20"/>
      <w:lang w:val="it-IT" w:eastAsia="it-IT"/>
    </w:rPr>
  </w:style>
  <w:style w:type="paragraph" w:styleId="Testofumetto">
    <w:name w:val="Balloon Text"/>
    <w:basedOn w:val="Normale"/>
    <w:link w:val="TestofumettoCarattere"/>
    <w:uiPriority w:val="99"/>
    <w:semiHidden/>
    <w:unhideWhenUsed/>
    <w:rsid w:val="00BF378A"/>
    <w:pPr>
      <w:spacing w:after="0" w:line="240" w:lineRule="auto"/>
    </w:pPr>
    <w:rPr>
      <w:rFonts w:ascii="Times New Roman" w:hAnsi="Times New Roman" w:cs="Times New Roman"/>
      <w:sz w:val="18"/>
      <w:szCs w:val="18"/>
    </w:rPr>
  </w:style>
  <w:style w:type="character" w:customStyle="1" w:styleId="TestofumettoCarattere">
    <w:name w:val="Testo fumetto Carattere"/>
    <w:basedOn w:val="Carpredefinitoparagrafo"/>
    <w:link w:val="Testofumetto"/>
    <w:uiPriority w:val="99"/>
    <w:semiHidden/>
    <w:rsid w:val="00BF378A"/>
    <w:rPr>
      <w:rFonts w:ascii="Times New Roman" w:eastAsiaTheme="minorEastAsia" w:hAnsi="Times New Roman" w:cs="Times New Roman"/>
      <w:sz w:val="18"/>
      <w:szCs w:val="18"/>
      <w:lang w:val="it-IT"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8/08/relationships/commentsExtensible" Target="commentsExtensible.xml"/><Relationship Id="rId3" Type="http://schemas.openxmlformats.org/officeDocument/2006/relationships/styles" Target="styles.xml"/><Relationship Id="rId7" Type="http://schemas.openxmlformats.org/officeDocument/2006/relationships/comments" Target="comment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hyperlink" Target="mailto:dilia.giuggioli@unimore.it" TargetMode="Externa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microsoft.com/office/2016/09/relationships/commentsIds" Target="commentsId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700" row="0">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E8664099-B0FB-4BA8-B551-01905FFD2566}">
  <we:reference id="wa104382081" version="1.7.0.0" store="en-001" storeType="OMEX"/>
  <we:alternateReferences>
    <we:reference id="WA104382081" version="1.7.0.0" store=""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56BBB78-D906-B245-9DE5-29A1CCC2647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9</Pages>
  <Words>16644</Words>
  <Characters>94875</Characters>
  <Application>Microsoft Office Word</Application>
  <DocSecurity>0</DocSecurity>
  <Lines>790</Lines>
  <Paragraphs>222</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111297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Luca Magnani</dc:creator>
  <cp:keywords/>
  <dc:description/>
  <cp:lastModifiedBy>Utente di Microsoft Office</cp:lastModifiedBy>
  <cp:revision>2</cp:revision>
  <dcterms:created xsi:type="dcterms:W3CDTF">2021-09-27T07:09:00Z</dcterms:created>
  <dcterms:modified xsi:type="dcterms:W3CDTF">2021-09-27T07:09:00Z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d65485be-d2ce-3c85-bdfa-dab81cc47b9f</vt:lpwstr>
  </property>
  <property fmtid="{D5CDD505-2E9C-101B-9397-08002B2CF9AE}" pid="4" name="Mendeley Citation Style_1">
    <vt:lpwstr>http://www.zotero.org/styles/sage-vancouver</vt:lpwstr>
  </property>
  <property fmtid="{D5CDD505-2E9C-101B-9397-08002B2CF9AE}" pid="5" name="Mendeley Recent Style Id 0_1">
    <vt:lpwstr>http://www.zotero.org/styles/elsevier-harvard</vt:lpwstr>
  </property>
  <property fmtid="{D5CDD505-2E9C-101B-9397-08002B2CF9AE}" pid="6" name="Mendeley Recent Style Name 0_1">
    <vt:lpwstr>Elsevier - Harvard (with titles)</vt:lpwstr>
  </property>
  <property fmtid="{D5CDD505-2E9C-101B-9397-08002B2CF9AE}" pid="7" name="Mendeley Recent Style Id 1_1">
    <vt:lpwstr>http://www.zotero.org/styles/harvard1</vt:lpwstr>
  </property>
  <property fmtid="{D5CDD505-2E9C-101B-9397-08002B2CF9AE}" pid="8" name="Mendeley Recent Style Name 1_1">
    <vt:lpwstr>Harvard reference format 1 (deprecated)</vt:lpwstr>
  </property>
  <property fmtid="{D5CDD505-2E9C-101B-9397-08002B2CF9AE}" pid="9" name="Mendeley Recent Style Id 2_1">
    <vt:lpwstr>http://www.zotero.org/styles/jaapa</vt:lpwstr>
  </property>
  <property fmtid="{D5CDD505-2E9C-101B-9397-08002B2CF9AE}" pid="10" name="Mendeley Recent Style Name 2_1">
    <vt:lpwstr>JAAPA (Journal of the American Academy of Physician Assistants)</vt:lpwstr>
  </property>
  <property fmtid="{D5CDD505-2E9C-101B-9397-08002B2CF9AE}" pid="11" name="Mendeley Recent Style Id 3_1">
    <vt:lpwstr>http://www.zotero.org/styles/journal-of-rheumatology</vt:lpwstr>
  </property>
  <property fmtid="{D5CDD505-2E9C-101B-9397-08002B2CF9AE}" pid="12" name="Mendeley Recent Style Name 3_1">
    <vt:lpwstr>Journal of Rheumatology</vt:lpwstr>
  </property>
  <property fmtid="{D5CDD505-2E9C-101B-9397-08002B2CF9AE}" pid="13" name="Mendeley Recent Style Id 4_1">
    <vt:lpwstr>http://www.zotero.org/styles/national-library-of-medicine</vt:lpwstr>
  </property>
  <property fmtid="{D5CDD505-2E9C-101B-9397-08002B2CF9AE}" pid="14" name="Mendeley Recent Style Name 4_1">
    <vt:lpwstr>National Library of Medicine</vt:lpwstr>
  </property>
  <property fmtid="{D5CDD505-2E9C-101B-9397-08002B2CF9AE}" pid="15" name="Mendeley Recent Style Id 5_1">
    <vt:lpwstr>http://www.zotero.org/styles/national-library-of-medicine-brackets-no-et-al</vt:lpwstr>
  </property>
  <property fmtid="{D5CDD505-2E9C-101B-9397-08002B2CF9AE}" pid="16" name="Mendeley Recent Style Name 5_1">
    <vt:lpwstr>National Library of Medicine (brackets, no "et al.")</vt:lpwstr>
  </property>
  <property fmtid="{D5CDD505-2E9C-101B-9397-08002B2CF9AE}" pid="17" name="Mendeley Recent Style Id 6_1">
    <vt:lpwstr>http://www.zotero.org/styles/national-library-of-medicine-grant-proposals</vt:lpwstr>
  </property>
  <property fmtid="{D5CDD505-2E9C-101B-9397-08002B2CF9AE}" pid="18" name="Mendeley Recent Style Name 6_1">
    <vt:lpwstr>National Library of Medicine (grant proposals with PMCID/PMID)</vt:lpwstr>
  </property>
  <property fmtid="{D5CDD505-2E9C-101B-9397-08002B2CF9AE}" pid="19" name="Mendeley Recent Style Id 7_1">
    <vt:lpwstr>http://www.zotero.org/styles/sage-vancouver</vt:lpwstr>
  </property>
  <property fmtid="{D5CDD505-2E9C-101B-9397-08002B2CF9AE}" pid="20" name="Mendeley Recent Style Name 7_1">
    <vt:lpwstr>SAGE - Vancouver</vt:lpwstr>
  </property>
  <property fmtid="{D5CDD505-2E9C-101B-9397-08002B2CF9AE}" pid="21" name="Mendeley Recent Style Id 8_1">
    <vt:lpwstr>http://www.zotero.org/styles/taylor-and-francis-council-of-science-editors-author-date</vt:lpwstr>
  </property>
  <property fmtid="{D5CDD505-2E9C-101B-9397-08002B2CF9AE}" pid="22" name="Mendeley Recent Style Name 8_1">
    <vt:lpwstr>Taylor &amp; Francis - Council of Science Editors (author-date)</vt:lpwstr>
  </property>
  <property fmtid="{D5CDD505-2E9C-101B-9397-08002B2CF9AE}" pid="23" name="Mendeley Recent Style Id 9_1">
    <vt:lpwstr>http://www.zotero.org/styles/vancouver</vt:lpwstr>
  </property>
  <property fmtid="{D5CDD505-2E9C-101B-9397-08002B2CF9AE}" pid="24" name="Mendeley Recent Style Name 9_1">
    <vt:lpwstr>Vancouver</vt:lpwstr>
  </property>
</Properties>
</file>